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版本号：HHGJZC2026-CS36620260511001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硬件设施提升项目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HHGJZC2026-CS366</w:t>
      </w:r>
      <w:r>
        <w:br/>
      </w:r>
      <w:r>
        <w:br/>
      </w:r>
      <w:r>
        <w:br/>
      </w:r>
    </w:p>
    <w:p>
      <w:pPr>
        <w:pStyle w:val="null3"/>
        <w:jc w:val="center"/>
        <w:outlineLvl w:val="2"/>
      </w:pPr>
      <w:r>
        <w:rPr>
          <w:rFonts w:ascii="仿宋_GB2312" w:hAnsi="仿宋_GB2312" w:cs="仿宋_GB2312" w:eastAsia="仿宋_GB2312"/>
          <w:sz w:val="28"/>
          <w:b/>
        </w:rPr>
        <w:t>西安经开第十四幼儿园</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西安经开第十四幼儿园</w:t>
      </w:r>
      <w:r>
        <w:rPr>
          <w:rFonts w:ascii="仿宋_GB2312" w:hAnsi="仿宋_GB2312" w:cs="仿宋_GB2312" w:eastAsia="仿宋_GB2312"/>
        </w:rPr>
        <w:t>委托，拟对</w:t>
      </w:r>
      <w:r>
        <w:rPr>
          <w:rFonts w:ascii="仿宋_GB2312" w:hAnsi="仿宋_GB2312" w:cs="仿宋_GB2312" w:eastAsia="仿宋_GB2312"/>
        </w:rPr>
        <w:t>硬件设施提升项目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HHGJZC2026-CS366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硬件设施提升项目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西安经开第十四幼儿园硬件设施提升项目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采购包1（硬件设施提升项目）：属于专门面向中小企业采购。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2、供应商资质要求：供应商具备建设部门颁发的建筑工程施工总承包三级及以上资质，且具有有效的安全生产许可证；</w:t>
      </w:r>
    </w:p>
    <w:p>
      <w:pPr>
        <w:pStyle w:val="null3"/>
      </w:pPr>
      <w:r>
        <w:rPr>
          <w:rFonts w:ascii="仿宋_GB2312" w:hAnsi="仿宋_GB2312" w:cs="仿宋_GB2312" w:eastAsia="仿宋_GB2312"/>
        </w:rPr>
        <w:t>3、拟派项目经理资质要求：拟派项目经理具备建筑工程专业二级及以上注册建造师执业资格且在本单位注册，具有有效的安全生产考核合格证，且未担任其他在建工程项目的项目经理（提供无在建承诺书）；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西安经开第十四幼儿园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西安市未央区草滩二路与尚林路交叉路口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采购包1：935,153.95元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成交供应商在领取成交通知书前，须向采购代理机构一次性支付招标代理服务费。 户名：陕西华海国际项目管理有限公司西安分公司 开户行：中国建设银行银行股份有限公司西安凤城四路支行 账号：61050190580000002095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西安经开第十四幼儿园</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西安经开第十四幼儿园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西安经开第十四幼儿园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联系人：陕西华海国际项目管理有限公司</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935,153.95</w:t>
      </w:r>
    </w:p>
    <w:p>
      <w:pPr>
        <w:pStyle w:val="null3"/>
      </w:pPr>
      <w:r>
        <w:rPr>
          <w:rFonts w:ascii="仿宋_GB2312" w:hAnsi="仿宋_GB2312" w:cs="仿宋_GB2312" w:eastAsia="仿宋_GB2312"/>
        </w:rPr>
        <w:t>采购包最高限价（元）: 935,153.95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西安经开第十四幼儿园硬件设施提升项目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935,153.95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标的名称：西安经开第十四幼儿园硬件设施提升项目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按照《西安市幼儿园等级评估标准》要求，</w:t>
            </w:r>
            <w:r>
              <w:rPr>
                <w:rFonts w:ascii="仿宋_GB2312" w:hAnsi="仿宋_GB2312" w:cs="仿宋_GB2312" w:eastAsia="仿宋_GB2312"/>
                <w:sz w:val="21"/>
              </w:rPr>
              <w:t>园区</w:t>
            </w:r>
            <w:r>
              <w:rPr>
                <w:rFonts w:ascii="仿宋_GB2312" w:hAnsi="仿宋_GB2312" w:cs="仿宋_GB2312" w:eastAsia="仿宋_GB2312"/>
                <w:sz w:val="21"/>
              </w:rPr>
              <w:t>需</w:t>
            </w:r>
            <w:r>
              <w:rPr>
                <w:rFonts w:ascii="仿宋_GB2312" w:hAnsi="仿宋_GB2312" w:cs="仿宋_GB2312" w:eastAsia="仿宋_GB2312"/>
                <w:sz w:val="21"/>
              </w:rPr>
              <w:t>进行</w:t>
            </w:r>
            <w:r>
              <w:rPr>
                <w:rFonts w:ascii="仿宋_GB2312" w:hAnsi="仿宋_GB2312" w:cs="仿宋_GB2312" w:eastAsia="仿宋_GB2312"/>
                <w:sz w:val="21"/>
              </w:rPr>
              <w:t>吊顶改造、防护改造、室外改造、厨房及教室改造</w:t>
            </w:r>
            <w:r>
              <w:rPr>
                <w:rFonts w:ascii="仿宋_GB2312" w:hAnsi="仿宋_GB2312" w:cs="仿宋_GB2312" w:eastAsia="仿宋_GB2312"/>
                <w:sz w:val="21"/>
              </w:rPr>
              <w:t>包含格栅吊顶、灯具监控拆除利旧安装、满</w:t>
            </w:r>
            <w:r>
              <w:rPr>
                <w:rFonts w:ascii="仿宋_GB2312" w:hAnsi="仿宋_GB2312" w:cs="仿宋_GB2312" w:eastAsia="仿宋_GB2312"/>
                <w:sz w:val="21"/>
              </w:rPr>
              <w:t>/散铺砂卵石护岸、装饰装修工程</w:t>
            </w:r>
            <w:r>
              <w:rPr>
                <w:rFonts w:ascii="仿宋_GB2312" w:hAnsi="仿宋_GB2312" w:cs="仿宋_GB2312" w:eastAsia="仿宋_GB2312"/>
                <w:sz w:val="21"/>
              </w:rPr>
              <w:t>等，具体技术要求</w:t>
            </w:r>
            <w:r>
              <w:rPr>
                <w:rFonts w:ascii="仿宋_GB2312" w:hAnsi="仿宋_GB2312" w:cs="仿宋_GB2312" w:eastAsia="仿宋_GB2312"/>
                <w:sz w:val="21"/>
              </w:rPr>
              <w:t>、</w:t>
            </w:r>
            <w:r>
              <w:rPr>
                <w:rFonts w:ascii="仿宋_GB2312" w:hAnsi="仿宋_GB2312" w:cs="仿宋_GB2312" w:eastAsia="仿宋_GB2312"/>
                <w:sz w:val="21"/>
              </w:rPr>
              <w:t>工程量清单</w:t>
            </w:r>
            <w:r>
              <w:rPr>
                <w:rFonts w:ascii="仿宋_GB2312" w:hAnsi="仿宋_GB2312" w:cs="仿宋_GB2312" w:eastAsia="仿宋_GB2312"/>
                <w:sz w:val="21"/>
              </w:rPr>
              <w:t>及图纸</w:t>
            </w:r>
            <w:r>
              <w:rPr>
                <w:rFonts w:ascii="仿宋_GB2312" w:hAnsi="仿宋_GB2312" w:cs="仿宋_GB2312" w:eastAsia="仿宋_GB2312"/>
                <w:sz w:val="21"/>
              </w:rPr>
              <w:t>详见附件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w:t>
            </w:r>
            <w:r>
              <w:rPr>
                <w:rFonts w:ascii="仿宋_GB2312" w:hAnsi="仿宋_GB2312" w:cs="仿宋_GB2312" w:eastAsia="仿宋_GB2312"/>
                <w:sz w:val="21"/>
              </w:rPr>
              <w:t>30日历天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质保期：自本项目竣工验收合格之日起二年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3.3.2 关于异常低价的处理：根据《关于推动解决政府采购异常低价问题的通知》（ 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3.3.3由于全文为文件模板固定格式，本项目仍需要提供已标价工程量清单。本项目供应商在首次提交的响应文件中的报价（即首次报价）应按磋商文件及工程量清单编制要求，逐一列出报价的构成及明细，并提供已标价工程量清单。已标价工程量清单的扉页（仅指投标总价扉页）应由注册造价人员签字并盖执业印章。供应商提交的已标价工程量清单应符合本项目工程量清单以及清单说明的要求。 3.3.4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供应商具备建设部门颁发的建筑工程施工总承包三级及以上资质，且具有有效的安全生产许可证；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有可能影响工程质量或者不能诚信履约的，碰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已标价工程量清单 资格证明文件 业绩证明材料 中小企业声明函 残疾人福利性单位声明函 技术方案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已标价工程量清单 资格证明文件 业绩证明材料 中小企业声明函 残疾人福利性单位声明函 技术方案 陕西省政府采购供应商拒绝政府采购领域商业贿赂承诺书 技术和商务偏离表 响应函 合同条款响应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制定的施工方案与技术措施包含：①对项目总体概况表述和管理思路②施工部署及措施③对项目主要及关键方案的表述④施工平面布置。方案合理完善的计16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2分，方案缺漏项或只有标题没有实质性内容的每项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制定的质量管理体系与措施包含：①质量管理目标②管理机构职责分工③质量管理制度④质量保证措施。方案合理完整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制定的安全管理体系与措施包含：①安全管理目标②安全管理机构职责分工③安全管理制度④安全保证措施。方案全面、有效的计12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供应商针对本项目制定的环境保护管理体系与措施包含：①环境保护管理目标②环境保护管理机构职责分工③环境保护管理制度④环境保护保证措施。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供应商针对本项目制定的工程进度计划与保证措施包含：①总工期及节点工期安排②施工进度计划安排③进度保证措施。方案合理完整的计6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不合理的每项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制定资源配备计划包含：①劳动力计划②主要材料供应计划③施工机械设备配备计划④资源调配计划。方案合理完整的计8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维护方案</w:t>
            </w:r>
          </w:p>
        </w:tc>
        <w:tc>
          <w:tcPr>
            <w:tcW w:type="dxa" w:w="2492"/>
          </w:tcPr>
          <w:p>
            <w:pPr>
              <w:pStyle w:val="null3"/>
            </w:pPr>
            <w:r>
              <w:rPr>
                <w:rFonts w:ascii="仿宋_GB2312" w:hAnsi="仿宋_GB2312" w:cs="仿宋_GB2312" w:eastAsia="仿宋_GB2312"/>
              </w:rPr>
              <w:t>供应商针对本项目制定维护方案包含：①维修措施②保修责任及保修承诺。方案各部分内容全面详细、阐述条理清晰详尽、措施及承诺到位、符合本项目采购需求得6分；以上分项每缺少一项内容扣3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针对本项目制定的合理化建议。方案合理完整、可行的计2分，方案不完善或有缺陷（不完善或有缺陷是指：方案粗略、逻辑混乱、描述过于简单、与项目特点不匹配、凭空编造、逻辑漏洞、出现常识性错误、套用其他项目方案、存在不可能实现的夸大情形、存在不适用项目实际情况的情形）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提供的服务承诺包含：①施工过程中的相关承诺②投入材料质量承诺③质量保修期服务承诺④服务响应时间⑤服务响应措施。服务承诺合理、可行的计10分，方案不完善或有缺陷（不完善或有缺陷是指：方案粗略、逻辑混乱、描述过于简单、与项目特点不匹配、凭空编造、逻辑漏洞、出现常识性错误、套用其他项目方案、存在不可能实现的夸大情形、存在不适用项目实际情况的情形）每项扣1分，方案缺漏项或只有标题没有实质性内容的每项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以来类似项目业绩；每提供1份计2分，最高得10分。业绩证明（以合同或中标/成交通知书为准，须在磋商响应文件中附以上证明材料的扫描件加盖单位公章，原件备查）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