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版本号：GXCZ-C-2657014320260602001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交通网安全态势感知平台运维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GXCZ-C-26570143</w:t>
      </w:r>
      <w:r>
        <w:br/>
      </w:r>
      <w:r>
        <w:br/>
      </w:r>
      <w:r>
        <w:br/>
      </w:r>
    </w:p>
    <w:p>
      <w:pPr>
        <w:pStyle w:val="null3"/>
        <w:jc w:val="center"/>
        <w:outlineLvl w:val="2"/>
      </w:pPr>
      <w:r>
        <w:rPr>
          <w:rFonts w:ascii="仿宋_GB2312" w:hAnsi="仿宋_GB2312" w:cs="仿宋_GB2312" w:eastAsia="仿宋_GB2312"/>
          <w:sz w:val="28"/>
          <w:b/>
        </w:rPr>
        <w:t>陕西省交通运行监测中心</w:t>
      </w:r>
    </w:p>
    <w:p>
      <w:pPr>
        <w:pStyle w:val="null3"/>
        <w:jc w:val="center"/>
        <w:outlineLvl w:val="2"/>
      </w:pPr>
      <w:r>
        <w:rPr>
          <w:rFonts w:ascii="仿宋_GB2312" w:hAnsi="仿宋_GB2312" w:cs="仿宋_GB2312" w:eastAsia="仿宋_GB2312"/>
          <w:sz w:val="28"/>
          <w:b/>
        </w:rPr>
        <w:t>国信招标集团股份有限公司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国信招标集团股份有限公司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交通网安全态势感知平台运维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GXCZ-C-26570143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交通网安全态势感知平台运维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交通运输网络安全态势感知及监测预警信息平台，实现对省交通运输厅、重要直属单位及地市网络节点进行网络安全威胁的监测，以及对省交通行业网络的安全态势感知及监测预警，平台针对特定保护对象所遭受的各类攻击进行趋势分析和展示，可实现对重点单位及网络节点的各个业务系统的漏洞扫描、流量采集、设备日志的采集，同时对重要门户网站进行监测，能够提高陕西省交通运输行业网络安全风险态势感知和评估能力。系统在省厅、省公路局等7家重点单位和节点部署数据采集探针、僵木蠕检测探针和网络流量镜像设备，在13个地市交通专网汇聚节点部署数据采集探针。通过运维服务实现现有安全态势感知平台相关网络安全产品续保服务，对所有硬件、软件等开展网络安全维保服务。并具有运维技术工程师提供巡检维护服务，同时提供专业级在线技术支持，确保系统发生故障时能第一时间处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采购包1（交通网安全态势感知平台运维）：属于专门面向中小企业采购。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肖君玲、贾天佼、杜静、张海飞、刘洋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15637780510、13299087301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的85%计算，若单项目服务费不足5000元按5000元计取，按“服务类”向成交供应商收取代理服务费。 户名：国信招标集团股份有限公司陕西分公司 开户银行：招商银行西安城南支行 虚拟账号：1299104125105012600011428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国信招标集团股份有限公司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陕西省交通运行监测中心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国信招标集团股份有限公司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国信招标集团股份有限公司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采购人按采购文件规定或采购合同的约定进行验收。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联系人：肖君玲、贾天佼、刘洋</w:t>
      </w:r>
    </w:p>
    <w:p>
      <w:pPr>
        <w:pStyle w:val="null3"/>
      </w:pPr>
      <w:r>
        <w:rPr>
          <w:rFonts w:ascii="仿宋_GB2312" w:hAnsi="仿宋_GB2312" w:cs="仿宋_GB2312" w:eastAsia="仿宋_GB2312"/>
        </w:rPr>
        <w:t>联系电话：15637780510</w:t>
      </w:r>
    </w:p>
    <w:p>
      <w:pPr>
        <w:pStyle w:val="null3"/>
      </w:pPr>
      <w:r>
        <w:rPr>
          <w:rFonts w:ascii="仿宋_GB2312" w:hAnsi="仿宋_GB2312" w:cs="仿宋_GB2312" w:eastAsia="仿宋_GB2312"/>
        </w:rPr>
        <w:t>地址：陕西省西安市南二环成长大厦20楼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交通运输网络安全态势感知及监测预警信息平台，实现对省交通运输厅、重要直属单位及地市网络节点进行网络安全威胁的监测，以及对省交通行业网络的安全态势感知及监测预警，平台针对特定保护对象所遭受的各类攻击进行趋势分析和展示，可实现对重点单位及网络节点的各个业务系统的漏洞扫描、流量采集、设备日志的采集，同时对重要门户网站进行监测，能够提高陕西省交通运输行业网络安全风险态势感知和评估能力。系统在省厅、省公路局等7家重点单位和节点部署数据采集探针、僵木蠕检测探针和网络流量镜像设备，在13个地市交通专网汇聚节点部署数据采集探针。通过运维服务实现现有安全态势感知平台相关网络安全产品续保服务，对所有硬件、软件等开展网络安全维保服务。并具有运维技术工程师提供巡检维护服务，同时提供专业级在线技术支持，确保系统发生故障时能第一时间处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交通网安全态势感知平台运维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标的名称：交通网安全态势感知平台运维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采购内容</w:t>
            </w:r>
          </w:p>
          <w:p>
            <w:pPr>
              <w:pStyle w:val="null3"/>
              <w:jc w:val="both"/>
            </w:pPr>
            <w:r>
              <w:rPr>
                <w:rFonts w:ascii="仿宋_GB2312" w:hAnsi="仿宋_GB2312" w:cs="仿宋_GB2312" w:eastAsia="仿宋_GB2312"/>
              </w:rPr>
              <w:t>陕西省交通运输网络安全态势感知及监测预警信息平台，实现对省交通运输厅、重要直属单位及地市网络节点进行网络安全威胁的监测，以及对省交通行业网络的安全态势感知及监测预警，平台针对特定保护对象所遭受的各类攻击进行趋势分析和展示，可实现对重点单位及网络节点的各个业务系统的漏洞扫描、流量采集、设备日志的采集，同时对重要门户网站进行监测，能够提高陕西省交通运输行业网络安全风险态势感知和评估能力。通过实现可对网络攻击、病毒、木马、黑客、钓鱼等网络安全事件的线索发现和通报预警，提高行业网络安全风险预警和应急处置能力。</w:t>
            </w:r>
          </w:p>
          <w:p>
            <w:pPr>
              <w:pStyle w:val="null3"/>
              <w:jc w:val="both"/>
            </w:pPr>
            <w:r>
              <w:rPr>
                <w:rFonts w:ascii="仿宋_GB2312" w:hAnsi="仿宋_GB2312" w:cs="仿宋_GB2312" w:eastAsia="仿宋_GB2312"/>
              </w:rPr>
              <w:t>系统在省厅、省公路局等</w:t>
            </w:r>
            <w:r>
              <w:rPr>
                <w:rFonts w:ascii="仿宋_GB2312" w:hAnsi="仿宋_GB2312" w:cs="仿宋_GB2312" w:eastAsia="仿宋_GB2312"/>
              </w:rPr>
              <w:t>7家重点单位和节点部署数据采集探针、僵木蠕检测探针和网络流量镜像设备，在13个地市交通专网汇聚节点部署数据采集探针。</w:t>
            </w:r>
          </w:p>
          <w:p>
            <w:pPr>
              <w:pStyle w:val="null3"/>
            </w:pPr>
            <w:r>
              <w:rPr>
                <w:rFonts w:ascii="仿宋_GB2312" w:hAnsi="仿宋_GB2312" w:cs="仿宋_GB2312" w:eastAsia="仿宋_GB2312"/>
                <w:b/>
              </w:rPr>
              <w:t>1.安全产品续服</w:t>
            </w:r>
          </w:p>
          <w:p>
            <w:pPr>
              <w:pStyle w:val="null3"/>
              <w:jc w:val="both"/>
            </w:pPr>
            <w:r>
              <w:rPr>
                <w:rFonts w:ascii="仿宋_GB2312" w:hAnsi="仿宋_GB2312" w:cs="仿宋_GB2312" w:eastAsia="仿宋_GB2312"/>
              </w:rPr>
              <w:t>★本次网络安全产品续服包含产品如下：</w:t>
            </w:r>
          </w:p>
          <w:tbl>
            <w:tblPr>
              <w:tblInd w:type="dxa" w:w="240"/>
              <w:tblBorders>
                <w:top w:val="none" w:color="000000" w:sz="4"/>
                <w:left w:val="none" w:color="000000" w:sz="4"/>
                <w:bottom w:val="none" w:color="000000" w:sz="4"/>
                <w:right w:val="none" w:color="000000" w:sz="4"/>
                <w:insideH w:val="none"/>
                <w:insideV w:val="none"/>
              </w:tblBorders>
            </w:tblPr>
            <w:tblGrid>
              <w:gridCol w:w="254"/>
              <w:gridCol w:w="587"/>
              <w:gridCol w:w="460"/>
              <w:gridCol w:w="381"/>
              <w:gridCol w:w="339"/>
              <w:gridCol w:w="532"/>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设备名称</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品牌</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型号</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数量</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续服年限</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网络安全态势感知及检测预警平台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ISOP</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1年</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安全数据采集探针</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NCSS</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1年</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87"/>
                  <w:vMerge/>
                  <w:tcBorders>
                    <w:top w:val="none" w:color="000000" w:sz="4"/>
                    <w:left w:val="non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UTS</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1年</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资产扫描探针</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NCSS</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1年</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网站安全监测引擎</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WSMH</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1年</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僵木蠕检测探针系统</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UTS</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1年</w:t>
                  </w:r>
                </w:p>
              </w:tc>
            </w:tr>
          </w:tbl>
          <w:p>
            <w:pPr>
              <w:pStyle w:val="null3"/>
            </w:pPr>
            <w:r>
              <w:rPr>
                <w:rFonts w:ascii="仿宋_GB2312" w:hAnsi="仿宋_GB2312" w:cs="仿宋_GB2312" w:eastAsia="仿宋_GB2312"/>
                <w:b/>
              </w:rPr>
              <w:t>注：供应商提供具有维保服务能力的证明材料</w:t>
            </w:r>
            <w:r>
              <w:rPr>
                <w:rFonts w:ascii="仿宋_GB2312" w:hAnsi="仿宋_GB2312" w:cs="仿宋_GB2312" w:eastAsia="仿宋_GB2312"/>
                <w:b/>
              </w:rPr>
              <w:t>,未满足按无效标处理。</w:t>
            </w:r>
          </w:p>
          <w:p>
            <w:pPr>
              <w:pStyle w:val="null3"/>
            </w:pPr>
            <w:r>
              <w:rPr>
                <w:rFonts w:ascii="仿宋_GB2312" w:hAnsi="仿宋_GB2312" w:cs="仿宋_GB2312" w:eastAsia="仿宋_GB2312"/>
                <w:b/>
              </w:rPr>
              <w:t>2.安全服务内容</w:t>
            </w:r>
          </w:p>
          <w:p>
            <w:pPr>
              <w:pStyle w:val="null3"/>
            </w:pPr>
            <w:r>
              <w:rPr>
                <w:rFonts w:ascii="仿宋_GB2312" w:hAnsi="仿宋_GB2312" w:cs="仿宋_GB2312" w:eastAsia="仿宋_GB2312"/>
              </w:rPr>
              <w:t>供应商需配备运维技术工程师负责平台运维（能胜任具有巡检维护、网络安全应急响应、故障处置、问题分析和报告撰写能力）。运维技术工程师需严格遵守采购人各项内部规章制度。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技术要求</w:t>
            </w:r>
          </w:p>
          <w:p>
            <w:pPr>
              <w:pStyle w:val="null3"/>
            </w:pPr>
            <w:r>
              <w:rPr>
                <w:rFonts w:ascii="仿宋_GB2312" w:hAnsi="仿宋_GB2312" w:cs="仿宋_GB2312" w:eastAsia="仿宋_GB2312"/>
                <w:b/>
              </w:rPr>
              <w:t>1.质保服务要求</w:t>
            </w:r>
          </w:p>
          <w:tbl>
            <w:tblPr>
              <w:tblInd w:type="dxa" w:w="240"/>
              <w:tblBorders>
                <w:top w:val="none" w:color="000000" w:sz="4"/>
                <w:left w:val="none" w:color="000000" w:sz="4"/>
                <w:bottom w:val="none" w:color="000000" w:sz="4"/>
                <w:right w:val="none" w:color="000000" w:sz="4"/>
                <w:insideH w:val="none"/>
                <w:insideV w:val="none"/>
              </w:tblBorders>
            </w:tblPr>
            <w:tblGrid>
              <w:gridCol w:w="540"/>
              <w:gridCol w:w="2013"/>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服务内容</w:t>
                  </w:r>
                </w:p>
              </w:tc>
              <w:tc>
                <w:tcPr>
                  <w:tcW w:type="dxa" w:w="2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服务要求</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质保服务</w:t>
                  </w:r>
                </w:p>
              </w:tc>
              <w:tc>
                <w:tcPr>
                  <w:tcW w:type="dxa" w:w="2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提供一年产品质保及软件、特征库升级服务。</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备品备件服务</w:t>
                  </w:r>
                </w:p>
              </w:tc>
              <w:tc>
                <w:tcPr>
                  <w:tcW w:type="dxa" w:w="2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针对本项目网络安全产品维保具有完善的备品备件库体系，</w:t>
                  </w:r>
                  <w:r>
                    <w:rPr>
                      <w:rFonts w:ascii="仿宋_GB2312" w:hAnsi="仿宋_GB2312" w:cs="仿宋_GB2312" w:eastAsia="仿宋_GB2312"/>
                      <w:sz w:val="21"/>
                    </w:rPr>
                    <w:t>能够向本次涉及的安全产品提供快捷的备品备件服务。</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电话响应</w:t>
                  </w:r>
                </w:p>
              </w:tc>
              <w:tc>
                <w:tcPr>
                  <w:tcW w:type="dxa" w:w="2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在正常的办公时间内</w:t>
                  </w:r>
                  <w:r>
                    <w:rPr>
                      <w:rFonts w:ascii="仿宋_GB2312" w:hAnsi="仿宋_GB2312" w:cs="仿宋_GB2312" w:eastAsia="仿宋_GB2312"/>
                      <w:sz w:val="19"/>
                    </w:rPr>
                    <w:t>(每星期一至星期五的9:00-17:30)，客户可通过电话获得安全、专业的技术支持、访问问题处理、知识库、软件以及客户培训信息。</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远程支持服务</w:t>
                  </w:r>
                </w:p>
              </w:tc>
              <w:tc>
                <w:tcPr>
                  <w:tcW w:type="dxa" w:w="2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对于通过电话指导不能解决的故障，在征得客户同意后，通过远程接入手段，登录到故障设备，进行故障诊断，查找故障出现的原因，指导现场人员处理故障。</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现场服务</w:t>
                  </w:r>
                </w:p>
              </w:tc>
              <w:tc>
                <w:tcPr>
                  <w:tcW w:type="dxa" w:w="2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对于通过电话支持和远程支持都不能解决的故障，供应商安排经验丰富的技术服务工程师赴现场分析故障原因，制定故障解决方案，并最终排除故障。</w:t>
                  </w:r>
                </w:p>
              </w:tc>
            </w:tr>
          </w:tbl>
          <w:p>
            <w:pPr>
              <w:pStyle w:val="null3"/>
            </w:pPr>
            <w:r>
              <w:rPr>
                <w:rFonts w:ascii="仿宋_GB2312" w:hAnsi="仿宋_GB2312" w:cs="仿宋_GB2312" w:eastAsia="仿宋_GB2312"/>
                <w:sz w:val="21"/>
                <w:b/>
              </w:rPr>
              <w:t>2.安全响应要求</w:t>
            </w:r>
          </w:p>
          <w:p>
            <w:pPr>
              <w:pStyle w:val="null3"/>
              <w:jc w:val="both"/>
            </w:pPr>
            <w:r>
              <w:rPr>
                <w:rFonts w:ascii="仿宋_GB2312" w:hAnsi="仿宋_GB2312" w:cs="仿宋_GB2312" w:eastAsia="仿宋_GB2312"/>
              </w:rPr>
              <w:t>（</w:t>
            </w:r>
            <w:r>
              <w:rPr>
                <w:rFonts w:ascii="仿宋_GB2312" w:hAnsi="仿宋_GB2312" w:cs="仿宋_GB2312" w:eastAsia="仿宋_GB2312"/>
              </w:rPr>
              <w:t>1）提供7×24小时技术支持服务，在接到技术支持要求时，为系统使用人员提供如何使用系统的咨询。</w:t>
            </w:r>
          </w:p>
          <w:p>
            <w:pPr>
              <w:pStyle w:val="null3"/>
              <w:jc w:val="both"/>
            </w:pPr>
            <w:r>
              <w:rPr>
                <w:rFonts w:ascii="仿宋_GB2312" w:hAnsi="仿宋_GB2312" w:cs="仿宋_GB2312" w:eastAsia="仿宋_GB2312"/>
              </w:rPr>
              <w:t>（</w:t>
            </w:r>
            <w:r>
              <w:rPr>
                <w:rFonts w:ascii="仿宋_GB2312" w:hAnsi="仿宋_GB2312" w:cs="仿宋_GB2312" w:eastAsia="仿宋_GB2312"/>
              </w:rPr>
              <w:t>2）在使用系统如遇到软件、硬件或是网络问题，需提供电话支持与帮助。一旦接到请求电话，需在2小时内通过电话解决或回答用户所出的问题。</w:t>
            </w:r>
          </w:p>
          <w:p>
            <w:pPr>
              <w:pStyle w:val="null3"/>
              <w:jc w:val="both"/>
            </w:pPr>
            <w:r>
              <w:rPr>
                <w:rFonts w:ascii="仿宋_GB2312" w:hAnsi="仿宋_GB2312" w:cs="仿宋_GB2312" w:eastAsia="仿宋_GB2312"/>
              </w:rPr>
              <w:t>（</w:t>
            </w:r>
            <w:r>
              <w:rPr>
                <w:rFonts w:ascii="仿宋_GB2312" w:hAnsi="仿宋_GB2312" w:cs="仿宋_GB2312" w:eastAsia="仿宋_GB2312"/>
              </w:rPr>
              <w:t>3）在接到故障报修要求时，1小时内做出明确响应和安排，一般问题需在2小时内为采购人提供故障恢复服务，重大故障需在24小时内恢复并做出故障诊断报告。</w:t>
            </w:r>
          </w:p>
          <w:p>
            <w:pPr>
              <w:pStyle w:val="null3"/>
              <w:jc w:val="both"/>
            </w:pPr>
            <w:r>
              <w:rPr>
                <w:rFonts w:ascii="仿宋_GB2312" w:hAnsi="仿宋_GB2312" w:cs="仿宋_GB2312" w:eastAsia="仿宋_GB2312"/>
              </w:rPr>
              <w:t>（</w:t>
            </w:r>
            <w:r>
              <w:rPr>
                <w:rFonts w:ascii="仿宋_GB2312" w:hAnsi="仿宋_GB2312" w:cs="仿宋_GB2312" w:eastAsia="仿宋_GB2312"/>
              </w:rPr>
              <w:t>4）应按照采购人要求，</w:t>
            </w:r>
            <w:r>
              <w:rPr>
                <w:rFonts w:ascii="仿宋_GB2312" w:hAnsi="仿宋_GB2312" w:cs="仿宋_GB2312" w:eastAsia="仿宋_GB2312"/>
              </w:rPr>
              <w:t>每周</w:t>
            </w:r>
            <w:r>
              <w:rPr>
                <w:rFonts w:ascii="仿宋_GB2312" w:hAnsi="仿宋_GB2312" w:cs="仿宋_GB2312" w:eastAsia="仿宋_GB2312"/>
              </w:rPr>
              <w:t>对相关信息系统或设备巡检</w:t>
            </w:r>
            <w:r>
              <w:rPr>
                <w:rFonts w:ascii="仿宋_GB2312" w:hAnsi="仿宋_GB2312" w:cs="仿宋_GB2312" w:eastAsia="仿宋_GB2312"/>
              </w:rPr>
              <w:t>不少于</w:t>
            </w:r>
            <w:r>
              <w:rPr>
                <w:rFonts w:ascii="仿宋_GB2312" w:hAnsi="仿宋_GB2312" w:cs="仿宋_GB2312" w:eastAsia="仿宋_GB2312"/>
              </w:rPr>
              <w:t>1次</w:t>
            </w:r>
            <w:r>
              <w:rPr>
                <w:rFonts w:ascii="仿宋_GB2312" w:hAnsi="仿宋_GB2312" w:cs="仿宋_GB2312" w:eastAsia="仿宋_GB2312"/>
              </w:rPr>
              <w:t>，发现问题并及时处置，撰写工作报告。</w:t>
            </w:r>
          </w:p>
          <w:p>
            <w:pPr>
              <w:pStyle w:val="null3"/>
            </w:pPr>
            <w:r>
              <w:rPr>
                <w:rFonts w:ascii="仿宋_GB2312" w:hAnsi="仿宋_GB2312" w:cs="仿宋_GB2312" w:eastAsia="仿宋_GB2312"/>
              </w:rPr>
              <w:t>（5）法定节假日、重大会议或活动等重要时期按采购人要求提供现场值守服务。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配备1名项目经理及至少1名运维技术工程师。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2026年6月17日至2027年6月16日。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1.供应商需参加采购人组织的运维单位考核，按照《陕西省交通运行监测中心信息化系统运维服务考核办法》执行。 2.合同期满，运维项目必须通过采购人验收。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其他，合同签订后供应商必须提供相应发票给采购人，达到付款条件起10个工作日内，支付合同总金额的100.0%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 2.未按合同或政府采购招投标文件要求提供产品、服务，或供应的产品、服务质量不能满足采购人技术要求，经书面告知在合理期限内整改但仍不予调整的，采购人有权终止合同，并有权对违约行为进行追究。 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 4.采购人的违约责任：采购人因自身原因不按合同约定向供应商付款，每逾期一天，须按迟延付款额的0.01%向供应商支付延期付款的违约金。采购人不按照合同约定提供相关资料及其它协作事项的，应提前7日书面通知供应商，项目完成时间予以顺延。 5.供应商的违约责任：供应商未按照本合同约定保质保量提供产品或服务，经采购人催告后履行仍不符合合同约定的，采购人有权解除本合同，同时有权要求供应商按照合同价款的10%承担违约金。采购人维权支付的诉讼费、保全费、律师费等费用由供应商承担。 合同履行期限结束，供应商未能按期完成服务期限的内容，供应商应继续履行自身义务直至符合合同约定。同时从合同履行期限届满之日开始起算，每逾期一天按合同总金额的0.03%向采购人支付违约金。 若本项目经采购人验收不合格，采购人有权要求供应商在10日内整改完善，供应商必须予以整改完善。因此导致成果逾期提交的，履行期限不予顺延，每逾期一天，应按合同总金额的0.03%向采购人支付违约金；限期补充完善仍未达到采购人要求的，采购人有权单方解除合同，供应商除应承担上述逾期违约金外，还应赔偿因此给采购人造成的实际损失（例如：鉴定费、委托第三方为采购人提供完善项目所产生的费用、项目建设进度顺延给采购人造成的损失、诉讼费、律师费等），赔偿金额原则上不超过本合同总金额的30%，但采购人的实际损失超过合同总金额30%的，供应商应当承担补足责任。 甲乙双方任何一方违反保密义务的，违约方应向对方支付合同总金额10%的违约金，违约金不足以弥补对方损失的还应当承担补足责任。 供应商没有采购人的书面同意转让合同或将项目的全部或部分分包或转包出去，采购人可向供应商发出书面违约通知书，提出终止部分或全部合同。若采购人部分终止合同的，供应商应继续履行合同其他义务，并按照合同金额的10%支付违约金。若采购人全部终止合同的，供应商应按合同总金额30%的支付违约金。同时采购人的实际损失超过合同总金额30%的，供应商应当承担补足责任。 供应商违反合同约定的其它责任、义务视为违约，需向采购人支付合同总价款的30%违约金。同时采购人的实际损失超过合同总金额30%的，供应商应当承担补足责任。 合同争议的解决：合同执行中发生争议的，当事人双方应协商解决，协商达不成一致时，可向采购人所在地人民法院提请诉讼。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质量标准：符合国家及行业质量验收合格标准。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整体专门面向中小企业采购。承接服务供应商应为中小企业，即提供服务的人员为中小企业依照《中华人民共和国劳动合同法》订立劳动合同的从业人员。中小企业须符合本项目采购标的对应行业（软件和信息技术服务业）的政策划分标准。监狱企业、残疾人福利单位视同小型、微型企业。 注：中小企业应填写的《中小企业声明函》（见响应文件格式）可为判定标准；残疾人福利性单位填写的《残疾人福利性单位声明函》（见响应文件格式）可为判定标准；监狱企业须供应商提供由省级以上监狱管理局、戒毒管理局（含新疆生产建设兵团）出具的属于监狱企业的证明文件，否则不予认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磋商小组认为供应商响应报价明显低于其他实质性响应的供应商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政府采购供应商拒绝政府采购领域商业贿赂承诺书 首轮报价表 分项报价表 响应承诺书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首轮报价表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符合磋商文件第三章“3.3商务要求”</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服务内容及服务要求响应</w:t>
            </w:r>
          </w:p>
        </w:tc>
        <w:tc>
          <w:tcPr>
            <w:tcW w:type="dxa" w:w="3322"/>
          </w:tcPr>
          <w:p>
            <w:pPr>
              <w:pStyle w:val="null3"/>
            </w:pPr>
            <w:r>
              <w:rPr>
                <w:rFonts w:ascii="仿宋_GB2312" w:hAnsi="仿宋_GB2312" w:cs="仿宋_GB2312" w:eastAsia="仿宋_GB2312"/>
              </w:rPr>
              <w:t>符合磋商文件第三章“3.2服务内容及服务要求响应”中★条款要求。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供应商应满足磋商文件的实质性要求，也不得存在磋商文件规定的无效情形。</w:t>
            </w:r>
          </w:p>
        </w:tc>
        <w:tc>
          <w:tcPr>
            <w:tcW w:type="dxa" w:w="1661"/>
          </w:tcPr>
          <w:p>
            <w:pPr>
              <w:pStyle w:val="null3"/>
            </w:pPr>
            <w:r>
              <w:rPr>
                <w:rFonts w:ascii="仿宋_GB2312" w:hAnsi="仿宋_GB2312" w:cs="仿宋_GB2312" w:eastAsia="仿宋_GB2312"/>
              </w:rPr>
              <w:t>首轮报价表 分项报价表 响应承诺书 中小企业声明函 供应商业绩一览表 响应文件封面 其他资格证明文件 政府采购供应商拒绝政府采购领域商业贿赂承诺书 残疾人福利性单位声明函 服务方案 商务要求应答表 响应函 监狱企业的证明文件 人员明细表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根据供应商提供的项目总体分析（分析内容包括但不限于项目背景、采购需求及意义、项目的重点难点及具体要求等）进行综合评审： 1.对本项目的背景、采购需求及意义理解非常透彻，对项目重点难点及具体要求有具体分析及具体应对措施，得10分； 2.对本项目的背景、采购需求及意义有较好的理解，对项目重点难点及具体要求有较好的分析及应对措施，得7分； 3.对本项目的背景、采购需求及意义理解不到位，对项目重点难点及具体要求的分析较差，应对措施较差，得4分； 4.未提供或其他情况不得分。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根据供应商提供的服务方案（包括但不限于项目网络安全监测、安全态势感知及监测预警、趋势分析和展示等方面）进行评审： 1.服务方案内容全面完善、切实可行、有针对性，完全满足项目采购要求，得15分； 2.服务方案内容比较全面完善、切实可行，比较有针对性，基本满足项目采购要求，得10分； 3.服务方案内容不够全面完善、可行性差，针对性较差，部分满足项目采购要求，得5分； 4.未提供或其他情况不得分。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1.制定了十分详细、合理的项目进度计划及进度计划保证措施，得8分； 2.制定了较为详细、合理的项目进度计划及进度计划保证措施，得5分； 3.制定的项目进度计划及进度计划保证措施较差，得3分； 4.未提供或其他情况不得分。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1.配备1名项目经理及至少1名运维技术工程师，根据采购人要求提供重要时期现场值守服务，完全满足得2分。 2.项目经理具有信息化相关行业高级或以上职称得2分，中级职称得1分； 具有近三年（2023年01月01日至磋商响应文件提交截止时间）类似项目业绩一项得1分，满分2分。 3.运维技术工程师具有相关专业的技能证书得1分，没有不得分。 注：项目经理类似项目业绩须提供相关证明材料。时间以合同签订时间为准。具体人员须提供人员身份证、证书扫描件。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人员明细表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人员配备2（项目团队人员配备）</w:t>
            </w:r>
          </w:p>
        </w:tc>
        <w:tc>
          <w:tcPr>
            <w:tcW w:type="dxa" w:w="2492"/>
          </w:tcPr>
          <w:p>
            <w:pPr>
              <w:pStyle w:val="null3"/>
            </w:pPr>
            <w:r>
              <w:rPr>
                <w:rFonts w:ascii="仿宋_GB2312" w:hAnsi="仿宋_GB2312" w:cs="仿宋_GB2312" w:eastAsia="仿宋_GB2312"/>
              </w:rPr>
              <w:t>项目团队人员配备：拟投入项目团队人员分工明确、配置合理，经验丰富，专业性强，满足采购要求得8分； 分工较明确、配置较合理、经验较丰富的，基本满足采购要求得5分； 分工不够明确、配置一般、经验一般的得3分。 注：提供拟派团队人员明细表。</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人员明细表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员工管理</w:t>
            </w:r>
          </w:p>
        </w:tc>
        <w:tc>
          <w:tcPr>
            <w:tcW w:type="dxa" w:w="2492"/>
          </w:tcPr>
          <w:p>
            <w:pPr>
              <w:pStyle w:val="null3"/>
            </w:pPr>
            <w:r>
              <w:rPr>
                <w:rFonts w:ascii="仿宋_GB2312" w:hAnsi="仿宋_GB2312" w:cs="仿宋_GB2312" w:eastAsia="仿宋_GB2312"/>
              </w:rPr>
              <w:t>根据供应商针对本项目提供的符合实际情况的培训、行政管理制度及考核办法、风险管控、岗位考核细则、工作人员奖惩制度等进行评审： 1.各项制度方法完整明确、具有针对性得6分； 2.各项制度方法较完整明确、针对性一般得3分； 3.未提供或其他情况不得。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项目质量保障措施</w:t>
            </w:r>
          </w:p>
        </w:tc>
        <w:tc>
          <w:tcPr>
            <w:tcW w:type="dxa" w:w="2492"/>
          </w:tcPr>
          <w:p>
            <w:pPr>
              <w:pStyle w:val="null3"/>
            </w:pPr>
            <w:r>
              <w:rPr>
                <w:rFonts w:ascii="仿宋_GB2312" w:hAnsi="仿宋_GB2312" w:cs="仿宋_GB2312" w:eastAsia="仿宋_GB2312"/>
              </w:rPr>
              <w:t>根据供应商提供针对本项目的项目质量保障措施进行评审： 1.项目质量保障措施内容详尽、完善、有针对性，完全满足随时汇报以及短期内提交成果等特殊要求的，得6分； 2.项目质量保障措施比较详尽、完善、比较有针对性，能够满足随时汇报以及短期内提交成果等特殊要求的，得4分； 3.项目质量保障措施较差，合理性、可行性较差，无法满足随时汇报以及短期内提交成果等特殊要求的，得3分； 4.未提供或其他情况不得分。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根据供应商提供的应急预案及突发事件应急保障措施进行评审： 1.应急预案内容分析全面、具体、合理，应对突发事件的保障措施详细、可行、有针对性，得8分； 2.应急预案内容分析较为全面、具体、合理，应对突发事件的保障措施较为详细、可行，比较有针对性，得5分； 3.应急预案内容分析不够全面、具体、合理，应对突发事件的保障措施不够详细，可行性、针对性较差，得3分； 4.未提供或其他情况不得分。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根据供应商提供针对本项目的售后服务方案进行评审： 1.售后服务方案详细，完全满足采购需求得5分； 2.售后服务方案基本完整，基本满足采购需求得3分； 3.未提供不得分。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根据供应商针对本项目提供的保密措施（包括但不限于技术资料、商业秘密和商业信息、电子数据及现场管理的保密及应对措施等方面）进行评审： 1.保密措施全面完善，应对措施切实可行、有针对性，完全满足项目采购要求，得5分； 2.保密措施比较全面完善，应对措施基本切实可行，比较有针对性，基本满足项目采购要求，得3分； 3.保密措施不够全面完善，应对措施不够切实可行，针对性较差，部分满足项目采购要求，得2分； 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从2023年01月01日起至磋商响应文件递交截止时间（以合同签订时间为准）完成类似项目业绩，每提供一份计1分，最多得5分。 注：以磋商响应文件中所附的合同复印件为准。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根据供应商针对本项目项目执行、技术支持、人员安排等方面提供的合理化建议进行评审： 1.建议内容明确、合理、具有较强的可行性得7分； 2.建议内容基本明确、合理、具有可行性，得4分； 3.建议内容较为含糊且缺乏可行性，得1分；4.未提供不得分。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满足竞争性磋商文件要求且最低的磋商报价为评审基准价，其价格分为满分。各供应商的报价得分按下列公式计算：报价得分=（基准价/磋商报价）×10 磋商报价不完整的，不计入磋商基准价的计算，本项得0分。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详见附件：首轮报价表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详见附件：其他资格证明文件</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详见附件：人员明细表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