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版本号：HRC-ZBDL-2026-0081520260629001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“十五五”消费品行业发展规划编制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HRC-ZBDL-2026-00815</w:t>
      </w:r>
      <w:r>
        <w:br/>
      </w:r>
      <w:r>
        <w:br/>
      </w:r>
      <w:r>
        <w:br/>
      </w:r>
    </w:p>
    <w:p>
      <w:pPr>
        <w:pStyle w:val="null3"/>
        <w:jc w:val="center"/>
        <w:outlineLvl w:val="2"/>
      </w:pPr>
      <w:r>
        <w:rPr>
          <w:rFonts w:ascii="仿宋_GB2312" w:hAnsi="仿宋_GB2312" w:cs="仿宋_GB2312" w:eastAsia="仿宋_GB2312"/>
          <w:sz w:val="28"/>
          <w:b/>
        </w:rPr>
        <w:t>陕西省工业和信息化厅机关</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陕西省工业和信息化厅机关</w:t>
      </w:r>
      <w:r>
        <w:rPr>
          <w:rFonts w:ascii="仿宋_GB2312" w:hAnsi="仿宋_GB2312" w:cs="仿宋_GB2312" w:eastAsia="仿宋_GB2312"/>
        </w:rPr>
        <w:t>委托，拟对</w:t>
      </w:r>
      <w:r>
        <w:rPr>
          <w:rFonts w:ascii="仿宋_GB2312" w:hAnsi="仿宋_GB2312" w:cs="仿宋_GB2312" w:eastAsia="仿宋_GB2312"/>
        </w:rPr>
        <w:t>“十五五”消费品行业发展规划编制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HRC-ZBDL-2026-00815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“十五五”消费品行业发展规划编制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依据陕西省工业和信息化厅提供的编制框架、组织架构及相关基础材料，开展以下工作： 1、系统梳理全省食品、医药、工业、纺织四大行业发展现状与问题，开展国内产业发展趋势研判及我省战略机遇分析；2、研究提出“十五五”期间的发展思路、目标体系（产业规模、创新指标、品牌培育等）；3、编制各行业发展重点、重点任务和专项工程（含创新能力提升、数字化转型、绿色制造、品牌建设、生物工程等）；4、形成《陕西省消费品工业“十五五”发展规划》总报告及4个行业专项报告。</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明（法人参加只需提供法定代表人身份证明并与营业执照上信息一致）；法定代表人授权他人参加磋商的，须提供法定代表人授权书及被授权人身份证（被授权人提供开标前半年内任意一个月的社保缴纳证明）。</w:t>
      </w:r>
    </w:p>
    <w:p>
      <w:pPr>
        <w:pStyle w:val="null3"/>
      </w:pPr>
      <w:r>
        <w:rPr>
          <w:rFonts w:ascii="仿宋_GB2312" w:hAnsi="仿宋_GB2312" w:cs="仿宋_GB2312" w:eastAsia="仿宋_GB2312"/>
        </w:rPr>
        <w:t>2、信用记录：供应商未被列入“信用中国”网站记录的“失信被执行人”或“重大税收违法案件当事人”名单；不处于“中国政府采购网”记录的“政府采购严重违法失信行为记录名单”中的禁止参加政府采购活动期间（以评审现场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陕西省工业和信息化厅机关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西安市新城区新城大院省政府前大楼6-66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029-63916829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张静、朱媛媛、陈定彩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18829202250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代理服务费收费标准：按照《国家发改委文件发改价格[2011]534号文件》及《国家计委价格[2002]1980号文件》规定标准下浮 20%，（收费标准计算不足3000元按3000元计取）。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陕西省工业和信息化厅机关</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陕西省工业和信息化厅机关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陕西省工业和信息化厅机关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1.供应商为履行本项目义务所形成的服务成果的知识产权、数据所有权等归采购人所有。本项目不会引起任何已申请、登记的知识产权所有权的转移。 2.供应商保证向采购人提供的服务成果是其独⽴实施完成，不存在任何侵犯第三方专利权、商标权、著作权等合法权益。</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　成果内容符合采购需求，并通过采购人组织的专家评审会； ②　文稿格式规范，数据准确，无重大遗漏或错误； ③　按时交付全部成果。</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联系人：张静</w:t>
      </w:r>
    </w:p>
    <w:p>
      <w:pPr>
        <w:pStyle w:val="null3"/>
      </w:pPr>
      <w:r>
        <w:rPr>
          <w:rFonts w:ascii="仿宋_GB2312" w:hAnsi="仿宋_GB2312" w:cs="仿宋_GB2312" w:eastAsia="仿宋_GB2312"/>
        </w:rPr>
        <w:t>联系电话：18829202250</w:t>
      </w:r>
    </w:p>
    <w:p>
      <w:pPr>
        <w:pStyle w:val="null3"/>
      </w:pPr>
      <w:r>
        <w:rPr>
          <w:rFonts w:ascii="仿宋_GB2312" w:hAnsi="仿宋_GB2312" w:cs="仿宋_GB2312" w:eastAsia="仿宋_GB2312"/>
        </w:rPr>
        <w:t>地址：陕西省西安市雁塔区曲江新区雁翔路 3269 号旺座曲江 E 座 29 层 2901 号</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依据陕西省工业和信息化厅提供的编制框架、组织架构及相关基础材料，开展以下工作： ①　系统梳理全省食品、医药、轻工、纺织四大行业发展现状与问题，开展国内产业发展趋势研判及我省战略机遇分析； ②　研究提出“十五五”期间的发展思路、目标体系（产业规模、创新指标、品牌培育等）； ③　编制各行业发展重点、重点任务和专项工程（含创新能力提升、数字化转型、绿色制造、品牌建设、生物工程等）； ④　形成《陕西省消费品工业“十五五”发展规划》总报告及4个行业专项报告。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361,580.00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十五五消费品行业发展规划编制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标的名称：十五五消费品行业发展规划编制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按照《陕西省工业和信息化厅关于印发</w:t>
            </w:r>
            <w:r>
              <w:rPr>
                <w:rFonts w:ascii="仿宋_GB2312" w:hAnsi="仿宋_GB2312" w:cs="仿宋_GB2312" w:eastAsia="仿宋_GB2312"/>
                <w:sz w:val="24"/>
              </w:rPr>
              <w:t>“十五五”规划编制工作总体方案的通知》要求，编制“十五五”消费品（食品</w:t>
            </w:r>
            <w:r>
              <w:rPr>
                <w:rFonts w:ascii="仿宋_GB2312" w:hAnsi="仿宋_GB2312" w:cs="仿宋_GB2312" w:eastAsia="仿宋_GB2312"/>
                <w:sz w:val="24"/>
              </w:rPr>
              <w:t>/医药/</w:t>
            </w:r>
            <w:r>
              <w:rPr>
                <w:rFonts w:ascii="仿宋_GB2312" w:hAnsi="仿宋_GB2312" w:cs="仿宋_GB2312" w:eastAsia="仿宋_GB2312"/>
                <w:sz w:val="24"/>
              </w:rPr>
              <w:t>轻工</w:t>
            </w:r>
            <w:r>
              <w:rPr>
                <w:rFonts w:ascii="仿宋_GB2312" w:hAnsi="仿宋_GB2312" w:cs="仿宋_GB2312" w:eastAsia="仿宋_GB2312"/>
                <w:sz w:val="24"/>
              </w:rPr>
              <w:t>/</w:t>
            </w:r>
            <w:r>
              <w:rPr>
                <w:rFonts w:ascii="仿宋_GB2312" w:hAnsi="仿宋_GB2312" w:cs="仿宋_GB2312" w:eastAsia="仿宋_GB2312"/>
                <w:sz w:val="24"/>
              </w:rPr>
              <w:t>纺织）行业发展规划。</w:t>
            </w:r>
          </w:p>
          <w:p>
            <w:pPr>
              <w:pStyle w:val="null3"/>
              <w:jc w:val="both"/>
            </w:pPr>
            <w:r>
              <w:rPr>
                <w:rFonts w:ascii="仿宋_GB2312" w:hAnsi="仿宋_GB2312" w:cs="仿宋_GB2312" w:eastAsia="仿宋_GB2312"/>
                <w:sz w:val="24"/>
                <w:b/>
              </w:rPr>
              <w:t>二、采购内容及要求</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项目内容</w:t>
            </w:r>
          </w:p>
          <w:p>
            <w:pPr>
              <w:pStyle w:val="null3"/>
              <w:ind w:firstLine="480"/>
              <w:jc w:val="both"/>
            </w:pPr>
            <w:r>
              <w:rPr>
                <w:rFonts w:ascii="仿宋_GB2312" w:hAnsi="仿宋_GB2312" w:cs="仿宋_GB2312" w:eastAsia="仿宋_GB2312"/>
                <w:sz w:val="24"/>
              </w:rPr>
              <w:t>供应商需依据陕西省工业和信息化厅提供的编制框架、组织架构及相关基础材料，开展以下工作：</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①系统梳理全省食品、医药、轻工、纺织四大行业发展现状与问题，开展国内产业发展趋势研判及我省战略机遇分析；</w:t>
            </w:r>
          </w:p>
          <w:p>
            <w:pPr>
              <w:pStyle w:val="null3"/>
              <w:ind w:firstLine="480"/>
              <w:jc w:val="both"/>
            </w:pPr>
            <w:r>
              <w:rPr>
                <w:rFonts w:ascii="仿宋_GB2312" w:hAnsi="仿宋_GB2312" w:cs="仿宋_GB2312" w:eastAsia="仿宋_GB2312"/>
                <w:sz w:val="24"/>
              </w:rPr>
              <w:t>②研究提出“十五五”期间的发展思路、目标体系（产业规模、创新指标、品牌培育等）；</w:t>
            </w:r>
          </w:p>
          <w:p>
            <w:pPr>
              <w:pStyle w:val="null3"/>
              <w:ind w:firstLine="480"/>
              <w:jc w:val="both"/>
            </w:pPr>
            <w:r>
              <w:rPr>
                <w:rFonts w:ascii="仿宋_GB2312" w:hAnsi="仿宋_GB2312" w:cs="仿宋_GB2312" w:eastAsia="仿宋_GB2312"/>
                <w:sz w:val="24"/>
              </w:rPr>
              <w:t>③编制各行业发展重点、重点任务和专项工程（含创新能力提升、数字化转型、绿色制造、品牌建设、生物工程等）；</w:t>
            </w:r>
          </w:p>
          <w:p>
            <w:pPr>
              <w:pStyle w:val="null3"/>
              <w:ind w:firstLine="480"/>
              <w:jc w:val="both"/>
            </w:pPr>
            <w:r>
              <w:rPr>
                <w:rFonts w:ascii="仿宋_GB2312" w:hAnsi="仿宋_GB2312" w:cs="仿宋_GB2312" w:eastAsia="仿宋_GB2312"/>
                <w:sz w:val="24"/>
              </w:rPr>
              <w:t>④形成《陕西省消费品工业“十五五”发展规划》总报告及</w:t>
            </w:r>
            <w:r>
              <w:rPr>
                <w:rFonts w:ascii="仿宋_GB2312" w:hAnsi="仿宋_GB2312" w:cs="仿宋_GB2312" w:eastAsia="仿宋_GB2312"/>
                <w:sz w:val="24"/>
              </w:rPr>
              <w:t>4</w:t>
            </w:r>
            <w:r>
              <w:rPr>
                <w:rFonts w:ascii="仿宋_GB2312" w:hAnsi="仿宋_GB2312" w:cs="仿宋_GB2312" w:eastAsia="仿宋_GB2312"/>
                <w:sz w:val="24"/>
              </w:rPr>
              <w:t>个行业专项报告。</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项目要求</w:t>
            </w:r>
          </w:p>
          <w:p>
            <w:pPr>
              <w:pStyle w:val="null3"/>
              <w:ind w:firstLine="480"/>
              <w:jc w:val="both"/>
            </w:pPr>
            <w:r>
              <w:rPr>
                <w:rFonts w:ascii="仿宋_GB2312" w:hAnsi="仿宋_GB2312" w:cs="仿宋_GB2312" w:eastAsia="仿宋_GB2312"/>
                <w:sz w:val="24"/>
              </w:rPr>
              <w:t>①规划内容应体现前瞻性、科学性与可操作性，符合国家及省级相关政策导向；</w:t>
            </w:r>
          </w:p>
          <w:p>
            <w:pPr>
              <w:pStyle w:val="null3"/>
              <w:ind w:firstLine="480"/>
              <w:jc w:val="both"/>
            </w:pPr>
            <w:r>
              <w:rPr>
                <w:rFonts w:ascii="仿宋_GB2312" w:hAnsi="仿宋_GB2312" w:cs="仿宋_GB2312" w:eastAsia="仿宋_GB2312"/>
                <w:sz w:val="24"/>
              </w:rPr>
              <w:t>②报告结构完整、数据翔实、逻辑清晰，文字表述规范；</w:t>
            </w:r>
          </w:p>
          <w:p>
            <w:pPr>
              <w:pStyle w:val="null3"/>
              <w:ind w:firstLine="480"/>
              <w:jc w:val="both"/>
            </w:pPr>
            <w:r>
              <w:rPr>
                <w:rFonts w:ascii="仿宋_GB2312" w:hAnsi="仿宋_GB2312" w:cs="仿宋_GB2312" w:eastAsia="仿宋_GB2312"/>
                <w:sz w:val="24"/>
              </w:rPr>
              <w:t>③各行业报告之间应协调统一，与总报告形成有机整体；</w:t>
            </w:r>
          </w:p>
          <w:p>
            <w:pPr>
              <w:pStyle w:val="null3"/>
              <w:ind w:firstLine="480"/>
              <w:jc w:val="both"/>
            </w:pPr>
            <w:r>
              <w:rPr>
                <w:rFonts w:ascii="仿宋_GB2312" w:hAnsi="仿宋_GB2312" w:cs="仿宋_GB2312" w:eastAsia="仿宋_GB2312"/>
                <w:sz w:val="24"/>
              </w:rPr>
              <w:t>④供应商须组建具备食品、医药、轻工、纺织等专业背景的专家团队，其中至少包括正高级职称专家</w:t>
            </w:r>
            <w:r>
              <w:rPr>
                <w:rFonts w:ascii="仿宋_GB2312" w:hAnsi="仿宋_GB2312" w:cs="仿宋_GB2312" w:eastAsia="仿宋_GB2312"/>
                <w:sz w:val="24"/>
              </w:rPr>
              <w:t>4</w:t>
            </w:r>
            <w:r>
              <w:rPr>
                <w:rFonts w:ascii="仿宋_GB2312" w:hAnsi="仿宋_GB2312" w:cs="仿宋_GB2312" w:eastAsia="仿宋_GB2312"/>
                <w:sz w:val="24"/>
              </w:rPr>
              <w:t>人；服务团队人员未经采购人同意，不得随意更换。</w:t>
            </w:r>
          </w:p>
          <w:p>
            <w:pPr>
              <w:pStyle w:val="null3"/>
              <w:ind w:firstLine="480"/>
              <w:jc w:val="both"/>
            </w:pPr>
            <w:r>
              <w:rPr>
                <w:rFonts w:ascii="仿宋_GB2312" w:hAnsi="仿宋_GB2312" w:cs="仿宋_GB2312" w:eastAsia="仿宋_GB2312"/>
                <w:sz w:val="24"/>
              </w:rPr>
              <w:t>⑤项目执行期间需按采购人要求参加调研、座谈、评审会议等不少于</w:t>
            </w:r>
            <w:r>
              <w:rPr>
                <w:rFonts w:ascii="仿宋_GB2312" w:hAnsi="仿宋_GB2312" w:cs="仿宋_GB2312" w:eastAsia="仿宋_GB2312"/>
                <w:sz w:val="24"/>
              </w:rPr>
              <w:t>6</w:t>
            </w:r>
            <w:r>
              <w:rPr>
                <w:rFonts w:ascii="仿宋_GB2312" w:hAnsi="仿宋_GB2312" w:cs="仿宋_GB2312" w:eastAsia="仿宋_GB2312"/>
                <w:sz w:val="24"/>
              </w:rPr>
              <w:t>次；</w:t>
            </w:r>
          </w:p>
          <w:p>
            <w:pPr>
              <w:pStyle w:val="null3"/>
              <w:ind w:firstLine="480"/>
              <w:jc w:val="both"/>
            </w:pPr>
            <w:r>
              <w:rPr>
                <w:rFonts w:ascii="仿宋_GB2312" w:hAnsi="仿宋_GB2312" w:cs="仿宋_GB2312" w:eastAsia="仿宋_GB2312"/>
                <w:sz w:val="24"/>
              </w:rPr>
              <w:t>⑥配合完成规划评审、修改完善及成果报送。</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其他要求</w:t>
            </w:r>
          </w:p>
          <w:p>
            <w:pPr>
              <w:pStyle w:val="null3"/>
              <w:ind w:firstLine="480"/>
              <w:jc w:val="both"/>
            </w:pPr>
            <w:r>
              <w:rPr>
                <w:rFonts w:ascii="仿宋_GB2312" w:hAnsi="仿宋_GB2312" w:cs="仿宋_GB2312" w:eastAsia="仿宋_GB2312"/>
                <w:sz w:val="24"/>
              </w:rPr>
              <w:t>①供应商须在中标后</w:t>
            </w:r>
            <w:r>
              <w:rPr>
                <w:rFonts w:ascii="仿宋_GB2312" w:hAnsi="仿宋_GB2312" w:cs="仿宋_GB2312" w:eastAsia="仿宋_GB2312"/>
                <w:sz w:val="24"/>
              </w:rPr>
              <w:t>5</w:t>
            </w:r>
            <w:r>
              <w:rPr>
                <w:rFonts w:ascii="仿宋_GB2312" w:hAnsi="仿宋_GB2312" w:cs="仿宋_GB2312" w:eastAsia="仿宋_GB2312"/>
                <w:sz w:val="24"/>
              </w:rPr>
              <w:t>个工作日内提交详细实施方案；</w:t>
            </w:r>
          </w:p>
          <w:p>
            <w:pPr>
              <w:pStyle w:val="null3"/>
              <w:ind w:firstLine="480"/>
              <w:jc w:val="both"/>
            </w:pPr>
            <w:r>
              <w:rPr>
                <w:rFonts w:ascii="仿宋_GB2312" w:hAnsi="仿宋_GB2312" w:cs="仿宋_GB2312" w:eastAsia="仿宋_GB2312"/>
                <w:sz w:val="24"/>
              </w:rPr>
              <w:t>②规划编制过程中所有调研数据、访谈记录、过程文稿等资料需整理归档，并在项目结束后移交采购人；</w:t>
            </w:r>
          </w:p>
          <w:p>
            <w:pPr>
              <w:pStyle w:val="null3"/>
              <w:ind w:firstLine="480"/>
              <w:jc w:val="both"/>
            </w:pPr>
            <w:r>
              <w:rPr>
                <w:rFonts w:ascii="仿宋_GB2312" w:hAnsi="仿宋_GB2312" w:cs="仿宋_GB2312" w:eastAsia="仿宋_GB2312"/>
                <w:sz w:val="24"/>
              </w:rPr>
              <w:t>③供应商应配合采购人完成规划发布后的政策解读或培训辅导工作（不少于</w:t>
            </w:r>
            <w:r>
              <w:rPr>
                <w:rFonts w:ascii="仿宋_GB2312" w:hAnsi="仿宋_GB2312" w:cs="仿宋_GB2312" w:eastAsia="仿宋_GB2312"/>
                <w:sz w:val="24"/>
              </w:rPr>
              <w:t>2</w:t>
            </w:r>
            <w:r>
              <w:rPr>
                <w:rFonts w:ascii="仿宋_GB2312" w:hAnsi="仿宋_GB2312" w:cs="仿宋_GB2312" w:eastAsia="仿宋_GB2312"/>
                <w:sz w:val="24"/>
              </w:rPr>
              <w:t>次）。</w:t>
            </w:r>
          </w:p>
          <w:p>
            <w:pPr>
              <w:pStyle w:val="null3"/>
              <w:jc w:val="both"/>
            </w:pPr>
            <w:r>
              <w:rPr>
                <w:rFonts w:ascii="仿宋_GB2312" w:hAnsi="仿宋_GB2312" w:cs="仿宋_GB2312" w:eastAsia="仿宋_GB2312"/>
                <w:sz w:val="24"/>
                <w:b/>
              </w:rPr>
              <w:t>三、项目验收</w:t>
            </w:r>
          </w:p>
          <w:p>
            <w:pPr>
              <w:pStyle w:val="null3"/>
              <w:ind w:firstLine="482"/>
              <w:jc w:val="both"/>
            </w:pPr>
            <w:r>
              <w:rPr>
                <w:rFonts w:ascii="仿宋_GB2312" w:hAnsi="仿宋_GB2312" w:cs="仿宋_GB2312" w:eastAsia="仿宋_GB2312"/>
                <w:sz w:val="24"/>
                <w:b/>
              </w:rPr>
              <w:t xml:space="preserve"> 1.</w:t>
            </w:r>
            <w:r>
              <w:rPr>
                <w:rFonts w:ascii="仿宋_GB2312" w:hAnsi="仿宋_GB2312" w:cs="仿宋_GB2312" w:eastAsia="仿宋_GB2312"/>
                <w:sz w:val="24"/>
                <w:b/>
              </w:rPr>
              <w:t>交付成果：</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①《陕西省消费品工业“十五五”发展规划》（总报告）正式稿纸质版</w:t>
            </w:r>
            <w:r>
              <w:rPr>
                <w:rFonts w:ascii="仿宋_GB2312" w:hAnsi="仿宋_GB2312" w:cs="仿宋_GB2312" w:eastAsia="仿宋_GB2312"/>
                <w:sz w:val="24"/>
              </w:rPr>
              <w:t>10</w:t>
            </w:r>
            <w:r>
              <w:rPr>
                <w:rFonts w:ascii="仿宋_GB2312" w:hAnsi="仿宋_GB2312" w:cs="仿宋_GB2312" w:eastAsia="仿宋_GB2312"/>
                <w:sz w:val="24"/>
              </w:rPr>
              <w:t>份、电子版</w:t>
            </w:r>
            <w:r>
              <w:rPr>
                <w:rFonts w:ascii="仿宋_GB2312" w:hAnsi="仿宋_GB2312" w:cs="仿宋_GB2312" w:eastAsia="仿宋_GB2312"/>
                <w:sz w:val="24"/>
              </w:rPr>
              <w:t>1</w:t>
            </w:r>
            <w:r>
              <w:rPr>
                <w:rFonts w:ascii="仿宋_GB2312" w:hAnsi="仿宋_GB2312" w:cs="仿宋_GB2312" w:eastAsia="仿宋_GB2312"/>
                <w:sz w:val="24"/>
              </w:rPr>
              <w:t>份；</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②食品、医药、轻工、纺织</w:t>
            </w:r>
            <w:r>
              <w:rPr>
                <w:rFonts w:ascii="仿宋_GB2312" w:hAnsi="仿宋_GB2312" w:cs="仿宋_GB2312" w:eastAsia="仿宋_GB2312"/>
                <w:sz w:val="24"/>
              </w:rPr>
              <w:t>4</w:t>
            </w:r>
            <w:r>
              <w:rPr>
                <w:rFonts w:ascii="仿宋_GB2312" w:hAnsi="仿宋_GB2312" w:cs="仿宋_GB2312" w:eastAsia="仿宋_GB2312"/>
                <w:sz w:val="24"/>
              </w:rPr>
              <w:t>个行业专项报告正式稿各</w:t>
            </w:r>
            <w:r>
              <w:rPr>
                <w:rFonts w:ascii="仿宋_GB2312" w:hAnsi="仿宋_GB2312" w:cs="仿宋_GB2312" w:eastAsia="仿宋_GB2312"/>
                <w:sz w:val="24"/>
              </w:rPr>
              <w:t>5</w:t>
            </w:r>
            <w:r>
              <w:rPr>
                <w:rFonts w:ascii="仿宋_GB2312" w:hAnsi="仿宋_GB2312" w:cs="仿宋_GB2312" w:eastAsia="仿宋_GB2312"/>
                <w:sz w:val="24"/>
              </w:rPr>
              <w:t>份、电子版各</w:t>
            </w:r>
            <w:r>
              <w:rPr>
                <w:rFonts w:ascii="仿宋_GB2312" w:hAnsi="仿宋_GB2312" w:cs="仿宋_GB2312" w:eastAsia="仿宋_GB2312"/>
                <w:sz w:val="24"/>
              </w:rPr>
              <w:t>1</w:t>
            </w:r>
            <w:r>
              <w:rPr>
                <w:rFonts w:ascii="仿宋_GB2312" w:hAnsi="仿宋_GB2312" w:cs="仿宋_GB2312" w:eastAsia="仿宋_GB2312"/>
                <w:sz w:val="24"/>
              </w:rPr>
              <w:t>份；</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③规划编制过程资料汇编</w:t>
            </w:r>
            <w:r>
              <w:rPr>
                <w:rFonts w:ascii="仿宋_GB2312" w:hAnsi="仿宋_GB2312" w:cs="仿宋_GB2312" w:eastAsia="仿宋_GB2312"/>
                <w:sz w:val="24"/>
              </w:rPr>
              <w:t>1</w:t>
            </w:r>
            <w:r>
              <w:rPr>
                <w:rFonts w:ascii="仿宋_GB2312" w:hAnsi="仿宋_GB2312" w:cs="仿宋_GB2312" w:eastAsia="仿宋_GB2312"/>
                <w:sz w:val="24"/>
              </w:rPr>
              <w:t>套。</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b/>
              </w:rPr>
              <w:t>2.</w:t>
            </w:r>
            <w:r>
              <w:rPr>
                <w:rFonts w:ascii="仿宋_GB2312" w:hAnsi="仿宋_GB2312" w:cs="仿宋_GB2312" w:eastAsia="仿宋_GB2312"/>
                <w:sz w:val="24"/>
                <w:b/>
              </w:rPr>
              <w:t>验收标准：</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①成果内容符合采购需求，并通过采购人组织的专家评审会；</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②文稿格式规范，数据准确，无重大遗漏或错误；</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③按时交付全部成果。</w:t>
            </w:r>
          </w:p>
          <w:p>
            <w:pPr>
              <w:pStyle w:val="null3"/>
              <w:ind w:firstLine="480"/>
              <w:jc w:val="both"/>
            </w:pPr>
            <w:r>
              <w:rPr>
                <w:rFonts w:ascii="仿宋_GB2312" w:hAnsi="仿宋_GB2312" w:cs="仿宋_GB2312" w:eastAsia="仿宋_GB2312"/>
                <w:sz w:val="24"/>
              </w:rPr>
              <w:t xml:space="preserve">  3</w:t>
            </w:r>
            <w:r>
              <w:rPr>
                <w:rFonts w:ascii="仿宋_GB2312" w:hAnsi="仿宋_GB2312" w:cs="仿宋_GB2312" w:eastAsia="仿宋_GB2312"/>
                <w:sz w:val="24"/>
                <w:b/>
              </w:rPr>
              <w:t>.</w:t>
            </w:r>
            <w:r>
              <w:rPr>
                <w:rFonts w:ascii="仿宋_GB2312" w:hAnsi="仿宋_GB2312" w:cs="仿宋_GB2312" w:eastAsia="仿宋_GB2312"/>
                <w:sz w:val="24"/>
                <w:b/>
              </w:rPr>
              <w:t>验收方式：</w:t>
            </w:r>
            <w:r>
              <w:rPr>
                <w:rFonts w:ascii="仿宋_GB2312" w:hAnsi="仿宋_GB2312" w:cs="仿宋_GB2312" w:eastAsia="仿宋_GB2312"/>
                <w:sz w:val="24"/>
              </w:rPr>
              <w:t>采购人组织专家进行会议评审，出具验收意见书。</w:t>
            </w:r>
          </w:p>
          <w:p>
            <w:pPr>
              <w:pStyle w:val="null3"/>
              <w:jc w:val="both"/>
            </w:pPr>
            <w:r>
              <w:rPr>
                <w:rFonts w:ascii="仿宋_GB2312" w:hAnsi="仿宋_GB2312" w:cs="仿宋_GB2312" w:eastAsia="仿宋_GB2312"/>
                <w:sz w:val="24"/>
                <w:b/>
              </w:rPr>
              <w:t>四、保密要求</w:t>
            </w:r>
          </w:p>
          <w:p>
            <w:pPr>
              <w:pStyle w:val="null3"/>
              <w:ind w:firstLine="480"/>
              <w:jc w:val="both"/>
            </w:pPr>
            <w:r>
              <w:rPr>
                <w:rFonts w:ascii="仿宋_GB2312" w:hAnsi="仿宋_GB2312" w:cs="仿宋_GB2312" w:eastAsia="仿宋_GB2312"/>
                <w:sz w:val="24"/>
              </w:rPr>
              <w:t>供应商应对本项目涉及的所有资料、数据、过程文件及成果内容承担保密责任，未经采购人书面同意，不得向任何第三方泄露或用于其他用途。保密期限自合同签订之日起不少于</w:t>
            </w:r>
            <w:r>
              <w:rPr>
                <w:rFonts w:ascii="仿宋_GB2312" w:hAnsi="仿宋_GB2312" w:cs="仿宋_GB2312" w:eastAsia="仿宋_GB2312"/>
                <w:sz w:val="24"/>
              </w:rPr>
              <w:t>5</w:t>
            </w:r>
            <w:r>
              <w:rPr>
                <w:rFonts w:ascii="仿宋_GB2312" w:hAnsi="仿宋_GB2312" w:cs="仿宋_GB2312" w:eastAsia="仿宋_GB2312"/>
                <w:sz w:val="24"/>
              </w:rPr>
              <w:t>年。</w:t>
            </w:r>
          </w:p>
          <w:p>
            <w:pPr>
              <w:pStyle w:val="null3"/>
              <w:jc w:val="both"/>
            </w:pPr>
            <w:r>
              <w:rPr>
                <w:rFonts w:ascii="仿宋_GB2312" w:hAnsi="仿宋_GB2312" w:cs="仿宋_GB2312" w:eastAsia="仿宋_GB2312"/>
                <w:sz w:val="24"/>
                <w:b/>
              </w:rPr>
              <w:t>五、成果归属</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供应商为履行本项目义务所形成的服务成果的知识产权、数据所有权等归采购人所有。本项目不会引起任何已申请、登记的知识产权所有权的转移。</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供应商保证向采购人提供的服务成果是其独立实施完成，不存在任何侵犯第三方专利权、商标权、著作权等合法权益。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合同签订后6个月内完成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1.交付成果： ①　《陕西省消费品工业“十五五”发展规划》（总报告）正式稿纸质版10份、电子版1份； ②　食品、医药、轻工、纺织4个行业专项报告正式稿各5份、电子版各1份； ③　规划编制过程资料汇编1套。 2.验收标准： ①　成果内容符合采购需求，并通过采购人组织的专家评审会； ②　文稿格式规范，数据准确，无重大遗漏或错误； ③　按时交付全部成果。 3.验收方式：采购人组织专家进行会议评审，出具验收意见书。</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进度款，通过验收并交付全部成果后，达到付款条件起15个工作日内，支付合同总金额的40.0%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依据《中华人民共和国政府采购法》的相关条款和本合同约定，成交人未全面履行合同义务或者发生违约，采购人会同采购代理机构有权终止合同，依法向成交人要求经济索赔，并报请政府采购监督管理机关进行相应的行政处罚。采购人违约的，应当赔偿给成交人造成的经济损失。 2.其他违约责任按《中华人民共和国民法典》处理。 3.甲、乙双方在履行合同时发生争议，可以和解或者向有关部门或机构申请调解。当事人不愿和解、调解或者和解、调解不成的，双方可以在本合同专用条款内约定以下一种方式解决争议： （1）双方达成仲裁协议，向约定的西安市仲裁委员会申请仲裁； （2）向西安市人民法院起诉。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磋商，供应商需在电子化交易系统上传响应文件。成交结果发出三日内成交单位向采购代理机构提供一正两副纸质版响应文件及电子版1份，响应文件应与系统上传响应文件内容保持一致。 2.供应商应自响应文件递交截止时间起至投标结束，保持在线状态。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提供有效的法人或者其他组织的营业执照等证明文件，自然人的身份证明；2.提供可充分满足履行合同所需设备和专业技术能力的证明材料或承诺；3.提供近六个月中任何一个月的完税证明或免税证明（加盖公章）；4.提供近六个月中任何一个月的社会保障资金缴纳记录或免缴纳证明（加盖公章）；5.参加政府采购活动前3年内，在经营活动中没有重大违法记录的书面声明；6.不存在违反法律、法规的情况（提供承诺）。</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2025年度经审计的财务报表或本年度基本开户银行出具的资信证明（附基本开户许可证或基本存款账户信息）或政府采购信用担保机构出具的《政府采购投标担保函》；</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明（法人参加只需提供法定代表人身份证明并与营业执照上信息一致）；法定代表人授权他人参加磋商的，须提供法定代表人授权书及被授权人身份证（被授权人提供开标前半年内任意一个月的社保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中小企业声明函 残疾人福利性单位声明函 服务方案 标的清单 供应商应提交的相关资格证明材料 服务内容及服务要求应答表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响应文件有效期满足竞争性磋商文件要求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磋商响应报价</w:t>
            </w:r>
          </w:p>
        </w:tc>
        <w:tc>
          <w:tcPr>
            <w:tcW w:type="dxa" w:w="3322"/>
          </w:tcPr>
          <w:p>
            <w:pPr>
              <w:pStyle w:val="null3"/>
            </w:pPr>
            <w:r>
              <w:rPr>
                <w:rFonts w:ascii="仿宋_GB2312" w:hAnsi="仿宋_GB2312" w:cs="仿宋_GB2312" w:eastAsia="仿宋_GB2312"/>
              </w:rPr>
              <w:t>供应商磋商响应报价没有超出采购预算或最高限价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供应商提供2021年6月1日至今同类项目业绩，每份计4分，计满20分为止。以合同或中标通知书为准（时间以合同签订时间或中标通知书时间为准）。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具备正高级工程师职称及以上得8分，具备副高级工程师职称得5分，不满足要求或未提供不得分。 注：提供项目负责人身份证明、职称证等复印件加盖公章，否则不得分。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项目组成员（除项目负责人外），具备正高级工程师及以上职称的每人得3分，具备副高级工程师职称的每人得2分，具备中级工程师职称的每人得1分，满分 12 分。 注：提供人员身份证、职称证等复印件加盖公章，否则不得分。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项目的理解</w:t>
            </w:r>
          </w:p>
        </w:tc>
        <w:tc>
          <w:tcPr>
            <w:tcW w:type="dxa" w:w="2492"/>
          </w:tcPr>
          <w:p>
            <w:pPr>
              <w:pStyle w:val="null3"/>
            </w:pPr>
            <w:r>
              <w:rPr>
                <w:rFonts w:ascii="仿宋_GB2312" w:hAnsi="仿宋_GB2312" w:cs="仿宋_GB2312" w:eastAsia="仿宋_GB2312"/>
              </w:rPr>
              <w:t>评审内容： 1. 项目背景的解读； 2. 现行政策的分析； 3. 前期工作的准备； 4. 规划编制的条件认知。 评审依据：方案各部分内容全面详细、阐述条理清晰详尽符合本项需求得 4 分； 以上评审内容每缺一项扣1 分；每一项评审内容有缺陷扣 0.5 分。 （缺陷是指：内容粗略、逻辑混乱、描述过于简单、与项目特点不匹配、凭空编造、逻辑漏洞、出现常识性错误、存在不适用项目实际情况的情形或只有标题没有实质性内容等）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规划编制服务方案</w:t>
            </w:r>
          </w:p>
        </w:tc>
        <w:tc>
          <w:tcPr>
            <w:tcW w:type="dxa" w:w="2492"/>
          </w:tcPr>
          <w:p>
            <w:pPr>
              <w:pStyle w:val="null3"/>
            </w:pPr>
            <w:r>
              <w:rPr>
                <w:rFonts w:ascii="仿宋_GB2312" w:hAnsi="仿宋_GB2312" w:cs="仿宋_GB2312" w:eastAsia="仿宋_GB2312"/>
              </w:rPr>
              <w:t>评审内容： 1. 规划编制的思路和理念； 2. 规划编制工作成果； 3. 规划编制工作的进度； 4. 拟投入规划设备。 评审依据：方案各部分内容全面详细、阐述条理清晰详尽符合本项需求得12分；以上评审内容每缺一项扣3分；每一项评审内容有缺陷扣2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评审内容： 1. 项目的总体计划； 2. 各子项任务的衔接； 3. 文字及图表的说明； 4. 保证工作进度计划措施。 评审依据：方案各部分内容全面详细、阐述条理清晰详尽符合本项需求得8分；以上评审内容每缺一项扣2分；每一项评审内容有缺陷扣1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 1. 项目质量保证体系； 2. 项目质量控制措施； 3. 项目质量保障方案； 4. 进度质量保证。 评审依据：方案各部分内容全面详细、阐述条理清晰详尽符合本项需求得8分；以上评审内容每缺一项扣2分；每一项评审内容有缺陷扣1分。 （缺陷是指：内容粗略、逻辑混乱、描述过于简单、与项目特点不匹配、凭空编造、逻辑漏洞、出现常识性错误、存在不适用项目实际情况的情形或只有标题没有实质性内容等）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重点、难点分析及合理化建议</w:t>
            </w:r>
          </w:p>
        </w:tc>
        <w:tc>
          <w:tcPr>
            <w:tcW w:type="dxa" w:w="2492"/>
          </w:tcPr>
          <w:p>
            <w:pPr>
              <w:pStyle w:val="null3"/>
            </w:pPr>
            <w:r>
              <w:rPr>
                <w:rFonts w:ascii="仿宋_GB2312" w:hAnsi="仿宋_GB2312" w:cs="仿宋_GB2312" w:eastAsia="仿宋_GB2312"/>
              </w:rPr>
              <w:t>评审内容： 1. 重点、难点分析； 2. 应对措施； 3. 重点、难点相关经验； 4. 合理化措施。 评审依据：方案各部分内容全面详细、阐述条理清晰详尽符合本项需求得10 分；以上评审内容每缺一项扣1分；每一项评审内容有缺陷扣0.5分。 （缺陷是指：内容粗略、逻辑混乱、描述过于简单、与项目特点不匹配、凭空编造、逻辑漏洞、出现常识性错误、存在不适用项目实际情况的情形或只有标题没有实质性内容等）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后续服务</w:t>
            </w:r>
          </w:p>
        </w:tc>
        <w:tc>
          <w:tcPr>
            <w:tcW w:type="dxa" w:w="2492"/>
          </w:tcPr>
          <w:p>
            <w:pPr>
              <w:pStyle w:val="null3"/>
            </w:pPr>
            <w:r>
              <w:rPr>
                <w:rFonts w:ascii="仿宋_GB2312" w:hAnsi="仿宋_GB2312" w:cs="仿宋_GB2312" w:eastAsia="仿宋_GB2312"/>
              </w:rPr>
              <w:t>评审内容： 1. 后续服务内容和范围； 2. 后续服务计划； 3. 服务响应时间； 4. 服务质量承诺。 评审依据： 方案各部分内容全面详细、阐述条理清晰详尽符合本项需求得4分；以上评审内容每缺一项扣1分；每一项评审内容有缺陷扣0.5 分。（缺陷是指：内容粗略、逻辑混乱、描述过于简单、与项目特点不匹配、凭空编造、逻辑漏洞、出现常识性错误、存在不适用项目实际情况的情形或只有标题没有实质性内容等）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满足竞争性磋商文件要求且响应价格最低的响应报价为评审基准价，其价格分为满分。其他供应商的价格分统一按照下列公式计算：响应报价得分=（评审基准价/响应报价）×价格权值×100 （小微企业、监狱企业或残疾人福利性单位用投标报价扣除后的价格参加评审。）</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