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版本号：HXZB-2026-XA03020260827001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蓝田段旅游标识系统建设项目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HXZB-2026-XA030</w:t>
      </w:r>
      <w:r>
        <w:br/>
      </w:r>
      <w:r>
        <w:br/>
      </w:r>
      <w:r>
        <w:br/>
      </w:r>
    </w:p>
    <w:p>
      <w:pPr>
        <w:pStyle w:val="null3"/>
        <w:jc w:val="center"/>
        <w:outlineLvl w:val="2"/>
      </w:pPr>
      <w:r>
        <w:rPr>
          <w:rFonts w:ascii="仿宋_GB2312" w:hAnsi="仿宋_GB2312" w:cs="仿宋_GB2312" w:eastAsia="仿宋_GB2312"/>
          <w:sz w:val="28"/>
          <w:b/>
        </w:rPr>
        <w:t>西安市蓝田县文化和旅游体育局（本级）</w:t>
      </w:r>
    </w:p>
    <w:p>
      <w:pPr>
        <w:pStyle w:val="null3"/>
        <w:jc w:val="center"/>
        <w:outlineLvl w:val="2"/>
      </w:pPr>
      <w:r>
        <w:rPr>
          <w:rFonts w:ascii="仿宋_GB2312" w:hAnsi="仿宋_GB2312" w:cs="仿宋_GB2312" w:eastAsia="仿宋_GB2312"/>
          <w:sz w:val="28"/>
          <w:b/>
        </w:rPr>
        <w:t>陕西华昕项目管理有限公司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西安市蓝田县文化和旅游体育局（本级）</w:t>
      </w:r>
      <w:r>
        <w:rPr>
          <w:rFonts w:ascii="仿宋_GB2312" w:hAnsi="仿宋_GB2312" w:cs="仿宋_GB2312" w:eastAsia="仿宋_GB2312"/>
        </w:rPr>
        <w:t>委托，拟对</w:t>
      </w:r>
      <w:r>
        <w:rPr>
          <w:rFonts w:ascii="仿宋_GB2312" w:hAnsi="仿宋_GB2312" w:cs="仿宋_GB2312" w:eastAsia="仿宋_GB2312"/>
        </w:rPr>
        <w:t>蓝田段旅游标识系统建设项目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HXZB-2026-XA030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蓝田段旅游标识系统建设项目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蓝田段旅游标识系统建设项目，主要建设内容为：G40、G70高速公路蓝田段更换立柱式交通旅游引导标识牌现场焊接8个 （6000mm*4500mm*1个、6000mm*5000mm*1个、4700mm*3500mm*3个、5800mm*4100mm*2个、6000mm*4000mm*1个、）。S107省道蓝田段新建立柱式交通引导标识牌2个（2200mm*8400mm），立柱单悬臂式3F标识牌8个（4500mm*2500mm)。 （内容详见工程量清单和图纸）。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采购包1（蓝田段旅游标识系统建设项目）：属于专门面向中小企业采购。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2、财务状况报告：提供具有财务审计资质单位出具的 2025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p>
      <w:pPr>
        <w:pStyle w:val="null3"/>
      </w:pPr>
      <w:r>
        <w:rPr>
          <w:rFonts w:ascii="仿宋_GB2312" w:hAnsi="仿宋_GB2312" w:cs="仿宋_GB2312" w:eastAsia="仿宋_GB2312"/>
        </w:rPr>
        <w:t>3、税收缴纳证明：提供响应文件递交截止日前一年内已缴纳的至少一个月的纳税证明或完税证明，依法免税的单位应提供相关证明材料；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5、书面声明：参加政府采购活动前三年内在经营活动中没有重大违法记录的书面声明（提供书面声明书）；</w:t>
      </w:r>
    </w:p>
    <w:p>
      <w:pPr>
        <w:pStyle w:val="null3"/>
      </w:pPr>
      <w:r>
        <w:rPr>
          <w:rFonts w:ascii="仿宋_GB2312" w:hAnsi="仿宋_GB2312" w:cs="仿宋_GB2312" w:eastAsia="仿宋_GB2312"/>
        </w:rPr>
        <w:t>6、法定代表人授权书：供应商应授权合法的人员参加磋商全过程，其中法定代表人直接参加磋商的，须出具法定代表人身份证，并与营业执照上信息一致。法定代表人授权代表参加磋商的，须同时出具法定代表人授权书、授权代表身份证及其近三个月内的本单位社保缴纳证明；</w:t>
      </w:r>
    </w:p>
    <w:p>
      <w:pPr>
        <w:pStyle w:val="null3"/>
      </w:pPr>
      <w:r>
        <w:rPr>
          <w:rFonts w:ascii="仿宋_GB2312" w:hAnsi="仿宋_GB2312" w:cs="仿宋_GB2312" w:eastAsia="仿宋_GB2312"/>
        </w:rPr>
        <w:t>7、企业资质要求：供应商须具备行业主管部门颁发的市政公用工程施工总承包三级及以上资质或公路交通工程专业承包（公路安全设施分项）二级及以上资质，并具有有效的安全生产许可证。</w:t>
      </w:r>
    </w:p>
    <w:p>
      <w:pPr>
        <w:pStyle w:val="null3"/>
      </w:pPr>
      <w:r>
        <w:rPr>
          <w:rFonts w:ascii="仿宋_GB2312" w:hAnsi="仿宋_GB2312" w:cs="仿宋_GB2312" w:eastAsia="仿宋_GB2312"/>
        </w:rPr>
        <w:t>8、拟派项目经理资质要求：供应商拟派项目经理须具备行业主管部门颁发的市政公用工程专业二级及以上建造师资格或公路工程二级及以上注册建造师资格，具备有效的安全生产考核合格证书，在本单位注册且无在建工程；</w:t>
      </w:r>
    </w:p>
    <w:p>
      <w:pPr>
        <w:pStyle w:val="null3"/>
      </w:pPr>
      <w:r>
        <w:rPr>
          <w:rFonts w:ascii="仿宋_GB2312" w:hAnsi="仿宋_GB2312" w:cs="仿宋_GB2312" w:eastAsia="仿宋_GB2312"/>
        </w:rPr>
        <w:t>9、供应商基本信息及项目经理基本信息要求：供应商基本信息及项目经理基本信息应在“陕西建设网（http://js.shaanxi.gov.cn/ ）陕西省建筑市场监管与诚信信息发布平台”可查询；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文件截止当日查询结果为准）；</w:t>
      </w:r>
    </w:p>
    <w:p>
      <w:pPr>
        <w:pStyle w:val="null3"/>
      </w:pPr>
      <w:r>
        <w:rPr>
          <w:rFonts w:ascii="仿宋_GB2312" w:hAnsi="仿宋_GB2312" w:cs="仿宋_GB2312" w:eastAsia="仿宋_GB2312"/>
        </w:rPr>
        <w:t>10、承诺：本项目不接受联合体磋商，单位负责人为同一人或者存在直接控股、管理关系的不同供应商，不得参加同一合同项下的政府采购活动。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西安市蓝田县文化和旅游体育局（本级）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王怡人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15829883235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陕西省西安市雁塔区陕西省西安市雁塔区长安南路130号长丰国际广场B座609室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18191853535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代理服务费收费标准：1.以成交金额为基数，招标代理报酬依据国家计委颁布的《招标代理服务收费管理暂行办法》（计价格[2002]1980号）和（发改办价格[2003]857号）工程收费标准计取； 2.招标代理服务费由成交供应商支付，在领取《成交通知书》前，由成交供应商一次性支付给陕西华昕项目管理有限公司。 招标代理服务费缴纳账户： 3.开户名称：陕西华昕项目管理有限公司 开户银行：中国建设银行股份有限公司西安长安西路支行 账 号：61050177004300000615 （注：中标供应商转账时请从对公账户转出，备注“代理服务费”及“项目编号后四位”信息）</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西安市蓝田县文化和旅游体育局（本级）</w:t>
      </w:r>
      <w:r>
        <w:rPr>
          <w:rFonts w:ascii="仿宋_GB2312" w:hAnsi="仿宋_GB2312" w:cs="仿宋_GB2312" w:eastAsia="仿宋_GB2312"/>
        </w:rPr>
        <w:t>和</w:t>
      </w:r>
      <w:r>
        <w:rPr>
          <w:rFonts w:ascii="仿宋_GB2312" w:hAnsi="仿宋_GB2312" w:cs="仿宋_GB2312" w:eastAsia="仿宋_GB2312"/>
        </w:rPr>
        <w:t>陕西华昕项目管理有限公司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西安市蓝田县文化和旅游体育局（本级）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西安市蓝田县文化和旅游体育局（本级）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符合国家标准、省、市及⾏业标准以及有关技术规范要求，满⾜采购⼈要求。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联系人：杨晨</w:t>
      </w:r>
    </w:p>
    <w:p>
      <w:pPr>
        <w:pStyle w:val="null3"/>
      </w:pPr>
      <w:r>
        <w:rPr>
          <w:rFonts w:ascii="仿宋_GB2312" w:hAnsi="仿宋_GB2312" w:cs="仿宋_GB2312" w:eastAsia="仿宋_GB2312"/>
        </w:rPr>
        <w:t>联系电话：18191853535</w:t>
      </w:r>
    </w:p>
    <w:p>
      <w:pPr>
        <w:pStyle w:val="null3"/>
      </w:pPr>
      <w:r>
        <w:rPr>
          <w:rFonts w:ascii="仿宋_GB2312" w:hAnsi="仿宋_GB2312" w:cs="仿宋_GB2312" w:eastAsia="仿宋_GB2312"/>
        </w:rPr>
        <w:t>地址：陕西省西安市雁塔区长安南路130号长丰国际广场B座609室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蓝田段旅游标识系统建设项目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标的名称：蓝田段旅游标识系统建设项目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25"/>
              <w:jc w:val="both"/>
            </w:pPr>
            <w:r>
              <w:rPr>
                <w:rFonts w:ascii="仿宋_GB2312" w:hAnsi="仿宋_GB2312" w:cs="仿宋_GB2312" w:eastAsia="仿宋_GB2312"/>
                <w:sz w:val="21"/>
                <w:b/>
              </w:rPr>
              <w:t>一、项目概况</w:t>
            </w:r>
          </w:p>
          <w:p>
            <w:pPr>
              <w:pStyle w:val="null3"/>
              <w:ind w:firstLine="560"/>
              <w:jc w:val="both"/>
            </w:pPr>
            <w:r>
              <w:rPr>
                <w:rFonts w:ascii="仿宋_GB2312" w:hAnsi="仿宋_GB2312" w:cs="仿宋_GB2312" w:eastAsia="仿宋_GB2312"/>
                <w:sz w:val="21"/>
                <w:color w:val="000000"/>
              </w:rPr>
              <w:t>蓝田段旅游标识系统建设项目，主要建设内容为：G40、G70高速公路蓝田段更换立柱式交通旅游引导标识牌</w:t>
            </w:r>
            <w:r>
              <w:rPr>
                <w:rFonts w:ascii="仿宋_GB2312" w:hAnsi="仿宋_GB2312" w:cs="仿宋_GB2312" w:eastAsia="仿宋_GB2312"/>
                <w:sz w:val="21"/>
                <w:color w:val="000000"/>
              </w:rPr>
              <w:t>现场焊接</w:t>
            </w:r>
            <w:r>
              <w:rPr>
                <w:rFonts w:ascii="仿宋_GB2312" w:hAnsi="仿宋_GB2312" w:cs="仿宋_GB2312" w:eastAsia="仿宋_GB2312"/>
                <w:sz w:val="21"/>
                <w:color w:val="000000"/>
              </w:rPr>
              <w:t>8个 （6000mm*4500mm*1个、6000mm*5000mm*1个、4700mm*3500mm*3个、5800mm*4100mm*2个、6000mm*4000mm*1个、）。S107省道蓝田段新建立柱式交通引导标识牌2个（2200mm*8400mm），立柱单悬臂式3F标识牌8个（4500mm*2500mm)。  （内容详见工程量清单和图纸）。</w:t>
            </w:r>
          </w:p>
          <w:p>
            <w:pPr>
              <w:pStyle w:val="null3"/>
              <w:spacing w:before="315"/>
              <w:jc w:val="both"/>
            </w:pPr>
            <w:r>
              <w:rPr>
                <w:rFonts w:ascii="仿宋_GB2312" w:hAnsi="仿宋_GB2312" w:cs="仿宋_GB2312" w:eastAsia="仿宋_GB2312"/>
                <w:sz w:val="21"/>
                <w:b/>
              </w:rPr>
              <w:t>二、工程内容和施工地点、计划工期、缺陷责任期、质量保修期</w:t>
            </w:r>
          </w:p>
          <w:p>
            <w:pPr>
              <w:pStyle w:val="null3"/>
              <w:ind w:firstLine="562"/>
              <w:jc w:val="both"/>
            </w:pPr>
            <w:r>
              <w:rPr>
                <w:rFonts w:ascii="仿宋_GB2312" w:hAnsi="仿宋_GB2312" w:cs="仿宋_GB2312" w:eastAsia="仿宋_GB2312"/>
                <w:sz w:val="21"/>
                <w:color w:val="000000"/>
              </w:rPr>
              <w:t>（一）工程内容：蓝田段旅游标识系统建设项目。</w:t>
            </w:r>
          </w:p>
          <w:p>
            <w:pPr>
              <w:pStyle w:val="null3"/>
            </w:pPr>
            <w:r>
              <w:rPr>
                <w:rFonts w:ascii="仿宋_GB2312" w:hAnsi="仿宋_GB2312" w:cs="仿宋_GB2312" w:eastAsia="仿宋_GB2312"/>
                <w:sz w:val="21"/>
                <w:color w:val="000000"/>
              </w:rPr>
              <w:t xml:space="preserve">     （二）工程地点：西安市蓝田县 G40 高速、G70 高速及S107省道蓝田段。</w:t>
            </w:r>
          </w:p>
          <w:p>
            <w:pPr>
              <w:pStyle w:val="null3"/>
            </w:pPr>
            <w:r>
              <w:rPr>
                <w:rFonts w:ascii="仿宋_GB2312" w:hAnsi="仿宋_GB2312" w:cs="仿宋_GB2312" w:eastAsia="仿宋_GB2312"/>
                <w:sz w:val="21"/>
                <w:color w:val="000000"/>
              </w:rPr>
              <w:t xml:space="preserve">     （三）工期：自合同签订之日起60日历天</w:t>
            </w:r>
          </w:p>
          <w:p>
            <w:pPr>
              <w:pStyle w:val="null3"/>
            </w:pPr>
            <w:r>
              <w:rPr>
                <w:rFonts w:ascii="仿宋_GB2312" w:hAnsi="仿宋_GB2312" w:cs="仿宋_GB2312" w:eastAsia="仿宋_GB2312"/>
                <w:sz w:val="21"/>
                <w:color w:val="000000"/>
              </w:rPr>
              <w:t xml:space="preserve">     （四）质量保修期：1年</w:t>
            </w:r>
          </w:p>
          <w:p>
            <w:pPr>
              <w:pStyle w:val="null3"/>
            </w:pPr>
            <w:r>
              <w:rPr>
                <w:rFonts w:ascii="仿宋_GB2312" w:hAnsi="仿宋_GB2312" w:cs="仿宋_GB2312" w:eastAsia="仿宋_GB2312"/>
                <w:sz w:val="21"/>
              </w:rPr>
              <w:t xml:space="preserve">     （五）缺陷责任期限：1年</w:t>
            </w:r>
          </w:p>
          <w:p>
            <w:pPr>
              <w:pStyle w:val="null3"/>
              <w:spacing w:before="315"/>
              <w:ind w:left="420"/>
              <w:jc w:val="both"/>
            </w:pPr>
            <w:r>
              <w:rPr>
                <w:rFonts w:ascii="仿宋_GB2312" w:hAnsi="仿宋_GB2312" w:cs="仿宋_GB2312" w:eastAsia="仿宋_GB2312"/>
                <w:sz w:val="21"/>
                <w:b/>
              </w:rPr>
              <w:t>三、工程量清单和计价依据</w:t>
            </w:r>
          </w:p>
          <w:p>
            <w:pPr>
              <w:pStyle w:val="null3"/>
              <w:ind w:firstLine="560"/>
              <w:jc w:val="left"/>
            </w:pPr>
            <w:r>
              <w:rPr>
                <w:rFonts w:ascii="仿宋_GB2312" w:hAnsi="仿宋_GB2312" w:cs="仿宋_GB2312" w:eastAsia="仿宋_GB2312"/>
                <w:sz w:val="21"/>
              </w:rPr>
              <w:t>1、依据《S107蓝田段旅游标识系统建设项目》施工图相关资料；</w:t>
            </w:r>
          </w:p>
          <w:p>
            <w:pPr>
              <w:pStyle w:val="null3"/>
              <w:ind w:firstLine="560"/>
              <w:jc w:val="left"/>
            </w:pPr>
            <w:r>
              <w:rPr>
                <w:rFonts w:ascii="仿宋_GB2312" w:hAnsi="仿宋_GB2312" w:cs="仿宋_GB2312" w:eastAsia="仿宋_GB2312"/>
                <w:sz w:val="21"/>
              </w:rPr>
              <w:t>2、《陕西省建设工程费用规则》(2025)、陕西省工程建设标准《建设工程工程量清单计价计算标准》（2025）、陕西省工程建设标准《陕西省市政工程基价表》。</w:t>
            </w:r>
          </w:p>
          <w:p>
            <w:pPr>
              <w:pStyle w:val="null3"/>
              <w:ind w:firstLine="560"/>
              <w:jc w:val="left"/>
            </w:pPr>
            <w:r>
              <w:rPr>
                <w:rFonts w:ascii="仿宋_GB2312" w:hAnsi="仿宋_GB2312" w:cs="仿宋_GB2312" w:eastAsia="仿宋_GB2312"/>
                <w:sz w:val="21"/>
              </w:rPr>
              <w:t>3、本工程采用广联达云计价平台 GCCP7.0(7.5000.23.3 版本)。</w:t>
            </w:r>
          </w:p>
          <w:p>
            <w:pPr>
              <w:pStyle w:val="null3"/>
              <w:spacing w:before="315"/>
              <w:ind w:left="420"/>
              <w:jc w:val="both"/>
            </w:pPr>
            <w:r>
              <w:rPr>
                <w:rFonts w:ascii="仿宋_GB2312" w:hAnsi="仿宋_GB2312" w:cs="仿宋_GB2312" w:eastAsia="仿宋_GB2312"/>
                <w:sz w:val="21"/>
                <w:b/>
              </w:rPr>
              <w:t>四、施工要求（可选）</w:t>
            </w:r>
          </w:p>
          <w:p>
            <w:pPr>
              <w:pStyle w:val="null3"/>
              <w:ind w:firstLine="560"/>
              <w:jc w:val="left"/>
            </w:pPr>
            <w:r>
              <w:rPr>
                <w:rFonts w:ascii="仿宋_GB2312" w:hAnsi="仿宋_GB2312" w:cs="仿宋_GB2312" w:eastAsia="仿宋_GB2312"/>
                <w:sz w:val="21"/>
              </w:rPr>
              <w:t>（一）</w:t>
            </w:r>
            <w:r>
              <w:rPr>
                <w:rFonts w:ascii="仿宋_GB2312" w:hAnsi="仿宋_GB2312" w:cs="仿宋_GB2312" w:eastAsia="仿宋_GB2312"/>
                <w:sz w:val="21"/>
              </w:rPr>
              <w:t>在施工期间，中标供应商必须注意</w:t>
            </w:r>
            <w:r>
              <w:rPr>
                <w:rFonts w:ascii="仿宋_GB2312" w:hAnsi="仿宋_GB2312" w:cs="仿宋_GB2312" w:eastAsia="仿宋_GB2312"/>
                <w:sz w:val="21"/>
              </w:rPr>
              <w:t>施工现场</w:t>
            </w:r>
            <w:r>
              <w:rPr>
                <w:rFonts w:ascii="仿宋_GB2312" w:hAnsi="仿宋_GB2312" w:cs="仿宋_GB2312" w:eastAsia="仿宋_GB2312"/>
                <w:sz w:val="21"/>
              </w:rPr>
              <w:t>人员安全，加强安全措施，并对施工人员进行安全教育。施工人员必须持证上岗。</w:t>
            </w:r>
          </w:p>
          <w:p>
            <w:pPr>
              <w:pStyle w:val="null3"/>
              <w:ind w:firstLine="560"/>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）供应商针对本项目的施工，必须达到国家及行业现行技术规范标准，符合国家及行业验收合格标准。</w:t>
            </w:r>
          </w:p>
          <w:p>
            <w:pPr>
              <w:pStyle w:val="null3"/>
              <w:spacing w:before="315"/>
              <w:jc w:val="both"/>
            </w:pPr>
            <w:r>
              <w:rPr>
                <w:rFonts w:ascii="仿宋_GB2312" w:hAnsi="仿宋_GB2312" w:cs="仿宋_GB2312" w:eastAsia="仿宋_GB2312"/>
                <w:sz w:val="21"/>
                <w:b/>
              </w:rPr>
              <w:t>五、商务要求（如合同价款及结算方式等）</w:t>
            </w:r>
          </w:p>
          <w:p>
            <w:pPr>
              <w:pStyle w:val="null3"/>
              <w:ind w:firstLine="560"/>
              <w:jc w:val="left"/>
            </w:pPr>
            <w:r>
              <w:rPr>
                <w:rFonts w:ascii="仿宋_GB2312" w:hAnsi="仿宋_GB2312" w:cs="仿宋_GB2312" w:eastAsia="仿宋_GB2312"/>
                <w:sz w:val="21"/>
              </w:rPr>
              <w:t>工程结算与支付方式：甲乙双方签订合同后，甲方向乙方支付合同总金额的40%预付款，工程竣工验收合格甲方向乙方支付至工程款87%，待工程审计结束付清至97%； 尾款3%。</w:t>
            </w:r>
          </w:p>
          <w:p>
            <w:pPr>
              <w:pStyle w:val="null3"/>
              <w:spacing w:before="315"/>
              <w:ind w:left="420"/>
              <w:jc w:val="both"/>
            </w:pPr>
            <w:r>
              <w:rPr>
                <w:rFonts w:ascii="仿宋_GB2312" w:hAnsi="仿宋_GB2312" w:cs="仿宋_GB2312" w:eastAsia="仿宋_GB2312"/>
                <w:sz w:val="21"/>
                <w:b/>
              </w:rPr>
              <w:t>六、其他</w:t>
            </w:r>
          </w:p>
          <w:p>
            <w:pPr>
              <w:pStyle w:val="null3"/>
              <w:ind w:firstLine="560"/>
              <w:jc w:val="left"/>
            </w:pPr>
            <w:r>
              <w:rPr>
                <w:rFonts w:ascii="仿宋_GB2312" w:hAnsi="仿宋_GB2312" w:cs="仿宋_GB2312" w:eastAsia="仿宋_GB2312"/>
                <w:sz w:val="21"/>
              </w:rPr>
              <w:t>（一）质量验收标准或规范</w:t>
            </w:r>
          </w:p>
          <w:p>
            <w:pPr>
              <w:pStyle w:val="null3"/>
              <w:ind w:firstLine="560"/>
              <w:jc w:val="left"/>
            </w:pPr>
            <w:r>
              <w:rPr>
                <w:rFonts w:ascii="仿宋_GB2312" w:hAnsi="仿宋_GB2312" w:cs="仿宋_GB2312" w:eastAsia="仿宋_GB2312"/>
                <w:sz w:val="21"/>
              </w:rPr>
              <w:t>本项目工程质量必须达到国家及行业现行技术规范标准，符合国家及行业验收合格标准。</w:t>
            </w:r>
          </w:p>
          <w:p>
            <w:pPr>
              <w:pStyle w:val="null3"/>
              <w:ind w:firstLine="560"/>
              <w:jc w:val="left"/>
            </w:pPr>
            <w:r>
              <w:rPr>
                <w:rFonts w:ascii="仿宋_GB2312" w:hAnsi="仿宋_GB2312" w:cs="仿宋_GB2312" w:eastAsia="仿宋_GB2312"/>
                <w:sz w:val="21"/>
              </w:rPr>
              <w:t>（二）违约责任</w:t>
            </w:r>
          </w:p>
          <w:p>
            <w:pPr>
              <w:pStyle w:val="null3"/>
              <w:ind w:firstLine="560"/>
              <w:jc w:val="left"/>
            </w:pPr>
            <w:r>
              <w:rPr>
                <w:rFonts w:ascii="仿宋_GB2312" w:hAnsi="仿宋_GB2312" w:cs="仿宋_GB2312" w:eastAsia="仿宋_GB2312"/>
                <w:sz w:val="21"/>
              </w:rPr>
              <w:t>1、乙方未能按时完成本工程项目任务的，每延期一日应按合同金额的1％／天向甲方支付违约金（从工程款中直接扣除）。</w:t>
            </w:r>
          </w:p>
          <w:p>
            <w:pPr>
              <w:pStyle w:val="null3"/>
              <w:ind w:firstLine="560"/>
              <w:jc w:val="left"/>
            </w:pPr>
            <w:r>
              <w:rPr>
                <w:rFonts w:ascii="仿宋_GB2312" w:hAnsi="仿宋_GB2312" w:cs="仿宋_GB2312" w:eastAsia="仿宋_GB2312"/>
                <w:sz w:val="21"/>
              </w:rPr>
              <w:t>2、工程出现质量问题或造成不良影响视为乙方严重违约，视情节轻重乙方应按工程款的1%向甲方支付违约金（甲方有权从未支付款项中扣除）。</w:t>
            </w:r>
          </w:p>
          <w:p>
            <w:pPr>
              <w:pStyle w:val="null3"/>
              <w:ind w:firstLine="560"/>
              <w:jc w:val="left"/>
            </w:pPr>
            <w:r>
              <w:rPr>
                <w:rFonts w:ascii="仿宋_GB2312" w:hAnsi="仿宋_GB2312" w:cs="仿宋_GB2312" w:eastAsia="仿宋_GB2312"/>
                <w:sz w:val="21"/>
              </w:rPr>
              <w:t>3、双方约定的承包人其他违约责任：其他违约双方协商解决。</w:t>
            </w:r>
          </w:p>
          <w:p>
            <w:pPr>
              <w:pStyle w:val="null3"/>
              <w:ind w:firstLine="560"/>
              <w:jc w:val="left"/>
            </w:pPr>
            <w:r>
              <w:rPr>
                <w:rFonts w:ascii="仿宋_GB2312" w:hAnsi="仿宋_GB2312" w:cs="仿宋_GB2312" w:eastAsia="仿宋_GB2312"/>
                <w:sz w:val="21"/>
              </w:rPr>
              <w:t>（三）与本工程相关的特别说明</w:t>
            </w:r>
          </w:p>
          <w:p>
            <w:pPr>
              <w:pStyle w:val="null3"/>
              <w:ind w:firstLine="560"/>
              <w:jc w:val="left"/>
            </w:pPr>
            <w:r>
              <w:rPr>
                <w:rFonts w:ascii="仿宋_GB2312" w:hAnsi="仿宋_GB2312" w:cs="仿宋_GB2312" w:eastAsia="仿宋_GB2312"/>
                <w:sz w:val="21"/>
              </w:rPr>
              <w:t xml:space="preserve">  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达到国家现⾏施⼯验收规范“合格”标准。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施⼯要求：在施⼯期间，成交供应商必须注意⼈员安全，加强安全措施，并对施⼯⼈员进⾏安全教育。施⼯⼈员必须持证上岗。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成交供应商领取成交通知书时，须提供纸质磋商响应文件 一正两副及电子版 U 盘 2个（内容与系统上传保持一致）交由采购代理机构。成交供应商对所提供资料的真实性、合法性、准确性、完整性负责。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 2025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参加政府采购活动前三年内在经营活动中没有重大违法记录的书面声明（提供书面声明书）；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同时出具法定代表人授权书、授权代表身份证及其近三个月内的本单位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供应商须具备行业主管部门颁发的市政公用工程施工总承包三级及以上资质或公路交通工程专业承包（公路安全设施分项）二级及以上资质，并具有有效的安全生产许可证。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供应商拟派项目经理须具备行业主管部门颁发的市政公用工程专业二级及以上建造师资格或公路工程二级及以上注册建造师资格，具备有效的安全生产考核合格证书，在本单位注册且无在建工程；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供应商基本信息及项目经理基本信息要求</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文件截止当日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按要求提交⼆次或多次报价，且每轮报价不超 过采购预算⾦额或最⾼限价或磋商⼩组认为低 于成本价的报价。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按磋商⽂件要求签字，需盖章处按磋商⽂件要求盖章。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对磋商⽂件响应程度</w:t>
            </w:r>
          </w:p>
        </w:tc>
        <w:tc>
          <w:tcPr>
            <w:tcW w:type="dxa" w:w="3322"/>
          </w:tcPr>
          <w:p>
            <w:pPr>
              <w:pStyle w:val="null3"/>
            </w:pPr>
            <w:r>
              <w:rPr>
                <w:rFonts w:ascii="仿宋_GB2312" w:hAnsi="仿宋_GB2312" w:cs="仿宋_GB2312" w:eastAsia="仿宋_GB2312"/>
              </w:rPr>
              <w:t>要求实质性条款全部响应，不能有采购⼈不能 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10分，每有一个评审内容缺项扣2.5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一、评审内容：①项目成员配置清单及架构；②岗位职责清晰、管理目标明确。 二、评审标准：1、完善性：方案必须全面，对评审内容中的各项要求有详细阐述；2、可实施性：切合本项目实际情况，提出步骤清晰、合理的方案；3、针对性：方案能够紧扣项目实际情况，内容科学合理。 上述2项评审内容全部满足评审标准得8分，每有一个评审内容缺项扣4分，每有一项评审内容存在缺陷，扣0.5分，扣完为止，不计负分。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供应商提供2023年08月01日（以合同签订日期为准）至今的类似项目业绩，每提供一份得1分，最高得3分。(合同复印件加盖公章附在响应文件中</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详见附件：供应商认为有必要提供的其他材料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