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版本号：HJL2026-01820260716003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操场北塌陷、看台及围墙修缮项目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HJL2026-018</w:t>
      </w:r>
      <w:r>
        <w:br/>
      </w:r>
      <w:r>
        <w:br/>
      </w:r>
      <w:r>
        <w:br/>
      </w:r>
    </w:p>
    <w:p>
      <w:pPr>
        <w:pStyle w:val="null3"/>
        <w:jc w:val="center"/>
        <w:outlineLvl w:val="2"/>
      </w:pPr>
      <w:r>
        <w:rPr>
          <w:rFonts w:ascii="仿宋_GB2312" w:hAnsi="仿宋_GB2312" w:cs="仿宋_GB2312" w:eastAsia="仿宋_GB2312"/>
          <w:sz w:val="28"/>
          <w:b/>
        </w:rPr>
        <w:t>铜川高新实验学校</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铜川高新实验学校</w:t>
      </w:r>
      <w:r>
        <w:rPr>
          <w:rFonts w:ascii="仿宋_GB2312" w:hAnsi="仿宋_GB2312" w:cs="仿宋_GB2312" w:eastAsia="仿宋_GB2312"/>
        </w:rPr>
        <w:t>委托，拟对</w:t>
      </w:r>
      <w:r>
        <w:rPr>
          <w:rFonts w:ascii="仿宋_GB2312" w:hAnsi="仿宋_GB2312" w:cs="仿宋_GB2312" w:eastAsia="仿宋_GB2312"/>
        </w:rPr>
        <w:t>操场北塌陷、看台及围墙修缮项目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HJL2026-018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操场北塌陷、看台及围墙修缮项目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铜川高新实验学校操场北塌陷、看台及围墙修缮项目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采购包1（操场北塌陷、看台及围墙修缮项目）：属于专门面向小微企业采购。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2、法人授权委托书：法定代表人直接参加磋商的，须出具法人身份证明；法定代表人授权代表参加磋商的，须出具法定代表人授权书；</w:t>
      </w:r>
    </w:p>
    <w:p>
      <w:pPr>
        <w:pStyle w:val="null3"/>
      </w:pPr>
      <w:r>
        <w:rPr>
          <w:rFonts w:ascii="仿宋_GB2312" w:hAnsi="仿宋_GB2312" w:cs="仿宋_GB2312" w:eastAsia="仿宋_GB2312"/>
        </w:rPr>
        <w:t>3、供应商资质：供应商须具备国家建设行政主管部门颁发的建筑工程施工总承包二级及以上资质，须提供有效的安全生产许可证；</w:t>
      </w:r>
    </w:p>
    <w:p>
      <w:pPr>
        <w:pStyle w:val="null3"/>
      </w:pPr>
      <w:r>
        <w:rPr>
          <w:rFonts w:ascii="仿宋_GB2312" w:hAnsi="仿宋_GB2312" w:cs="仿宋_GB2312" w:eastAsia="仿宋_GB2312"/>
        </w:rPr>
        <w:t>4、项目经理资质：拟派项目经理具有建筑工程二级及以上建造师注册证书及安全生产考核合格证书(B 证)；必须为本单位的正式人员且无在建项目，提供承诺书；</w:t>
      </w:r>
    </w:p>
    <w:p>
      <w:pPr>
        <w:pStyle w:val="null3"/>
      </w:pPr>
      <w:r>
        <w:rPr>
          <w:rFonts w:ascii="仿宋_GB2312" w:hAnsi="仿宋_GB2312" w:cs="仿宋_GB2312" w:eastAsia="仿宋_GB2312"/>
        </w:rPr>
        <w:t>5、财务状况报告：提供 2024 年或 2025 年度经审计的财务报告或开标前三个月内基本开户银行开具的资信证明及开户许可证；</w:t>
      </w:r>
    </w:p>
    <w:p>
      <w:pPr>
        <w:pStyle w:val="null3"/>
      </w:pPr>
      <w:r>
        <w:rPr>
          <w:rFonts w:ascii="仿宋_GB2312" w:hAnsi="仿宋_GB2312" w:cs="仿宋_GB2312" w:eastAsia="仿宋_GB2312"/>
        </w:rPr>
        <w:t>6、税收缴纳证明：提供投标文件递交截止日前六个月内至少一个月的纳税证明或完税证明（任意税种），依法免税的单位应提供相关证明材料；</w:t>
      </w:r>
    </w:p>
    <w:p>
      <w:pPr>
        <w:pStyle w:val="null3"/>
      </w:pPr>
      <w:r>
        <w:rPr>
          <w:rFonts w:ascii="仿宋_GB2312" w:hAnsi="仿宋_GB2312" w:cs="仿宋_GB2312" w:eastAsia="仿宋_GB2312"/>
        </w:rPr>
        <w:t>7、社会保障资金交纳证明：提供投标文件递交截止日前六个月内至少一个月的社会保障资金缴存单据或社保机构开具的社会保险参保缴费情况证明，依法不需要缴纳社会保障资金的单位应提供相关证明材料；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用查询：供应商不得为“信用中国”网站（www.creditchina.gov.cn）中列入失信被执行人和重大税收违法失信主体的供应商，处于中国政府采购网(www.ccgp.gov.cn)“政府采购严重违法失信行为记录名单”中的投标人禁止参加政府采购活动；</w:t>
      </w:r>
    </w:p>
    <w:p>
      <w:pPr>
        <w:pStyle w:val="null3"/>
      </w:pPr>
      <w:r>
        <w:rPr>
          <w:rFonts w:ascii="仿宋_GB2312" w:hAnsi="仿宋_GB2312" w:cs="仿宋_GB2312" w:eastAsia="仿宋_GB2312"/>
        </w:rPr>
        <w:t>9、承诺书：提供具有履行本合同所必需的设备和专业技术能力的说明或承诺书；</w:t>
      </w:r>
    </w:p>
    <w:p>
      <w:pPr>
        <w:pStyle w:val="null3"/>
      </w:pPr>
      <w:r>
        <w:rPr>
          <w:rFonts w:ascii="仿宋_GB2312" w:hAnsi="仿宋_GB2312" w:cs="仿宋_GB2312" w:eastAsia="仿宋_GB2312"/>
        </w:rPr>
        <w:t>10、书面声明：单位负责人为同一人或者存在直接控股、管理关系的投标人，不得参加同一合同下的招标活动;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铜川高新实验学校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铜川市新区长青南路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15009198007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刘润润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19309194523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采购包1：1,179,037.00元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机构按照《国家发展改革委关于进一步放开建设项目专业服务价格的通知》（发改价格〔2015〕299号）的规定向成交单位收取代理服务费，成交单位领取中标通知书时一次结清。（采购代理服务费以成交价为计算依据）。</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铜川高新实验学校</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铜川高新实验学校</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铜川高新实验学校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最终知识产权归采购方所有。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联系人：刘润润</w:t>
      </w:r>
    </w:p>
    <w:p>
      <w:pPr>
        <w:pStyle w:val="null3"/>
      </w:pPr>
      <w:r>
        <w:rPr>
          <w:rFonts w:ascii="仿宋_GB2312" w:hAnsi="仿宋_GB2312" w:cs="仿宋_GB2312" w:eastAsia="仿宋_GB2312"/>
        </w:rPr>
        <w:t>联系电话：19309194523</w:t>
      </w:r>
    </w:p>
    <w:p>
      <w:pPr>
        <w:pStyle w:val="null3"/>
      </w:pPr>
      <w:r>
        <w:rPr>
          <w:rFonts w:ascii="仿宋_GB2312" w:hAnsi="仿宋_GB2312" w:cs="仿宋_GB2312" w:eastAsia="仿宋_GB2312"/>
        </w:rPr>
        <w:t>地址：铁诺北路2号铜川市大学生创业孵化园</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1,179,037.00</w:t>
      </w:r>
    </w:p>
    <w:p>
      <w:pPr>
        <w:pStyle w:val="null3"/>
      </w:pPr>
      <w:r>
        <w:rPr>
          <w:rFonts w:ascii="仿宋_GB2312" w:hAnsi="仿宋_GB2312" w:cs="仿宋_GB2312" w:eastAsia="仿宋_GB2312"/>
        </w:rPr>
        <w:t>采购包最高限价（元）: 1,179,037.00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1,179,037.00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主要内容为：铜川高新实验学校操场北塌陷、看台及围墙修缮。</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1.施工地点：铜川高新实验学校。</w:t>
            </w:r>
          </w:p>
          <w:p>
            <w:pPr>
              <w:pStyle w:val="null3"/>
            </w:pPr>
            <w:r>
              <w:rPr>
                <w:rFonts w:ascii="仿宋_GB2312" w:hAnsi="仿宋_GB2312" w:cs="仿宋_GB2312" w:eastAsia="仿宋_GB2312"/>
              </w:rPr>
              <w:t>2.计划工期：35天。</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工程内容:详见工程里清单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法定代表人直接参加磋商的，须出具法人身份证明；法定代表人授权代表参加磋商的，须出具法定代表人授权书；</w:t>
            </w:r>
          </w:p>
        </w:tc>
        <w:tc>
          <w:tcPr>
            <w:tcW w:type="dxa" w:w="1661"/>
          </w:tcPr>
          <w:p>
            <w:pPr>
              <w:pStyle w:val="null3"/>
            </w:pPr>
            <w:r>
              <w:rPr>
                <w:rFonts w:ascii="仿宋_GB2312" w:hAnsi="仿宋_GB2312" w:cs="仿宋_GB2312" w:eastAsia="仿宋_GB2312"/>
              </w:rPr>
              <w:t>法定代表人身份证明书.docx 供应商应提交的相关资格证明材料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供应商须具备国家建设行政主管部门颁发的建筑工程施工总承包二级及以上资质，须提供有效的安全生产许可证；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拟派项目经理具有建筑工程二级及以上建造师注册证书及安全生产考核合格证书(B 证)；必须为本单位的正式人员且无在建项目，提供承诺书；</w:t>
            </w:r>
          </w:p>
        </w:tc>
        <w:tc>
          <w:tcPr>
            <w:tcW w:type="dxa" w:w="1661"/>
          </w:tcPr>
          <w:p>
            <w:pPr>
              <w:pStyle w:val="null3"/>
            </w:pPr>
            <w:r>
              <w:rPr>
                <w:rFonts w:ascii="仿宋_GB2312" w:hAnsi="仿宋_GB2312" w:cs="仿宋_GB2312" w:eastAsia="仿宋_GB2312"/>
              </w:rPr>
              <w:t>供应商应提交的相关资格证明材料 施工组织设计.docx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 2025 年度经审计的财务报告或开标前三个月内基本开户银行开具的资信证明及开户许可证；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提供投标文件递交截止日前六个月内至少一个月的纳税证明或完税证明（任意税种），依法免税的单位应提供相关证明材料；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提供投标文件递交截止日前六个月内至少一个月的社会保障资金缴存单据或社保机构开具的社会保险参保缴费情况证明，依法不需要缴纳社会保障资金的单位应提供相关证明材料；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处于中国政府采购网(www.ccgp.gov.cn)“政府采购严重违法失信行为记录名单”中的投标人禁止参加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提供具有履行本合同所必需的设备和专业技术能力的说明或承诺书；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单位负责人为同一人或者存在直接控股、管理关系的投标人，不得参加同一合同下的招标活动;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磋商响应函签字盖章</w:t>
            </w:r>
          </w:p>
        </w:tc>
        <w:tc>
          <w:tcPr>
            <w:tcW w:type="dxa" w:w="3322"/>
          </w:tcPr>
          <w:p>
            <w:pPr>
              <w:pStyle w:val="null3"/>
            </w:pPr>
            <w:r>
              <w:rPr>
                <w:rFonts w:ascii="仿宋_GB2312" w:hAnsi="仿宋_GB2312" w:cs="仿宋_GB2312" w:eastAsia="仿宋_GB2312"/>
              </w:rPr>
              <w:t>响应文件必须由法定代表人或其授权代理人签字或加盖公章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 “响应文件格式”的要求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一份响应文件只有一个响应报价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响应报价有效性</w:t>
            </w:r>
          </w:p>
        </w:tc>
        <w:tc>
          <w:tcPr>
            <w:tcW w:type="dxa" w:w="3322"/>
          </w:tcPr>
          <w:p>
            <w:pPr>
              <w:pStyle w:val="null3"/>
            </w:pPr>
            <w:r>
              <w:rPr>
                <w:rFonts w:ascii="仿宋_GB2312" w:hAnsi="仿宋_GB2312" w:cs="仿宋_GB2312" w:eastAsia="仿宋_GB2312"/>
              </w:rPr>
              <w:t>响应总报价未超出招标人设定的上限控制价为有效报价。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根据供应商提供的施工方案进行评审，评审内容包含但不限于：（1）工程概况（2）施工准备（3）施工方法（4）相关技术措施。以上内容无缺项，专门针对本项目编制，符合本项目实际情况，内容全面详细， 且条理清晰、准确、措施合理化能够保障项目顺利实施的得20分。每小项缺项或者内容非针对于本项目的扣5分，每小项有一处缺陷的扣1分，扣完为止。（缺陷是指：施工方案内容不完整、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施工质量及施工进度保证措施</w:t>
            </w:r>
          </w:p>
        </w:tc>
        <w:tc>
          <w:tcPr>
            <w:tcW w:type="dxa" w:w="2492"/>
          </w:tcPr>
          <w:p>
            <w:pPr>
              <w:pStyle w:val="null3"/>
            </w:pPr>
            <w:r>
              <w:rPr>
                <w:rFonts w:ascii="仿宋_GB2312" w:hAnsi="仿宋_GB2312" w:cs="仿宋_GB2312" w:eastAsia="仿宋_GB2312"/>
              </w:rPr>
              <w:t>根据供应商提供的施工质量及施工进度保证措施进行评审，评审内容包括但不限于：（1）质量目标管理体系及质量的检验制度；（2）施工进度及技术保证措施。以上内容无缺项，专门针对本项目编制，符合本项目实际情况，内容描述全面详细，且条理清晰、准确、措施合理化能够保障项目顺利实施的得14分。每小项缺项或者内容非针对于本项目的扣7分；每小项有一处缺陷的扣1分，扣完为止。（缺陷是指：施工质量及进度保证措施内容不完整、条理不清晰、缺少关键点、措施描述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安全、文明施工措施及环境保证措施</w:t>
            </w:r>
          </w:p>
        </w:tc>
        <w:tc>
          <w:tcPr>
            <w:tcW w:type="dxa" w:w="2492"/>
          </w:tcPr>
          <w:p>
            <w:pPr>
              <w:pStyle w:val="null3"/>
            </w:pPr>
            <w:r>
              <w:rPr>
                <w:rFonts w:ascii="仿宋_GB2312" w:hAnsi="仿宋_GB2312" w:cs="仿宋_GB2312" w:eastAsia="仿宋_GB2312"/>
              </w:rPr>
              <w:t>根据供应商提供的安全、文明施工措施及环境保证措施进行评审，评审内容包括但不限于：（1）安全文明施工目标、安全生产管理体系、安全标识及施工现场的临时管理措施、文明施工保证措施（2）环境保护管理体系及环保控制措施。以上内容无缺项，专门针对本项目编制，符合本项目实际情况，内容全面详细，且条理清晰、准确、措施合理化能够保障项目顺利实施的得10分。每小项缺项或者内容非针对于本项目的扣5分，每小项有一处缺陷的扣1分，扣完为止。（缺陷是指：安全、文明施工措施及环境保护措施描述内容描述不完整、条理不清晰、未对安全做出具体明确的解决措施等、缺少关键点、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根据供应商提供的施工现场扬尘污染防治措施进行评审，评审内容包含但不限于：（1）污染物、杂物及废弃物的处理（2）噪音控制、防尘及扬尘的准备工作及防治措施。以上内容无缺项，专门针对本项目编制，符合本项目实际情况，内容全面详细，且条理清晰、准确、措施合理化能够保障项目顺利实施的得10分。每小项缺项或者内容非针对于本项目的扣5分，每小项有一处缺陷的扣1分，扣完为止。（缺陷是指：施工现场扬尘污染防治措施内容不完整 、条理不清晰、缺少关键点、方案不具体、针对性不强、内容无紧扣项目实际情况、表述前后不一致、现有技术条件下不可能出现的及其他不利于项目实施的情形等任意一种情形）。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对本项目配备人员</w:t>
            </w:r>
          </w:p>
        </w:tc>
        <w:tc>
          <w:tcPr>
            <w:tcW w:type="dxa" w:w="2492"/>
          </w:tcPr>
          <w:p>
            <w:pPr>
              <w:pStyle w:val="null3"/>
            </w:pPr>
            <w:r>
              <w:rPr>
                <w:rFonts w:ascii="仿宋_GB2312" w:hAnsi="仿宋_GB2312" w:cs="仿宋_GB2312" w:eastAsia="仿宋_GB2312"/>
              </w:rPr>
              <w:t>供应商提供针对本项目的人员安排，包含： （1）拟派技术负责人具备工程类中级职称，得1分，高级职称得2分； （2）项目负责人具备工程类中级职称，得1分，高级职称得2分； （3）人员整体配置：项目管理团队层级清晰，能够有效把控施工质量、安全、进度、资料、现场协调。 ①人员结构②管理能力。本项6分，每小项缺项或者内容非针对于本项目的扣3分，每小项有一处缺陷的扣1分，扣完为止。（缺陷是指：施工现场扬尘污染防治措施内容不完整 、条理不清晰、缺少关键点、方案不具体、针对性不强、内容无紧扣项目实际情况、表述前后不一致、现有技术条件下不可能出现的及其他不利于项目实施的情形等任意一种情形）。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中小企业声明函</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近三年（2023年6月至今）类似项目业绩，日期以合同签订日期或中标（成交）通知书发放日期为准，响应文件中附有其业绩证明材料，业绩以中标（成交）通知书或合同加盖供应商红色公章的复印件为依据，提供一个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满足磋商文件实质性要求且最终报价最低的供应商的价格为磋商基准价，其价格分为满分30分。 磋商报价得分=（磋商基准价/最终磋商报价）×30的公式计算得分计算分数时四舍五入取小数点后两位，。 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