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版本号：ZJZB2026-JT1057.1B120260819001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生活垃圾分类投放房采购项目(二次)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ZJZB2026-JT1057.1B1</w:t>
      </w:r>
      <w:r>
        <w:br/>
      </w:r>
      <w:r>
        <w:br/>
      </w:r>
      <w:r>
        <w:br/>
      </w:r>
    </w:p>
    <w:p>
      <w:pPr>
        <w:pStyle w:val="null3"/>
        <w:jc w:val="center"/>
        <w:outlineLvl w:val="2"/>
      </w:pPr>
      <w:r>
        <w:rPr>
          <w:rFonts w:ascii="仿宋_GB2312" w:hAnsi="仿宋_GB2312" w:cs="仿宋_GB2312" w:eastAsia="仿宋_GB2312"/>
          <w:sz w:val="28"/>
          <w:b/>
        </w:rPr>
        <w:t>西安市碑林区城市管理和综合执法局（本级）</w:t>
      </w:r>
    </w:p>
    <w:p>
      <w:pPr>
        <w:pStyle w:val="null3"/>
        <w:jc w:val="center"/>
        <w:outlineLvl w:val="2"/>
      </w:pPr>
      <w:r>
        <w:rPr>
          <w:rFonts w:ascii="仿宋_GB2312" w:hAnsi="仿宋_GB2312" w:cs="仿宋_GB2312" w:eastAsia="仿宋_GB2312"/>
          <w:sz w:val="28"/>
          <w:b/>
        </w:rPr>
        <w:t>陕西中基项目管理有限公司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陕西中基项目管理有限公司</w:t>
      </w:r>
      <w:r>
        <w:rPr>
          <w:rFonts w:ascii="仿宋_GB2312" w:hAnsi="仿宋_GB2312" w:cs="仿宋_GB2312" w:eastAsia="仿宋_GB2312"/>
        </w:rPr>
        <w:t>（以下简称“代理机构”）受</w:t>
      </w:r>
      <w:r>
        <w:rPr>
          <w:rFonts w:ascii="仿宋_GB2312" w:hAnsi="仿宋_GB2312" w:cs="仿宋_GB2312" w:eastAsia="仿宋_GB2312"/>
        </w:rPr>
        <w:t>西安市碑林区城市管理和综合执法局（本级）</w:t>
      </w:r>
      <w:r>
        <w:rPr>
          <w:rFonts w:ascii="仿宋_GB2312" w:hAnsi="仿宋_GB2312" w:cs="仿宋_GB2312" w:eastAsia="仿宋_GB2312"/>
        </w:rPr>
        <w:t>委托，拟对</w:t>
      </w:r>
      <w:r>
        <w:rPr>
          <w:rFonts w:ascii="仿宋_GB2312" w:hAnsi="仿宋_GB2312" w:cs="仿宋_GB2312" w:eastAsia="仿宋_GB2312"/>
        </w:rPr>
        <w:t>生活垃圾分类投放房采购项目(二次)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ZJZB2026-JT1057.1B1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生活垃圾分类投放房采购项目(二次)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为落实西安市生活垃圾分类管理相关政策，完善城市公共区域、居民小区、机关 单位等垃圾分类基础设施，提升垃圾分类投放智能化、标准化、规范化水平，改善人 居环境，启动本项目，采购安装半智能垃圾分类房（封闭式）、半智能垃圾分类投放 亭（封闭式）配套设备，及现场场地地面施工铺砖水电工程。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采购包1（生活垃圾分类投放房采购项目）：属于专门面向中小企业采购。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1、法人或者其他组织的营业执照等证明文件，自然人的身份证明：供应商应是独立承担民事责任能力的法人、其他组织或自然人，法人、其他组织须提供合法有 效的营业执照（或事业单位法人证书）等证明资料， 自然人须提供身份证明。注：供应商需在 项目电子化交易系统中按要求上传相应证明文件并进行电子签章。</w:t>
      </w:r>
    </w:p>
    <w:p>
      <w:pPr>
        <w:pStyle w:val="null3"/>
      </w:pPr>
      <w:r>
        <w:rPr>
          <w:rFonts w:ascii="仿宋_GB2312" w:hAnsi="仿宋_GB2312" w:cs="仿宋_GB2312" w:eastAsia="仿宋_GB2312"/>
        </w:rPr>
        <w:t>2、企业信用：供应商不得为“中国执行信息公开网”网站中列入失信被执行人和“信用中国”网站中列入重大税 收违法失信主体的供应商，不得为“中国政府采购网”政府采购严重违法失信行为记录名单中被 财政部门禁止参加政府采购活动的供应商。（以响应文件递交截止时间后的网站查询记录为准）。</w:t>
      </w:r>
    </w:p>
    <w:p>
      <w:pPr>
        <w:pStyle w:val="null3"/>
      </w:pPr>
      <w:r>
        <w:rPr>
          <w:rFonts w:ascii="仿宋_GB2312" w:hAnsi="仿宋_GB2312" w:cs="仿宋_GB2312" w:eastAsia="仿宋_GB2312"/>
        </w:rPr>
        <w:t>3、业绩要求：具备垃圾分类设备生产/供货能力，提供近2年内垃圾分类环卫设施供应项目业绩1个（包括业绩合同首页，供货清单及盖章签字页，以合同签订时间为准）。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西安市碑林区城市管理和综合执法局（本级）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碑林区雁塔北路23号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邢雨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62651335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西安市高新路56号电信广场金融商务中心（东门）裙楼四楼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高杰、曾艳、宜健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029-88336376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（水嘴）</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代理服务费收费标准：参照国家计委颁发的《招标代理服务收费管理暂行办法》(计价格[2002]1980号)规定的招标代理服务收费标准计算收取，不足5000元按5000元收取。 户名：陕西中基项目管理有限公司 开户行：招商银行股份有限公司西安小寨支行 账号：999008462710001 汇款备注：项目名称+代理服务费（可简写）请中标供应商按照要求将服务费汇入以上指定账户，如因自身原因发生错误，产生的不利后果均由供应商自行承担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西安市碑林区城市管理和综合执法局（本级）</w:t>
      </w:r>
      <w:r>
        <w:rPr>
          <w:rFonts w:ascii="仿宋_GB2312" w:hAnsi="仿宋_GB2312" w:cs="仿宋_GB2312" w:eastAsia="仿宋_GB2312"/>
        </w:rPr>
        <w:t>和</w:t>
      </w:r>
      <w:r>
        <w:rPr>
          <w:rFonts w:ascii="仿宋_GB2312" w:hAnsi="仿宋_GB2312" w:cs="仿宋_GB2312" w:eastAsia="仿宋_GB2312"/>
        </w:rPr>
        <w:t>陕西中基项目管理有限公司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西安市碑林区城市管理和综合执法局（本级）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西安市碑林区城市管理和综合执法局（本级）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陕西中基项目管理有限公司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2、如采用供应商所不拥有的知识产权，则在报价中必须包括合法使用该知识产权的相关费用。3、构成本谈判文件的各组成部分，未经采购人书面同意，供应商不得擅自复印或用于非本谈判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1、验收标准：符合国家及行业标准、本采购需求技术参数、投标文件承诺； 2、验收：配合采购人完成现场验收、功能测试、数据对接，提供验收资料； 3、验收资料：提供产品合格证、检测报告、节能环保等相关证明材料、安装调试记录、培训记录、运维方案等。</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联系人：高杰、曾艳、宜健</w:t>
      </w:r>
    </w:p>
    <w:p>
      <w:pPr>
        <w:pStyle w:val="null3"/>
      </w:pPr>
      <w:r>
        <w:rPr>
          <w:rFonts w:ascii="仿宋_GB2312" w:hAnsi="仿宋_GB2312" w:cs="仿宋_GB2312" w:eastAsia="仿宋_GB2312"/>
        </w:rPr>
        <w:t>联系电话：029-88336376</w:t>
      </w:r>
    </w:p>
    <w:p>
      <w:pPr>
        <w:pStyle w:val="null3"/>
      </w:pPr>
      <w:r>
        <w:rPr>
          <w:rFonts w:ascii="仿宋_GB2312" w:hAnsi="仿宋_GB2312" w:cs="仿宋_GB2312" w:eastAsia="仿宋_GB2312"/>
        </w:rPr>
        <w:t>地址：西安市高新路56号电信广场金融商务中心（东门）裙楼四楼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落实西安市生活垃圾分类管理相关政策，完善城市公共区域、居民小区、机关单位等垃圾分类基础设施，提升垃圾分类投放智能化、标准化、规范化水平，改善人居环境，启动本项目，采购安装半智能垃圾分类房（封闭式）、半智能垃圾分类投放亭（封闭式）配套设备，及现场场地地面施工铺砖水电工程。</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1,795,520.00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生活垃圾分类投放房采购项目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标的名称：生活垃圾分类投放房采购项目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color w:val="000000"/>
              </w:rPr>
              <w:t>一、项目概况</w:t>
            </w:r>
          </w:p>
          <w:p>
            <w:pPr>
              <w:pStyle w:val="null3"/>
              <w:ind w:firstLine="480"/>
              <w:jc w:val="left"/>
            </w:pPr>
            <w:r>
              <w:rPr>
                <w:rFonts w:ascii="仿宋_GB2312" w:hAnsi="仿宋_GB2312" w:cs="仿宋_GB2312" w:eastAsia="仿宋_GB2312"/>
                <w:sz w:val="24"/>
                <w:color w:val="000000"/>
              </w:rPr>
              <w:t>为落实西安市生活垃圾分类管理相关政策，完善城市公共区域、居民小区、机关单位等垃圾分类基础设施，提升垃圾分类投放智能化、标准化、规范化水平，改善人居环境，启动本项目，采购</w:t>
            </w:r>
            <w:r>
              <w:rPr>
                <w:rFonts w:ascii="仿宋_GB2312" w:hAnsi="仿宋_GB2312" w:cs="仿宋_GB2312" w:eastAsia="仿宋_GB2312"/>
                <w:sz w:val="24"/>
                <w:color w:val="000000"/>
              </w:rPr>
              <w:t>安装半</w:t>
            </w:r>
            <w:r>
              <w:rPr>
                <w:rFonts w:ascii="仿宋_GB2312" w:hAnsi="仿宋_GB2312" w:cs="仿宋_GB2312" w:eastAsia="仿宋_GB2312"/>
                <w:sz w:val="24"/>
                <w:color w:val="000000"/>
              </w:rPr>
              <w:t>智能垃圾分类</w:t>
            </w:r>
            <w:r>
              <w:rPr>
                <w:rFonts w:ascii="仿宋_GB2312" w:hAnsi="仿宋_GB2312" w:cs="仿宋_GB2312" w:eastAsia="仿宋_GB2312"/>
                <w:sz w:val="24"/>
                <w:color w:val="000000"/>
              </w:rPr>
              <w:t>房</w:t>
            </w:r>
            <w:r>
              <w:rPr>
                <w:rFonts w:ascii="仿宋_GB2312" w:hAnsi="仿宋_GB2312" w:cs="仿宋_GB2312" w:eastAsia="仿宋_GB2312"/>
                <w:sz w:val="24"/>
                <w:color w:val="000000"/>
              </w:rPr>
              <w:t>（封闭式）、</w:t>
            </w:r>
            <w:r>
              <w:rPr>
                <w:rFonts w:ascii="仿宋_GB2312" w:hAnsi="仿宋_GB2312" w:cs="仿宋_GB2312" w:eastAsia="仿宋_GB2312"/>
                <w:sz w:val="24"/>
                <w:color w:val="000000"/>
              </w:rPr>
              <w:t>半</w:t>
            </w:r>
            <w:r>
              <w:rPr>
                <w:rFonts w:ascii="仿宋_GB2312" w:hAnsi="仿宋_GB2312" w:cs="仿宋_GB2312" w:eastAsia="仿宋_GB2312"/>
                <w:sz w:val="24"/>
                <w:color w:val="000000"/>
              </w:rPr>
              <w:t>智能垃圾分类投放亭（</w:t>
            </w:r>
            <w:r>
              <w:rPr>
                <w:rFonts w:ascii="仿宋_GB2312" w:hAnsi="仿宋_GB2312" w:cs="仿宋_GB2312" w:eastAsia="仿宋_GB2312"/>
                <w:sz w:val="24"/>
                <w:color w:val="000000"/>
              </w:rPr>
              <w:t>封闭</w:t>
            </w:r>
            <w:r>
              <w:rPr>
                <w:rFonts w:ascii="仿宋_GB2312" w:hAnsi="仿宋_GB2312" w:cs="仿宋_GB2312" w:eastAsia="仿宋_GB2312"/>
                <w:sz w:val="24"/>
                <w:color w:val="000000"/>
              </w:rPr>
              <w:t>式）配套设备</w:t>
            </w:r>
            <w:r>
              <w:rPr>
                <w:rFonts w:ascii="仿宋_GB2312" w:hAnsi="仿宋_GB2312" w:cs="仿宋_GB2312" w:eastAsia="仿宋_GB2312"/>
                <w:sz w:val="24"/>
                <w:color w:val="000000"/>
              </w:rPr>
              <w:t>，及</w:t>
            </w:r>
            <w:r>
              <w:rPr>
                <w:rFonts w:ascii="仿宋_GB2312" w:hAnsi="仿宋_GB2312" w:cs="仿宋_GB2312" w:eastAsia="仿宋_GB2312"/>
                <w:sz w:val="24"/>
                <w:color w:val="000000"/>
              </w:rPr>
              <w:t>现</w:t>
            </w:r>
            <w:r>
              <w:rPr>
                <w:rFonts w:ascii="仿宋_GB2312" w:hAnsi="仿宋_GB2312" w:cs="仿宋_GB2312" w:eastAsia="仿宋_GB2312"/>
                <w:sz w:val="24"/>
                <w:color w:val="000000"/>
              </w:rPr>
              <w:t>场</w:t>
            </w:r>
            <w:r>
              <w:rPr>
                <w:rFonts w:ascii="仿宋_GB2312" w:hAnsi="仿宋_GB2312" w:cs="仿宋_GB2312" w:eastAsia="仿宋_GB2312"/>
                <w:sz w:val="24"/>
                <w:color w:val="000000"/>
              </w:rPr>
              <w:t>场</w:t>
            </w:r>
            <w:r>
              <w:rPr>
                <w:rFonts w:ascii="仿宋_GB2312" w:hAnsi="仿宋_GB2312" w:cs="仿宋_GB2312" w:eastAsia="仿宋_GB2312"/>
                <w:sz w:val="24"/>
                <w:color w:val="000000"/>
              </w:rPr>
              <w:t>地地面施工铺砖</w:t>
            </w:r>
            <w:r>
              <w:rPr>
                <w:rFonts w:ascii="仿宋_GB2312" w:hAnsi="仿宋_GB2312" w:cs="仿宋_GB2312" w:eastAsia="仿宋_GB2312"/>
                <w:sz w:val="24"/>
                <w:color w:val="000000"/>
              </w:rPr>
              <w:t>水电</w:t>
            </w:r>
            <w:r>
              <w:rPr>
                <w:rFonts w:ascii="仿宋_GB2312" w:hAnsi="仿宋_GB2312" w:cs="仿宋_GB2312" w:eastAsia="仿宋_GB2312"/>
                <w:sz w:val="24"/>
                <w:color w:val="000000"/>
              </w:rPr>
              <w:t>工程。</w:t>
            </w:r>
          </w:p>
          <w:p>
            <w:pPr>
              <w:pStyle w:val="null3"/>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采购内容（</w:t>
            </w:r>
            <w:r>
              <w:rPr>
                <w:rFonts w:ascii="仿宋_GB2312" w:hAnsi="仿宋_GB2312" w:cs="仿宋_GB2312" w:eastAsia="仿宋_GB2312"/>
                <w:sz w:val="24"/>
                <w:color w:val="000000"/>
              </w:rPr>
              <w:t>26个社区共30台半智能垃圾房/亭设备</w:t>
            </w:r>
            <w:r>
              <w:rPr>
                <w:rFonts w:ascii="仿宋_GB2312" w:hAnsi="仿宋_GB2312" w:cs="仿宋_GB2312" w:eastAsia="仿宋_GB2312"/>
                <w:sz w:val="24"/>
                <w:color w:val="000000"/>
              </w:rPr>
              <w:t>）</w:t>
            </w:r>
          </w:p>
          <w:p>
            <w:pPr>
              <w:pStyle w:val="null3"/>
              <w:numPr>
                <w:ilvl w:val="0"/>
                <w:numId w:val="1"/>
              </w:numPr>
              <w:jc w:val="both"/>
            </w:pPr>
            <w:r>
              <w:rPr>
                <w:rFonts w:ascii="仿宋_GB2312" w:hAnsi="仿宋_GB2312" w:cs="仿宋_GB2312" w:eastAsia="仿宋_GB2312"/>
                <w:sz w:val="24"/>
                <w:color w:val="000000"/>
              </w:rPr>
              <w:t>陈述式</w:t>
            </w:r>
          </w:p>
          <w:p>
            <w:pPr>
              <w:pStyle w:val="null3"/>
              <w:ind w:firstLine="480"/>
              <w:jc w:val="both"/>
            </w:pPr>
            <w:r>
              <w:rPr>
                <w:rFonts w:ascii="仿宋_GB2312" w:hAnsi="仿宋_GB2312" w:cs="仿宋_GB2312" w:eastAsia="仿宋_GB2312"/>
                <w:sz w:val="24"/>
                <w:color w:val="000000"/>
              </w:rPr>
              <w:t>建成一批半智能化、环保化、便民化的垃圾分类投放设施，实现四分类（可回收物、有害垃圾、厨余垃圾、其他垃圾）精准投放，电控感应按键开门。</w:t>
            </w:r>
          </w:p>
          <w:p>
            <w:pPr>
              <w:pStyle w:val="null3"/>
              <w:jc w:val="both"/>
            </w:pPr>
            <w:r>
              <w:rPr>
                <w:rFonts w:ascii="仿宋_GB2312" w:hAnsi="仿宋_GB2312" w:cs="仿宋_GB2312" w:eastAsia="仿宋_GB2312"/>
                <w:sz w:val="24"/>
                <w:color w:val="000000"/>
              </w:rPr>
              <w:t xml:space="preserve"> 配备智能管理系统，四分类投放口、暂存区、工具间、照明、通风、除臭、消毒、洗手池等基础配套，实现无接触感应</w:t>
            </w:r>
            <w:r>
              <w:rPr>
                <w:rFonts w:ascii="仿宋_GB2312" w:hAnsi="仿宋_GB2312" w:cs="仿宋_GB2312" w:eastAsia="仿宋_GB2312"/>
                <w:sz w:val="24"/>
                <w:color w:val="000000"/>
              </w:rPr>
              <w:t>+</w:t>
            </w:r>
            <w:r>
              <w:rPr>
                <w:rFonts w:ascii="仿宋_GB2312" w:hAnsi="仿宋_GB2312" w:cs="仿宋_GB2312" w:eastAsia="仿宋_GB2312"/>
                <w:sz w:val="24"/>
                <w:color w:val="000000"/>
              </w:rPr>
              <w:t>按键投放。</w:t>
            </w:r>
          </w:p>
          <w:p>
            <w:pPr>
              <w:pStyle w:val="null3"/>
              <w:jc w:val="both"/>
            </w:pPr>
            <w:r>
              <w:rPr>
                <w:rFonts w:ascii="仿宋_GB2312" w:hAnsi="仿宋_GB2312" w:cs="仿宋_GB2312" w:eastAsia="仿宋_GB2312"/>
                <w:sz w:val="24"/>
                <w:color w:val="000000"/>
              </w:rPr>
              <w:t xml:space="preserve"> 设施设备符合西安户外环境适配要求，抗风、防雨、防腐、防异味，适配小区、多场景使用。</w:t>
            </w:r>
          </w:p>
          <w:p>
            <w:pPr>
              <w:pStyle w:val="null3"/>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二</w:t>
            </w:r>
            <w:r>
              <w:rPr>
                <w:rFonts w:ascii="仿宋_GB2312" w:hAnsi="仿宋_GB2312" w:cs="仿宋_GB2312" w:eastAsia="仿宋_GB2312"/>
                <w:sz w:val="24"/>
                <w:color w:val="000000"/>
              </w:rPr>
              <w:t>）</w:t>
            </w:r>
            <w:r>
              <w:rPr>
                <w:rFonts w:ascii="仿宋_GB2312" w:hAnsi="仿宋_GB2312" w:cs="仿宋_GB2312" w:eastAsia="仿宋_GB2312"/>
                <w:sz w:val="24"/>
                <w:color w:val="000000"/>
              </w:rPr>
              <w:t>采购量清单</w:t>
            </w:r>
          </w:p>
          <w:p>
            <w:pPr>
              <w:pStyle w:val="null3"/>
              <w:jc w:val="center"/>
            </w:pPr>
            <w:r>
              <w:rPr>
                <w:rFonts w:ascii="仿宋_GB2312" w:hAnsi="仿宋_GB2312" w:cs="仿宋_GB2312" w:eastAsia="仿宋_GB2312"/>
                <w:sz w:val="28"/>
                <w:b/>
              </w:rPr>
              <w:t>半智能（垃圾房</w:t>
            </w:r>
            <w:r>
              <w:rPr>
                <w:rFonts w:ascii="仿宋_GB2312" w:hAnsi="仿宋_GB2312" w:cs="仿宋_GB2312" w:eastAsia="仿宋_GB2312"/>
                <w:sz w:val="28"/>
                <w:b/>
              </w:rPr>
              <w:t>/亭）数量清单</w:t>
            </w:r>
          </w:p>
          <w:tbl>
            <w:tblPr>
              <w:tblBorders>
                <w:top w:val="none" w:color="000000" w:sz="4"/>
                <w:left w:val="none" w:color="000000" w:sz="4"/>
                <w:bottom w:val="none" w:color="000000" w:sz="4"/>
                <w:right w:val="none" w:color="000000" w:sz="4"/>
                <w:insideH w:val="none"/>
                <w:insideV w:val="none"/>
              </w:tblBorders>
            </w:tblPr>
            <w:tblGrid>
              <w:gridCol w:w="916"/>
              <w:gridCol w:w="968"/>
              <w:gridCol w:w="664"/>
            </w:tblGrid>
            <w:tr>
              <w:tc>
                <w:tcPr>
                  <w:tcW w:type="dxa" w:w="9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小区</w:t>
                  </w:r>
                </w:p>
              </w:tc>
              <w:tc>
                <w:tcPr>
                  <w:tcW w:type="dxa" w:w="9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实际建筑尺寸（长</w:t>
                  </w:r>
                  <w:r>
                    <w:rPr>
                      <w:rFonts w:ascii="仿宋_GB2312" w:hAnsi="仿宋_GB2312" w:cs="仿宋_GB2312" w:eastAsia="仿宋_GB2312"/>
                      <w:sz w:val="24"/>
                      <w:b/>
                    </w:rPr>
                    <w:t>*</w:t>
                  </w:r>
                  <w:r>
                    <w:rPr>
                      <w:rFonts w:ascii="仿宋_GB2312" w:hAnsi="仿宋_GB2312" w:cs="仿宋_GB2312" w:eastAsia="仿宋_GB2312"/>
                      <w:sz w:val="24"/>
                      <w:b/>
                    </w:rPr>
                    <w:t>宽</w:t>
                  </w:r>
                  <w:r>
                    <w:rPr>
                      <w:rFonts w:ascii="仿宋_GB2312" w:hAnsi="仿宋_GB2312" w:cs="仿宋_GB2312" w:eastAsia="仿宋_GB2312"/>
                      <w:sz w:val="24"/>
                      <w:b/>
                    </w:rPr>
                    <w:t>*</w:t>
                  </w:r>
                  <w:r>
                    <w:rPr>
                      <w:rFonts w:ascii="仿宋_GB2312" w:hAnsi="仿宋_GB2312" w:cs="仿宋_GB2312" w:eastAsia="仿宋_GB2312"/>
                      <w:sz w:val="24"/>
                      <w:b/>
                    </w:rPr>
                    <w:t>高）</w:t>
                  </w:r>
                </w:p>
              </w:tc>
              <w:tc>
                <w:tcPr>
                  <w:tcW w:type="dxa" w:w="6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规格（桶位设置</w:t>
                  </w:r>
                  <w:r>
                    <w:rPr>
                      <w:rFonts w:ascii="仿宋_GB2312" w:hAnsi="仿宋_GB2312" w:cs="仿宋_GB2312" w:eastAsia="仿宋_GB2312"/>
                      <w:sz w:val="24"/>
                      <w:b/>
                    </w:rPr>
                    <w:t>或占地面积</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中铁一局西院</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6*3*2.7米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18平方米</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含光苑小区</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8*1.2*2.2米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10桶位+1洗手台</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合能朱阙</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L型 4.5*1.2*2.2米、</w:t>
                  </w:r>
                </w:p>
                <w:p>
                  <w:pPr>
                    <w:pStyle w:val="null3"/>
                    <w:jc w:val="center"/>
                  </w:pPr>
                  <w:r>
                    <w:rPr>
                      <w:rFonts w:ascii="仿宋_GB2312" w:hAnsi="仿宋_GB2312" w:cs="仿宋_GB2312" w:eastAsia="仿宋_GB2312"/>
                      <w:sz w:val="24"/>
                    </w:rPr>
                    <w:t>2.8*1.2*2.2米（包含工具间）</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9桶位+1洗手台+1工具间</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伟世佳大厦</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8*1.2*2.2米（含工具间）</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10桶位+1洗手台</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敬业大厦小区</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5.1*3*2.45米卷闸门正面</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15.3平方米</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永华里小区西安市市委家属院</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6*3*2.7米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18平方米</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第四医院家属院</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6*2.4*2.5米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14.4平方米</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南关建设路小区</w:t>
                  </w:r>
                  <w:r>
                    <w:rPr>
                      <w:rFonts w:ascii="仿宋_GB2312" w:hAnsi="仿宋_GB2312" w:cs="仿宋_GB2312" w:eastAsia="仿宋_GB2312"/>
                      <w:sz w:val="24"/>
                    </w:rPr>
                    <w:t>138号</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5.6*1.2*2.2米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6桶位+1洗手台</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紫玉兰庭</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7*2.2*2.5米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15.4平方米</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西号巷</w:t>
                  </w:r>
                  <w:r>
                    <w:rPr>
                      <w:rFonts w:ascii="仿宋_GB2312" w:hAnsi="仿宋_GB2312" w:cs="仿宋_GB2312" w:eastAsia="仿宋_GB2312"/>
                      <w:sz w:val="24"/>
                    </w:rPr>
                    <w:t>3号院</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7.6*1.2*2.2米（包含工具间）</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8桶位+1洗手台+1工具间</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乐居场</w:t>
                  </w:r>
                  <w:r>
                    <w:rPr>
                      <w:rFonts w:ascii="仿宋_GB2312" w:hAnsi="仿宋_GB2312" w:cs="仿宋_GB2312" w:eastAsia="仿宋_GB2312"/>
                      <w:sz w:val="24"/>
                    </w:rPr>
                    <w:t>A1区</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5.6*2.4*2.5米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13.44平方米</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长乐坊小区</w:t>
                  </w:r>
                  <w:r>
                    <w:rPr>
                      <w:rFonts w:ascii="仿宋_GB2312" w:hAnsi="仿宋_GB2312" w:cs="仿宋_GB2312" w:eastAsia="仿宋_GB2312"/>
                      <w:sz w:val="24"/>
                    </w:rPr>
                    <w:t>C座西门</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5.3*2.4*2.5米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12.72平方米</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D座3单元东</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4.5*2.4*2.5米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10.8平方米</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长乐坊小区</w:t>
                  </w:r>
                  <w:r>
                    <w:rPr>
                      <w:rFonts w:ascii="仿宋_GB2312" w:hAnsi="仿宋_GB2312" w:cs="仿宋_GB2312" w:eastAsia="仿宋_GB2312"/>
                      <w:sz w:val="24"/>
                    </w:rPr>
                    <w:t>15号楼南</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4.5*1.2*2.2米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5桶位+1洗手台</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长乐坊小区北区</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5.9*1.2*2.2米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6桶位+1洗手台</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长乐坊小区北区</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5.8*1.2*2.2米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6桶位+1洗手台</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就掌灯</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4.3*2.4*2.4米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11平方米</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就掌灯</w:t>
                  </w:r>
                </w:p>
                <w:p>
                  <w:pPr>
                    <w:pStyle w:val="null3"/>
                    <w:jc w:val="center"/>
                  </w:pP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3.8*2.4*2.5米（底子2.1米）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9.1平方米</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就掌灯</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5.1*2.4*2.5米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12.24平方米</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心晴雅苑</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6*2.4*2.5米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14.4平方米</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西安公馆</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5.2*2.5*2.8米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13平方米</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正苑小区</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7.2*1.4*2.2米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9桶位+1洗手台</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景致雅居小区</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6*2.5*2.6米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15平方米</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南门望城小区</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3.6*1.3*2.2米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4桶位+1洗手台</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大话南门小区</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5*1.4**2.2米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6桶位+1洗手台</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旺园大厦</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4.4*1.4*2.2米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5桶位+1洗手台</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新郭门</w:t>
                  </w:r>
                  <w:r>
                    <w:rPr>
                      <w:rFonts w:ascii="仿宋_GB2312" w:hAnsi="仿宋_GB2312" w:cs="仿宋_GB2312" w:eastAsia="仿宋_GB2312"/>
                      <w:sz w:val="24"/>
                      <w:color w:val="000000"/>
                    </w:rPr>
                    <w:t>9号兴庆宫小区</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4.4*1.4*2.2米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5桶位+1洗手台</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中国铁建东来国际小区</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4.2*1.4*2.2米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5桶位+1洗手台</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柿园路</w:t>
                  </w:r>
                  <w:r>
                    <w:rPr>
                      <w:rFonts w:ascii="仿宋_GB2312" w:hAnsi="仿宋_GB2312" w:cs="仿宋_GB2312" w:eastAsia="仿宋_GB2312"/>
                      <w:sz w:val="24"/>
                      <w:color w:val="000000"/>
                    </w:rPr>
                    <w:t>51号院土产公司家属院</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3.6*1.4*2.2米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4桶位+1洗手台</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兴庆公园西门家属院</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4.5*1.4*2.2米</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5桶位+1洗手台</w:t>
                  </w:r>
                </w:p>
              </w:tc>
            </w:tr>
            <w:tr>
              <w:tc>
                <w:tcPr>
                  <w:tcW w:type="dxa" w:w="9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场地施工</w:t>
                  </w:r>
                </w:p>
              </w:tc>
              <w:tc>
                <w:tcPr>
                  <w:tcW w:type="dxa" w:w="9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包含：</w:t>
                  </w:r>
                  <w:r>
                    <w:rPr>
                      <w:rFonts w:ascii="仿宋_GB2312" w:hAnsi="仿宋_GB2312" w:cs="仿宋_GB2312" w:eastAsia="仿宋_GB2312"/>
                      <w:sz w:val="24"/>
                    </w:rPr>
                    <w:t>30处新建垃圾分类房/垃圾分类亭场地的地面修复上下水排水及电源预埋水管线管，路面恢复，原有垃圾台的拆除，原地面台阶拆除重建 ，建筑垃圾清运，地面找平铺瓷砖。</w:t>
                  </w:r>
                </w:p>
              </w:tc>
              <w:tc>
                <w:tcPr>
                  <w:tcW w:type="dxa" w:w="6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1项(26个小区）</w:t>
                  </w:r>
                </w:p>
              </w:tc>
            </w:tr>
            <w:tr>
              <w:tc>
                <w:tcPr>
                  <w:tcW w:type="dxa" w:w="25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注：洗手台规格</w:t>
                  </w:r>
                  <w:r>
                    <w:rPr>
                      <w:rFonts w:ascii="仿宋_GB2312" w:hAnsi="仿宋_GB2312" w:cs="仿宋_GB2312" w:eastAsia="仿宋_GB2312"/>
                      <w:sz w:val="24"/>
                      <w:color w:val="000000"/>
                    </w:rPr>
                    <w:t>≥</w:t>
                  </w:r>
                  <w:r>
                    <w:rPr>
                      <w:rFonts w:ascii="仿宋_GB2312" w:hAnsi="仿宋_GB2312" w:cs="仿宋_GB2312" w:eastAsia="仿宋_GB2312"/>
                      <w:sz w:val="24"/>
                      <w:color w:val="000000"/>
                    </w:rPr>
                    <w:t>650*450*700mm，成品台上盆规格</w:t>
                  </w:r>
                  <w:r>
                    <w:rPr>
                      <w:rFonts w:ascii="仿宋_GB2312" w:hAnsi="仿宋_GB2312" w:cs="仿宋_GB2312" w:eastAsia="仿宋_GB2312"/>
                      <w:sz w:val="24"/>
                      <w:color w:val="000000"/>
                    </w:rPr>
                    <w:t>≥</w:t>
                  </w:r>
                  <w:r>
                    <w:rPr>
                      <w:rFonts w:ascii="仿宋_GB2312" w:hAnsi="仿宋_GB2312" w:cs="仿宋_GB2312" w:eastAsia="仿宋_GB2312"/>
                      <w:sz w:val="24"/>
                      <w:color w:val="000000"/>
                    </w:rPr>
                    <w:t>480*380*140mm</w:t>
                  </w:r>
                </w:p>
              </w:tc>
            </w:tr>
          </w:tbl>
          <w:p>
            <w:pPr>
              <w:pStyle w:val="null3"/>
              <w:jc w:val="both"/>
            </w:pPr>
            <w:r>
              <w:rPr>
                <w:rFonts w:ascii="仿宋_GB2312" w:hAnsi="仿宋_GB2312" w:cs="仿宋_GB2312" w:eastAsia="仿宋_GB2312"/>
                <w:sz w:val="24"/>
                <w:color w:val="000000"/>
              </w:rPr>
              <w:t>三、</w:t>
            </w:r>
            <w:r>
              <w:rPr>
                <w:rFonts w:ascii="仿宋_GB2312" w:hAnsi="仿宋_GB2312" w:cs="仿宋_GB2312" w:eastAsia="仿宋_GB2312"/>
                <w:sz w:val="24"/>
                <w:color w:val="000000"/>
              </w:rPr>
              <w:t>技术要求</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品名：</w:t>
            </w:r>
            <w:r>
              <w:rPr>
                <w:rFonts w:ascii="仿宋_GB2312" w:hAnsi="仿宋_GB2312" w:cs="仿宋_GB2312" w:eastAsia="仿宋_GB2312"/>
                <w:sz w:val="24"/>
                <w:color w:val="000000"/>
              </w:rPr>
              <w:t>一体化配式半智能垃圾分类房</w:t>
            </w:r>
            <w:r>
              <w:rPr>
                <w:rFonts w:ascii="仿宋_GB2312" w:hAnsi="仿宋_GB2312" w:cs="仿宋_GB2312" w:eastAsia="仿宋_GB2312"/>
                <w:sz w:val="24"/>
                <w:color w:val="000000"/>
              </w:rPr>
              <w:t>/亭（整体吊装迁移，并安装固定）</w:t>
            </w:r>
          </w:p>
          <w:p>
            <w:pPr>
              <w:pStyle w:val="null3"/>
              <w:ind w:firstLine="480"/>
              <w:jc w:val="both"/>
            </w:pPr>
            <w:r>
              <w:rPr>
                <w:rFonts w:ascii="仿宋_GB2312" w:hAnsi="仿宋_GB2312" w:cs="仿宋_GB2312" w:eastAsia="仿宋_GB2312"/>
                <w:sz w:val="21"/>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主箱体尺寸：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3500</w:t>
            </w:r>
            <w:r>
              <w:rPr>
                <w:rFonts w:ascii="仿宋_GB2312" w:hAnsi="仿宋_GB2312" w:cs="仿宋_GB2312" w:eastAsia="仿宋_GB2312"/>
                <w:sz w:val="24"/>
                <w:color w:val="000000"/>
              </w:rPr>
              <w:t>*</w:t>
            </w:r>
            <w:r>
              <w:rPr>
                <w:rFonts w:ascii="仿宋_GB2312" w:hAnsi="仿宋_GB2312" w:cs="仿宋_GB2312" w:eastAsia="仿宋_GB2312"/>
                <w:sz w:val="24"/>
                <w:color w:val="000000"/>
              </w:rPr>
              <w:t>1200</w:t>
            </w:r>
            <w:r>
              <w:rPr>
                <w:rFonts w:ascii="仿宋_GB2312" w:hAnsi="仿宋_GB2312" w:cs="仿宋_GB2312" w:eastAsia="仿宋_GB2312"/>
                <w:sz w:val="24"/>
                <w:color w:val="000000"/>
              </w:rPr>
              <w:t>*</w:t>
            </w:r>
            <w:r>
              <w:rPr>
                <w:rFonts w:ascii="仿宋_GB2312" w:hAnsi="仿宋_GB2312" w:cs="仿宋_GB2312" w:eastAsia="仿宋_GB2312"/>
                <w:sz w:val="24"/>
                <w:color w:val="000000"/>
              </w:rPr>
              <w:t>2200</w:t>
            </w:r>
            <w:r>
              <w:rPr>
                <w:rFonts w:ascii="仿宋_GB2312" w:hAnsi="仿宋_GB2312" w:cs="仿宋_GB2312" w:eastAsia="仿宋_GB2312"/>
                <w:sz w:val="24"/>
                <w:color w:val="000000"/>
              </w:rPr>
              <w:t>mm，投口尺寸（mm）：宽≥ 550mm，高≥450mm,</w:t>
            </w:r>
            <w:r>
              <w:rPr>
                <w:rFonts w:ascii="仿宋_GB2312" w:hAnsi="仿宋_GB2312" w:cs="仿宋_GB2312" w:eastAsia="仿宋_GB2312"/>
                <w:sz w:val="24"/>
                <w:color w:val="000000"/>
              </w:rPr>
              <w:t>垃圾桶开启</w:t>
            </w:r>
            <w:r>
              <w:rPr>
                <w:rFonts w:ascii="仿宋_GB2312" w:hAnsi="仿宋_GB2312" w:cs="仿宋_GB2312" w:eastAsia="仿宋_GB2312"/>
                <w:sz w:val="24"/>
                <w:color w:val="000000"/>
              </w:rPr>
              <w:t>门尺寸（</w:t>
            </w:r>
            <w:r>
              <w:rPr>
                <w:rFonts w:ascii="仿宋_GB2312" w:hAnsi="仿宋_GB2312" w:cs="仿宋_GB2312" w:eastAsia="仿宋_GB2312"/>
                <w:sz w:val="24"/>
                <w:color w:val="000000"/>
              </w:rPr>
              <w:t>mm）：宽</w:t>
            </w:r>
            <w:r>
              <w:rPr>
                <w:rFonts w:ascii="仿宋_GB2312" w:hAnsi="仿宋_GB2312" w:cs="仿宋_GB2312" w:eastAsia="仿宋_GB2312"/>
                <w:sz w:val="24"/>
                <w:color w:val="000000"/>
              </w:rPr>
              <w:t>650</w:t>
            </w:r>
            <w:r>
              <w:rPr>
                <w:rFonts w:ascii="仿宋_GB2312" w:hAnsi="仿宋_GB2312" w:cs="仿宋_GB2312" w:eastAsia="仿宋_GB2312"/>
                <w:sz w:val="24"/>
                <w:color w:val="000000"/>
              </w:rPr>
              <w:t>*高1</w:t>
            </w:r>
            <w:r>
              <w:rPr>
                <w:rFonts w:ascii="仿宋_GB2312" w:hAnsi="仿宋_GB2312" w:cs="仿宋_GB2312" w:eastAsia="仿宋_GB2312"/>
                <w:sz w:val="24"/>
                <w:color w:val="000000"/>
              </w:rPr>
              <w:t>10</w:t>
            </w:r>
            <w:r>
              <w:rPr>
                <w:rFonts w:ascii="仿宋_GB2312" w:hAnsi="仿宋_GB2312" w:cs="仿宋_GB2312" w:eastAsia="仿宋_GB2312"/>
                <w:sz w:val="24"/>
                <w:color w:val="000000"/>
              </w:rPr>
              <w:t>0</w:t>
            </w:r>
            <w:r>
              <w:rPr>
                <w:rFonts w:ascii="仿宋_GB2312" w:hAnsi="仿宋_GB2312" w:cs="仿宋_GB2312" w:eastAsia="仿宋_GB2312"/>
                <w:sz w:val="24"/>
                <w:color w:val="000000"/>
              </w:rPr>
              <w:t>（</w:t>
            </w:r>
            <w:r>
              <w:rPr>
                <w:rFonts w:ascii="仿宋_GB2312" w:hAnsi="仿宋_GB2312" w:cs="仿宋_GB2312" w:eastAsia="仿宋_GB2312"/>
                <w:sz w:val="24"/>
                <w:color w:val="000000"/>
              </w:rPr>
              <w:t>±10mm)</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1"/>
                <w:color w:val="000000"/>
              </w:rPr>
              <w:t>★3.外观设计：提供3D效果图，生活垃圾分类标识符合 GB/T 19095-2019《生活垃圾分类标志》标准。（包括但不限于供应商须提供彩色三维效果图（正视图 俯视图 侧视图 内部图）及cad结构图）。</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材质：厚度</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mm的电解镀锌板，内部设有多道加强筋与方管。</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表面处理：</w:t>
            </w:r>
            <w:r>
              <w:rPr>
                <w:rFonts w:ascii="仿宋_GB2312" w:hAnsi="仿宋_GB2312" w:cs="仿宋_GB2312" w:eastAsia="仿宋_GB2312"/>
                <w:sz w:val="24"/>
                <w:color w:val="000000"/>
              </w:rPr>
              <w:t>垃圾</w:t>
            </w:r>
            <w:r>
              <w:rPr>
                <w:rFonts w:ascii="仿宋_GB2312" w:hAnsi="仿宋_GB2312" w:cs="仿宋_GB2312" w:eastAsia="仿宋_GB2312"/>
                <w:sz w:val="24"/>
                <w:color w:val="000000"/>
              </w:rPr>
              <w:t>箱整体采用户外塑粉静电喷涂，其工艺特点表现为较高的户外适应性，表面涂层坚固，不易脱落，抗紫外线以及耐候性强。</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抗紫外线、户外丝网印刷垃圾</w:t>
            </w:r>
            <w:r>
              <w:rPr>
                <w:rFonts w:ascii="仿宋_GB2312" w:hAnsi="仿宋_GB2312" w:cs="仿宋_GB2312" w:eastAsia="仿宋_GB2312"/>
                <w:sz w:val="24"/>
                <w:color w:val="000000"/>
              </w:rPr>
              <w:t>等</w:t>
            </w:r>
            <w:r>
              <w:rPr>
                <w:rFonts w:ascii="仿宋_GB2312" w:hAnsi="仿宋_GB2312" w:cs="仿宋_GB2312" w:eastAsia="仿宋_GB2312"/>
                <w:sz w:val="24"/>
                <w:color w:val="000000"/>
              </w:rPr>
              <w:t>标志，色彩耐久性保持</w:t>
            </w:r>
            <w:r>
              <w:rPr>
                <w:rFonts w:ascii="仿宋_GB2312" w:hAnsi="仿宋_GB2312" w:cs="仿宋_GB2312" w:eastAsia="仿宋_GB2312"/>
                <w:sz w:val="24"/>
                <w:color w:val="000000"/>
              </w:rPr>
              <w:t>3年</w:t>
            </w:r>
            <w:r>
              <w:rPr>
                <w:rFonts w:ascii="仿宋_GB2312" w:hAnsi="仿宋_GB2312" w:cs="仿宋_GB2312" w:eastAsia="仿宋_GB2312"/>
                <w:sz w:val="24"/>
                <w:color w:val="000000"/>
              </w:rPr>
              <w:t>及</w:t>
            </w:r>
            <w:r>
              <w:rPr>
                <w:rFonts w:ascii="仿宋_GB2312" w:hAnsi="仿宋_GB2312" w:cs="仿宋_GB2312" w:eastAsia="仿宋_GB2312"/>
                <w:sz w:val="24"/>
                <w:color w:val="000000"/>
              </w:rPr>
              <w:t>以上。</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7.箱体</w:t>
            </w:r>
            <w:r>
              <w:rPr>
                <w:rFonts w:ascii="仿宋_GB2312" w:hAnsi="仿宋_GB2312" w:cs="仿宋_GB2312" w:eastAsia="仿宋_GB2312"/>
                <w:sz w:val="24"/>
                <w:color w:val="000000"/>
              </w:rPr>
              <w:t>底座设置有膨胀栓固定装置，可有效防盗。</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箱体及内胆表面平整、光滑，焊接均匀、平滑，无明显接结、伤疤、划痕和裂纹等缺陷，人体易触及表面不应有飞边及毛刺。</w:t>
            </w:r>
            <w:r>
              <w:rPr>
                <w:rFonts w:ascii="仿宋_GB2312" w:hAnsi="仿宋_GB2312" w:cs="仿宋_GB2312" w:eastAsia="仿宋_GB2312"/>
                <w:sz w:val="24"/>
                <w:color w:val="000000"/>
              </w:rPr>
              <w:t>垃圾</w:t>
            </w:r>
            <w:r>
              <w:rPr>
                <w:rFonts w:ascii="仿宋_GB2312" w:hAnsi="仿宋_GB2312" w:cs="仿宋_GB2312" w:eastAsia="仿宋_GB2312"/>
                <w:sz w:val="24"/>
                <w:color w:val="000000"/>
              </w:rPr>
              <w:t>箱整体经酸洗磷化及除锈处理后再进行烤漆或静电喷塑：外观颜色靓丽，面漆耐</w:t>
            </w:r>
            <w:r>
              <w:rPr>
                <w:rFonts w:ascii="仿宋_GB2312" w:hAnsi="仿宋_GB2312" w:cs="仿宋_GB2312" w:eastAsia="仿宋_GB2312"/>
                <w:sz w:val="24"/>
                <w:color w:val="000000"/>
              </w:rPr>
              <w:t>200—300度高温烘烤，耐日晒雨淋，在室外保持三年不褪色，而漆涂层质量要求涂漆件前进行磷化处理，不得有流痕、粘附杂物尘土等缺陷；漆膜光泽度不低于90%，漆膜厚度不小于40pm；</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开门装置：</w:t>
            </w:r>
            <w:r>
              <w:rPr>
                <w:rFonts w:ascii="仿宋_GB2312" w:hAnsi="仿宋_GB2312" w:cs="仿宋_GB2312" w:eastAsia="仿宋_GB2312"/>
                <w:sz w:val="24"/>
                <w:color w:val="000000"/>
              </w:rPr>
              <w:t>电动开门：集成终端控制系统，防夹手，可通过后台设置开门时间</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人体感应开门：通过人体感应传感器，监测到人靠近后，自动开门，在指定时间后自动关机舱门</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11.其他配置及</w:t>
            </w:r>
            <w:r>
              <w:rPr>
                <w:rFonts w:ascii="仿宋_GB2312" w:hAnsi="仿宋_GB2312" w:cs="仿宋_GB2312" w:eastAsia="仿宋_GB2312"/>
                <w:sz w:val="24"/>
                <w:color w:val="000000"/>
              </w:rPr>
              <w:t>辅材</w:t>
            </w:r>
            <w:r>
              <w:rPr>
                <w:rFonts w:ascii="仿宋_GB2312" w:hAnsi="仿宋_GB2312" w:cs="仿宋_GB2312" w:eastAsia="仿宋_GB2312"/>
                <w:sz w:val="24"/>
                <w:color w:val="000000"/>
              </w:rPr>
              <w:t>：</w:t>
            </w:r>
            <w:r>
              <w:rPr>
                <w:rFonts w:ascii="仿宋_GB2312" w:hAnsi="仿宋_GB2312" w:cs="仿宋_GB2312" w:eastAsia="仿宋_GB2312"/>
                <w:sz w:val="24"/>
                <w:color w:val="000000"/>
              </w:rPr>
              <w:t>LED电子屏宣传画面、配备无线4G摄像头、LED灯、陶瓷洗手盆（含水嘴）、杀菌除臭设备、灭虫设备、灭火器及垃圾分类宣传和公示牌。</w:t>
            </w:r>
            <w:r>
              <w:rPr>
                <w:rFonts w:ascii="仿宋_GB2312" w:hAnsi="仿宋_GB2312" w:cs="仿宋_GB2312" w:eastAsia="仿宋_GB2312"/>
                <w:sz w:val="24"/>
                <w:color w:val="000000"/>
              </w:rPr>
              <w:t>配套线束</w:t>
            </w:r>
            <w:r>
              <w:rPr>
                <w:rFonts w:ascii="仿宋_GB2312" w:hAnsi="仿宋_GB2312" w:cs="仿宋_GB2312" w:eastAsia="仿宋_GB2312"/>
                <w:sz w:val="24"/>
                <w:color w:val="000000"/>
              </w:rPr>
              <w:t>，螺丝</w:t>
            </w:r>
            <w:r>
              <w:rPr>
                <w:rFonts w:ascii="仿宋_GB2312" w:hAnsi="仿宋_GB2312" w:cs="仿宋_GB2312" w:eastAsia="仿宋_GB2312"/>
                <w:sz w:val="24"/>
                <w:color w:val="000000"/>
              </w:rPr>
              <w:t>，转接钣金，电源</w:t>
            </w:r>
            <w:r>
              <w:rPr>
                <w:rFonts w:ascii="仿宋_GB2312" w:hAnsi="仿宋_GB2312" w:cs="仿宋_GB2312" w:eastAsia="仿宋_GB2312"/>
                <w:sz w:val="24"/>
                <w:color w:val="000000"/>
              </w:rPr>
              <w:t>12V360W，配备2P C10规格漏保防水漏电保护开关，符合国标低压电器标准及排风扇。</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12.垃圾分类房/垃圾分类亭规格：根据采购量清单尺寸订制，尺寸偏差在±50~100mm公差区间。</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13.垃圾分类房参数：</w:t>
            </w:r>
          </w:p>
          <w:p>
            <w:pPr>
              <w:pStyle w:val="null3"/>
              <w:ind w:firstLine="480"/>
              <w:jc w:val="both"/>
            </w:pPr>
            <w:r>
              <w:rPr>
                <w:rFonts w:ascii="仿宋_GB2312" w:hAnsi="仿宋_GB2312" w:cs="仿宋_GB2312" w:eastAsia="仿宋_GB2312"/>
                <w:sz w:val="24"/>
                <w:color w:val="000000"/>
              </w:rPr>
              <w:t>框架、</w:t>
            </w:r>
            <w:r>
              <w:rPr>
                <w:rFonts w:ascii="仿宋_GB2312" w:hAnsi="仿宋_GB2312" w:cs="仿宋_GB2312" w:eastAsia="仿宋_GB2312"/>
                <w:sz w:val="24"/>
                <w:color w:val="000000"/>
              </w:rPr>
              <w:t>立柱：国标镀锌方管</w:t>
            </w:r>
            <w:r>
              <w:rPr>
                <w:rFonts w:ascii="仿宋_GB2312" w:hAnsi="仿宋_GB2312" w:cs="仿宋_GB2312" w:eastAsia="仿宋_GB2312"/>
                <w:sz w:val="24"/>
                <w:color w:val="000000"/>
              </w:rPr>
              <w:t>≥</w:t>
            </w:r>
            <w:r>
              <w:rPr>
                <w:rFonts w:ascii="仿宋_GB2312" w:hAnsi="仿宋_GB2312" w:cs="仿宋_GB2312" w:eastAsia="仿宋_GB2312"/>
                <w:sz w:val="24"/>
                <w:color w:val="000000"/>
              </w:rPr>
              <w:t>100*100*2</w:t>
            </w:r>
            <w:r>
              <w:rPr>
                <w:rFonts w:ascii="仿宋_GB2312" w:hAnsi="仿宋_GB2312" w:cs="仿宋_GB2312" w:eastAsia="仿宋_GB2312"/>
                <w:sz w:val="24"/>
                <w:color w:val="000000"/>
              </w:rPr>
              <w:t>.0</w:t>
            </w:r>
            <w:r>
              <w:rPr>
                <w:rFonts w:ascii="仿宋_GB2312" w:hAnsi="仿宋_GB2312" w:cs="仿宋_GB2312" w:eastAsia="仿宋_GB2312"/>
                <w:sz w:val="24"/>
                <w:color w:val="000000"/>
              </w:rPr>
              <w:t>mm</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横梁：国标镀锌矩形管</w:t>
            </w:r>
            <w:r>
              <w:rPr>
                <w:rFonts w:ascii="仿宋_GB2312" w:hAnsi="仿宋_GB2312" w:cs="仿宋_GB2312" w:eastAsia="仿宋_GB2312"/>
                <w:sz w:val="24"/>
                <w:color w:val="000000"/>
              </w:rPr>
              <w:t>≥</w:t>
            </w:r>
            <w:r>
              <w:rPr>
                <w:rFonts w:ascii="仿宋_GB2312" w:hAnsi="仿宋_GB2312" w:cs="仿宋_GB2312" w:eastAsia="仿宋_GB2312"/>
                <w:sz w:val="24"/>
                <w:color w:val="000000"/>
              </w:rPr>
              <w:t>100*50*2.0mm；</w:t>
            </w:r>
          </w:p>
          <w:p>
            <w:pPr>
              <w:pStyle w:val="null3"/>
              <w:ind w:firstLine="480"/>
              <w:jc w:val="both"/>
            </w:pPr>
            <w:r>
              <w:rPr>
                <w:rFonts w:ascii="仿宋_GB2312" w:hAnsi="仿宋_GB2312" w:cs="仿宋_GB2312" w:eastAsia="仿宋_GB2312"/>
                <w:sz w:val="24"/>
                <w:color w:val="000000"/>
              </w:rPr>
              <w:t>底盘及辅助框架：国标镀锌矩形管</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100*50*2mm 和方管 </w:t>
            </w:r>
            <w:r>
              <w:rPr>
                <w:rFonts w:ascii="仿宋_GB2312" w:hAnsi="仿宋_GB2312" w:cs="仿宋_GB2312" w:eastAsia="仿宋_GB2312"/>
                <w:sz w:val="24"/>
                <w:color w:val="000000"/>
              </w:rPr>
              <w:t>≥</w:t>
            </w:r>
            <w:r>
              <w:rPr>
                <w:rFonts w:ascii="仿宋_GB2312" w:hAnsi="仿宋_GB2312" w:cs="仿宋_GB2312" w:eastAsia="仿宋_GB2312"/>
                <w:sz w:val="24"/>
                <w:color w:val="000000"/>
              </w:rPr>
              <w:t>40*40*2mm；。</w:t>
            </w:r>
          </w:p>
          <w:p>
            <w:pPr>
              <w:pStyle w:val="null3"/>
              <w:ind w:firstLine="480"/>
              <w:jc w:val="both"/>
            </w:pPr>
            <w:r>
              <w:rPr>
                <w:rFonts w:ascii="仿宋_GB2312" w:hAnsi="仿宋_GB2312" w:cs="仿宋_GB2312" w:eastAsia="仿宋_GB2312"/>
                <w:sz w:val="24"/>
                <w:color w:val="000000"/>
              </w:rPr>
              <w:t>顶部钢板：镀锌钢板</w:t>
            </w:r>
            <w:r>
              <w:rPr>
                <w:rFonts w:ascii="仿宋_GB2312" w:hAnsi="仿宋_GB2312" w:cs="仿宋_GB2312" w:eastAsia="仿宋_GB2312"/>
                <w:sz w:val="24"/>
                <w:color w:val="000000"/>
              </w:rPr>
              <w:t>≥</w:t>
            </w:r>
            <w:r>
              <w:rPr>
                <w:rFonts w:ascii="仿宋_GB2312" w:hAnsi="仿宋_GB2312" w:cs="仿宋_GB2312" w:eastAsia="仿宋_GB2312"/>
                <w:sz w:val="24"/>
                <w:color w:val="000000"/>
              </w:rPr>
              <w:t>1.5mm，表面无漏镀及镀锌脱落。</w:t>
            </w:r>
          </w:p>
          <w:p>
            <w:pPr>
              <w:pStyle w:val="null3"/>
              <w:ind w:firstLine="480"/>
              <w:jc w:val="both"/>
            </w:pPr>
            <w:r>
              <w:rPr>
                <w:rFonts w:ascii="仿宋_GB2312" w:hAnsi="仿宋_GB2312" w:cs="仿宋_GB2312" w:eastAsia="仿宋_GB2312"/>
                <w:sz w:val="24"/>
                <w:color w:val="000000"/>
              </w:rPr>
              <w:t>顶部龙骨：镀锌矩形管</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100*50*2mm 和 </w:t>
            </w:r>
            <w:r>
              <w:rPr>
                <w:rFonts w:ascii="仿宋_GB2312" w:hAnsi="仿宋_GB2312" w:cs="仿宋_GB2312" w:eastAsia="仿宋_GB2312"/>
                <w:sz w:val="24"/>
                <w:color w:val="000000"/>
              </w:rPr>
              <w:t>≥</w:t>
            </w:r>
            <w:r>
              <w:rPr>
                <w:rFonts w:ascii="仿宋_GB2312" w:hAnsi="仿宋_GB2312" w:cs="仿宋_GB2312" w:eastAsia="仿宋_GB2312"/>
                <w:sz w:val="24"/>
                <w:color w:val="000000"/>
              </w:rPr>
              <w:t>40*40*2mm。</w:t>
            </w:r>
          </w:p>
          <w:p>
            <w:pPr>
              <w:pStyle w:val="null3"/>
              <w:ind w:firstLine="480"/>
              <w:jc w:val="both"/>
            </w:pPr>
            <w:r>
              <w:rPr>
                <w:rFonts w:ascii="仿宋_GB2312" w:hAnsi="仿宋_GB2312" w:cs="仿宋_GB2312" w:eastAsia="仿宋_GB2312"/>
                <w:sz w:val="24"/>
                <w:color w:val="000000"/>
              </w:rPr>
              <w:t>屋顶防水</w:t>
            </w:r>
            <w:r>
              <w:rPr>
                <w:rFonts w:ascii="仿宋_GB2312" w:hAnsi="仿宋_GB2312" w:cs="仿宋_GB2312" w:eastAsia="仿宋_GB2312"/>
                <w:sz w:val="24"/>
                <w:color w:val="000000"/>
              </w:rPr>
              <w:t>≥</w:t>
            </w:r>
            <w:r>
              <w:rPr>
                <w:rFonts w:ascii="仿宋_GB2312" w:hAnsi="仿宋_GB2312" w:cs="仿宋_GB2312" w:eastAsia="仿宋_GB2312"/>
                <w:sz w:val="24"/>
                <w:color w:val="000000"/>
              </w:rPr>
              <w:t>2.5mm 厚 SBS 防水卷材火烤铺贴。</w:t>
            </w:r>
          </w:p>
          <w:p>
            <w:pPr>
              <w:pStyle w:val="null3"/>
              <w:ind w:firstLine="480"/>
              <w:jc w:val="both"/>
            </w:pPr>
            <w:r>
              <w:rPr>
                <w:rFonts w:ascii="仿宋_GB2312" w:hAnsi="仿宋_GB2312" w:cs="仿宋_GB2312" w:eastAsia="仿宋_GB2312"/>
                <w:sz w:val="24"/>
                <w:color w:val="000000"/>
              </w:rPr>
              <w:t>吊顶：</w:t>
            </w:r>
            <w:r>
              <w:rPr>
                <w:rFonts w:ascii="仿宋_GB2312" w:hAnsi="仿宋_GB2312" w:cs="仿宋_GB2312" w:eastAsia="仿宋_GB2312"/>
                <w:sz w:val="24"/>
                <w:color w:val="000000"/>
              </w:rPr>
              <w:t>PVC</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板。</w:t>
            </w:r>
          </w:p>
          <w:p>
            <w:pPr>
              <w:pStyle w:val="null3"/>
              <w:ind w:firstLine="480"/>
              <w:jc w:val="both"/>
            </w:pPr>
            <w:r>
              <w:rPr>
                <w:rFonts w:ascii="仿宋_GB2312" w:hAnsi="仿宋_GB2312" w:cs="仿宋_GB2312" w:eastAsia="仿宋_GB2312"/>
                <w:sz w:val="24"/>
                <w:color w:val="000000"/>
              </w:rPr>
              <w:t>地面：水泥纤维板表层贴防滑瓷砖</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水泥纤维板厚度</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10mm  </w:t>
            </w:r>
          </w:p>
          <w:p>
            <w:pPr>
              <w:pStyle w:val="null3"/>
              <w:ind w:firstLine="480"/>
              <w:jc w:val="both"/>
            </w:pPr>
            <w:r>
              <w:rPr>
                <w:rFonts w:ascii="仿宋_GB2312" w:hAnsi="仿宋_GB2312" w:cs="仿宋_GB2312" w:eastAsia="仿宋_GB2312"/>
                <w:sz w:val="24"/>
                <w:color w:val="000000"/>
              </w:rPr>
              <w:t>外墙板：金属雕花板或铝塑复合板</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内墙板：竹炭纤维板或</w:t>
            </w:r>
            <w:r>
              <w:rPr>
                <w:rFonts w:ascii="仿宋_GB2312" w:hAnsi="仿宋_GB2312" w:cs="仿宋_GB2312" w:eastAsia="仿宋_GB2312"/>
                <w:sz w:val="24"/>
                <w:color w:val="000000"/>
              </w:rPr>
              <w:t>PVC装饰板</w:t>
            </w:r>
            <w:r>
              <w:rPr>
                <w:rFonts w:ascii="仿宋_GB2312" w:hAnsi="仿宋_GB2312" w:cs="仿宋_GB2312" w:eastAsia="仿宋_GB2312"/>
                <w:sz w:val="24"/>
                <w:color w:val="000000"/>
              </w:rPr>
              <w:t>。</w:t>
            </w:r>
            <w:r>
              <w:rPr>
                <w:rFonts w:ascii="仿宋_GB2312" w:hAnsi="仿宋_GB2312" w:cs="仿宋_GB2312" w:eastAsia="仿宋_GB2312"/>
                <w:sz w:val="21"/>
              </w:rPr>
              <w:t xml:space="preserve"> </w:t>
            </w:r>
          </w:p>
          <w:p>
            <w:pPr>
              <w:pStyle w:val="null3"/>
              <w:ind w:firstLine="480"/>
              <w:jc w:val="both"/>
            </w:pPr>
            <w:r>
              <w:rPr>
                <w:rFonts w:ascii="仿宋_GB2312" w:hAnsi="仿宋_GB2312" w:cs="仿宋_GB2312" w:eastAsia="仿宋_GB2312"/>
                <w:sz w:val="24"/>
                <w:color w:val="000000"/>
              </w:rPr>
              <w:t>保温层：</w:t>
            </w:r>
            <w:r>
              <w:rPr>
                <w:rFonts w:ascii="仿宋_GB2312" w:hAnsi="仿宋_GB2312" w:cs="仿宋_GB2312" w:eastAsia="仿宋_GB2312"/>
                <w:sz w:val="24"/>
                <w:color w:val="000000"/>
              </w:rPr>
              <w:t>岩棉隔热层，防火隔热耐高温。</w:t>
            </w:r>
          </w:p>
          <w:p>
            <w:pPr>
              <w:pStyle w:val="null3"/>
              <w:ind w:firstLine="480"/>
              <w:jc w:val="both"/>
            </w:pPr>
            <w:r>
              <w:rPr>
                <w:rFonts w:ascii="仿宋_GB2312" w:hAnsi="仿宋_GB2312" w:cs="仿宋_GB2312" w:eastAsia="仿宋_GB2312"/>
                <w:sz w:val="24"/>
                <w:color w:val="000000"/>
              </w:rPr>
              <w:t>门窗：铝合金卷闸门，</w:t>
            </w:r>
            <w:r>
              <w:rPr>
                <w:rFonts w:ascii="仿宋_GB2312" w:hAnsi="仿宋_GB2312" w:cs="仿宋_GB2312" w:eastAsia="仿宋_GB2312"/>
                <w:sz w:val="24"/>
                <w:color w:val="000000"/>
              </w:rPr>
              <w:t>铝合金窗。</w:t>
            </w:r>
          </w:p>
          <w:p>
            <w:pPr>
              <w:pStyle w:val="null3"/>
              <w:ind w:firstLine="480"/>
              <w:jc w:val="both"/>
            </w:pPr>
            <w:r>
              <w:rPr>
                <w:rFonts w:ascii="仿宋_GB2312" w:hAnsi="仿宋_GB2312" w:cs="仿宋_GB2312" w:eastAsia="仿宋_GB2312"/>
                <w:sz w:val="24"/>
                <w:color w:val="000000"/>
              </w:rPr>
              <w:t>漆面：涂料，腻子，稀料，固化剂，均是品牌可查询，漆面为</w:t>
            </w:r>
            <w:r>
              <w:rPr>
                <w:rFonts w:ascii="仿宋_GB2312" w:hAnsi="仿宋_GB2312" w:cs="仿宋_GB2312" w:eastAsia="仿宋_GB2312"/>
                <w:sz w:val="24"/>
              </w:rPr>
              <w:t>户外耐候性氟碳漆</w:t>
            </w:r>
            <w:r>
              <w:rPr>
                <w:rFonts w:ascii="仿宋_GB2312" w:hAnsi="仿宋_GB2312" w:cs="仿宋_GB2312" w:eastAsia="仿宋_GB2312"/>
                <w:sz w:val="24"/>
                <w:color w:val="000000"/>
              </w:rPr>
              <w:t>，底漆喷涂厚度</w:t>
            </w:r>
            <w:r>
              <w:rPr>
                <w:rFonts w:ascii="仿宋_GB2312" w:hAnsi="仿宋_GB2312" w:cs="仿宋_GB2312" w:eastAsia="仿宋_GB2312"/>
                <w:sz w:val="24"/>
                <w:color w:val="000000"/>
              </w:rPr>
              <w:t>5-10um，面漆喷涂厚度 23-30um。</w:t>
            </w:r>
          </w:p>
          <w:p>
            <w:pPr>
              <w:pStyle w:val="null3"/>
              <w:ind w:firstLine="480"/>
              <w:jc w:val="both"/>
            </w:pPr>
            <w:r>
              <w:rPr>
                <w:rFonts w:ascii="仿宋_GB2312" w:hAnsi="仿宋_GB2312" w:cs="仿宋_GB2312" w:eastAsia="仿宋_GB2312"/>
                <w:sz w:val="24"/>
                <w:color w:val="000000"/>
              </w:rPr>
              <w:t>结构胶：采用</w:t>
            </w:r>
            <w:r>
              <w:rPr>
                <w:rFonts w:ascii="仿宋_GB2312" w:hAnsi="仿宋_GB2312" w:cs="仿宋_GB2312" w:eastAsia="仿宋_GB2312"/>
                <w:sz w:val="24"/>
                <w:color w:val="000000"/>
              </w:rPr>
              <w:t>硅酮耐候结构胶，</w:t>
            </w:r>
            <w:r>
              <w:rPr>
                <w:rFonts w:ascii="仿宋_GB2312" w:hAnsi="仿宋_GB2312" w:cs="仿宋_GB2312" w:eastAsia="仿宋_GB2312"/>
                <w:sz w:val="24"/>
                <w:color w:val="000000"/>
              </w:rPr>
              <w:t>符合</w:t>
            </w:r>
            <w:r>
              <w:rPr>
                <w:rFonts w:ascii="仿宋_GB2312" w:hAnsi="仿宋_GB2312" w:cs="仿宋_GB2312" w:eastAsia="仿宋_GB2312"/>
                <w:sz w:val="24"/>
                <w:color w:val="000000"/>
              </w:rPr>
              <w:t>GB/T 14683-2017标准。</w:t>
            </w:r>
          </w:p>
          <w:p>
            <w:pPr>
              <w:pStyle w:val="null3"/>
              <w:ind w:firstLine="480"/>
              <w:jc w:val="both"/>
            </w:pPr>
            <w:r>
              <w:rPr>
                <w:rFonts w:ascii="仿宋_GB2312" w:hAnsi="仿宋_GB2312" w:cs="仿宋_GB2312" w:eastAsia="仿宋_GB2312"/>
                <w:sz w:val="24"/>
                <w:color w:val="000000"/>
              </w:rPr>
              <w:t>所有焊接</w:t>
            </w:r>
            <w:r>
              <w:rPr>
                <w:rFonts w:ascii="仿宋_GB2312" w:hAnsi="仿宋_GB2312" w:cs="仿宋_GB2312" w:eastAsia="仿宋_GB2312"/>
                <w:sz w:val="24"/>
                <w:color w:val="000000"/>
              </w:rPr>
              <w:t>部位除锈、防腐处理。</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14.垃圾分类亭参数：</w:t>
            </w:r>
            <w:r>
              <w:rPr>
                <w:rFonts w:ascii="仿宋_GB2312" w:hAnsi="仿宋_GB2312" w:cs="仿宋_GB2312" w:eastAsia="仿宋_GB2312"/>
                <w:sz w:val="24"/>
                <w:color w:val="000000"/>
              </w:rPr>
              <w:t>箱体采用</w:t>
            </w: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 xml:space="preserve">mm 镀锌板制作，箱体框架 </w:t>
            </w:r>
            <w:r>
              <w:rPr>
                <w:rFonts w:ascii="仿宋_GB2312" w:hAnsi="仿宋_GB2312" w:cs="仿宋_GB2312" w:eastAsia="仿宋_GB2312"/>
                <w:sz w:val="24"/>
                <w:color w:val="000000"/>
              </w:rPr>
              <w:t>4</w:t>
            </w:r>
            <w:r>
              <w:rPr>
                <w:rFonts w:ascii="仿宋_GB2312" w:hAnsi="仿宋_GB2312" w:cs="仿宋_GB2312" w:eastAsia="仿宋_GB2312"/>
                <w:sz w:val="24"/>
                <w:color w:val="000000"/>
              </w:rPr>
              <w:t>0mm×</w:t>
            </w:r>
            <w:r>
              <w:rPr>
                <w:rFonts w:ascii="仿宋_GB2312" w:hAnsi="仿宋_GB2312" w:cs="仿宋_GB2312" w:eastAsia="仿宋_GB2312"/>
                <w:sz w:val="24"/>
                <w:color w:val="000000"/>
              </w:rPr>
              <w:t>4</w:t>
            </w:r>
            <w:r>
              <w:rPr>
                <w:rFonts w:ascii="仿宋_GB2312" w:hAnsi="仿宋_GB2312" w:cs="仿宋_GB2312" w:eastAsia="仿宋_GB2312"/>
                <w:sz w:val="24"/>
                <w:color w:val="000000"/>
              </w:rPr>
              <w:t>0mm× ≥1.2mm 镀锌方管。投口采用≥1.</w:t>
            </w:r>
            <w:r>
              <w:rPr>
                <w:rFonts w:ascii="仿宋_GB2312" w:hAnsi="仿宋_GB2312" w:cs="仿宋_GB2312" w:eastAsia="仿宋_GB2312"/>
                <w:sz w:val="24"/>
                <w:color w:val="000000"/>
              </w:rPr>
              <w:t>2</w:t>
            </w:r>
            <w:r>
              <w:rPr>
                <w:rFonts w:ascii="仿宋_GB2312" w:hAnsi="仿宋_GB2312" w:cs="仿宋_GB2312" w:eastAsia="仿宋_GB2312"/>
                <w:sz w:val="24"/>
                <w:color w:val="000000"/>
              </w:rPr>
              <w:t>mm 镀锌板制作。内部设置加强筋与方管，内部加强筋为≥1.</w:t>
            </w:r>
            <w:r>
              <w:rPr>
                <w:rFonts w:ascii="仿宋_GB2312" w:hAnsi="仿宋_GB2312" w:cs="仿宋_GB2312" w:eastAsia="仿宋_GB2312"/>
                <w:sz w:val="24"/>
                <w:color w:val="000000"/>
              </w:rPr>
              <w:t>2</w:t>
            </w:r>
            <w:r>
              <w:rPr>
                <w:rFonts w:ascii="仿宋_GB2312" w:hAnsi="仿宋_GB2312" w:cs="仿宋_GB2312" w:eastAsia="仿宋_GB2312"/>
                <w:sz w:val="24"/>
                <w:color w:val="000000"/>
              </w:rPr>
              <w:t>mm 镀锌板，内置加强骨架≥20*40*1.2mm 镀锌管。采用独立开门，外开门。</w:t>
            </w:r>
          </w:p>
          <w:p>
            <w:pPr>
              <w:pStyle w:val="null3"/>
              <w:ind w:firstLine="480"/>
              <w:jc w:val="both"/>
            </w:pPr>
            <w:r>
              <w:rPr>
                <w:rFonts w:ascii="仿宋_GB2312" w:hAnsi="仿宋_GB2312" w:cs="仿宋_GB2312" w:eastAsia="仿宋_GB2312"/>
                <w:sz w:val="21"/>
                <w:color w:val="000000"/>
              </w:rPr>
              <w:t>★</w:t>
            </w:r>
            <w:r>
              <w:rPr>
                <w:rFonts w:ascii="仿宋_GB2312" w:hAnsi="仿宋_GB2312" w:cs="仿宋_GB2312" w:eastAsia="仿宋_GB2312"/>
                <w:sz w:val="24"/>
                <w:color w:val="000000"/>
              </w:rPr>
              <w:t>15.垃圾分类房/垃圾分类亭照明·线路要求：</w:t>
            </w:r>
            <w:r>
              <w:rPr>
                <w:rFonts w:ascii="仿宋_GB2312" w:hAnsi="仿宋_GB2312" w:cs="仿宋_GB2312" w:eastAsia="仿宋_GB2312"/>
                <w:sz w:val="24"/>
                <w:color w:val="000000"/>
              </w:rPr>
              <w:t>LED 照明灯，满足室内照明要求。电源连接方式：接线端子；内部接线：塑料线 60227 IEC 52(RVV) 300V/300V 0.75mm2；固定架：塑料线扣；额定电压（V）：220V～；电源频率（Hz）：50Hz；额定功率(W)：12W（12×1.0W/颗 LED 模块）。</w:t>
            </w:r>
          </w:p>
          <w:p>
            <w:pPr>
              <w:pStyle w:val="null3"/>
              <w:ind w:firstLine="480"/>
              <w:jc w:val="both"/>
            </w:pPr>
            <w:r>
              <w:rPr>
                <w:rFonts w:ascii="仿宋_GB2312" w:hAnsi="仿宋_GB2312" w:cs="仿宋_GB2312" w:eastAsia="仿宋_GB2312"/>
                <w:sz w:val="24"/>
                <w:color w:val="000000"/>
              </w:rPr>
              <w:t>漏保、五孔及三孔插座、开关、空开等全套具备防水功能。国标铜芯插座开关，触头分开时，被分隔的带电部件之间不小于</w:t>
            </w:r>
            <w:r>
              <w:rPr>
                <w:rFonts w:ascii="仿宋_GB2312" w:hAnsi="仿宋_GB2312" w:cs="仿宋_GB2312" w:eastAsia="仿宋_GB2312"/>
                <w:sz w:val="24"/>
                <w:color w:val="000000"/>
              </w:rPr>
              <w:t>3mm，不同极性的带电部件之间不小于 3mm。电线采用2.5 和 4 平方 BV 铜芯聚氯乙烯绝缘电线，</w:t>
            </w:r>
            <w:r>
              <w:rPr>
                <w:rFonts w:ascii="仿宋_GB2312" w:hAnsi="仿宋_GB2312" w:cs="仿宋_GB2312" w:eastAsia="仿宋_GB2312"/>
                <w:sz w:val="24"/>
                <w:color w:val="000000"/>
              </w:rPr>
              <w:t>导体单丝根数最少</w:t>
            </w:r>
            <w:r>
              <w:rPr>
                <w:rFonts w:ascii="仿宋_GB2312" w:hAnsi="仿宋_GB2312" w:cs="仿宋_GB2312" w:eastAsia="仿宋_GB2312"/>
                <w:sz w:val="24"/>
                <w:color w:val="000000"/>
              </w:rPr>
              <w:t>7 根。</w:t>
            </w:r>
            <w:r>
              <w:rPr>
                <w:rFonts w:ascii="仿宋_GB2312" w:hAnsi="仿宋_GB2312" w:cs="仿宋_GB2312" w:eastAsia="仿宋_GB2312"/>
                <w:sz w:val="24"/>
                <w:color w:val="000000"/>
              </w:rPr>
              <w:t>成品配电箱一个。</w:t>
            </w:r>
          </w:p>
          <w:p>
            <w:pPr>
              <w:pStyle w:val="null3"/>
              <w:ind w:firstLine="480"/>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给水管采用</w:t>
            </w:r>
            <w:r>
              <w:rPr>
                <w:rFonts w:ascii="仿宋_GB2312" w:hAnsi="仿宋_GB2312" w:cs="仿宋_GB2312" w:eastAsia="仿宋_GB2312"/>
                <w:sz w:val="24"/>
                <w:color w:val="000000"/>
              </w:rPr>
              <w:t>PPR冷水管，S3.2系列，dn25×3.5mm，热熔连接。下水管采用</w:t>
            </w:r>
            <w:r>
              <w:rPr>
                <w:rFonts w:ascii="仿宋_GB2312" w:hAnsi="仿宋_GB2312" w:cs="仿宋_GB2312" w:eastAsia="仿宋_GB2312"/>
                <w:sz w:val="24"/>
                <w:color w:val="000000"/>
              </w:rPr>
              <w:t>PVC-U</w:t>
            </w:r>
            <w:r>
              <w:rPr>
                <w:rFonts w:ascii="仿宋_GB2312" w:hAnsi="仿宋_GB2312" w:cs="仿宋_GB2312" w:eastAsia="仿宋_GB2312"/>
                <w:sz w:val="24"/>
                <w:color w:val="000000"/>
              </w:rPr>
              <w:t>硬聚氯乙烯，直径</w:t>
            </w:r>
            <w:r>
              <w:rPr>
                <w:rFonts w:ascii="仿宋_GB2312" w:hAnsi="仿宋_GB2312" w:cs="仿宋_GB2312" w:eastAsia="仿宋_GB2312"/>
                <w:sz w:val="24"/>
                <w:color w:val="000000"/>
              </w:rPr>
              <w:t>≥</w:t>
            </w:r>
            <w:r>
              <w:rPr>
                <w:rFonts w:ascii="仿宋_GB2312" w:hAnsi="仿宋_GB2312" w:cs="仿宋_GB2312" w:eastAsia="仿宋_GB2312"/>
                <w:sz w:val="24"/>
                <w:color w:val="000000"/>
              </w:rPr>
              <w:t>50mm，壁厚</w:t>
            </w:r>
            <w:r>
              <w:rPr>
                <w:rFonts w:ascii="仿宋_GB2312" w:hAnsi="仿宋_GB2312" w:cs="仿宋_GB2312" w:eastAsia="仿宋_GB2312"/>
                <w:sz w:val="24"/>
                <w:color w:val="000000"/>
              </w:rPr>
              <w:t>≥</w:t>
            </w:r>
            <w:r>
              <w:rPr>
                <w:rFonts w:ascii="仿宋_GB2312" w:hAnsi="仿宋_GB2312" w:cs="仿宋_GB2312" w:eastAsia="仿宋_GB2312"/>
                <w:sz w:val="24"/>
                <w:color w:val="000000"/>
              </w:rPr>
              <w:t>2.0mm，胶粘剂承插粘接。</w:t>
            </w:r>
          </w:p>
          <w:p>
            <w:pPr>
              <w:pStyle w:val="null3"/>
              <w:ind w:firstLine="480"/>
              <w:jc w:val="both"/>
            </w:pPr>
            <w:r>
              <w:rPr>
                <w:rFonts w:ascii="仿宋_GB2312" w:hAnsi="仿宋_GB2312" w:cs="仿宋_GB2312" w:eastAsia="仿宋_GB2312"/>
                <w:sz w:val="21"/>
                <w:b/>
                <w:color w:val="000000"/>
              </w:rPr>
              <w:t>★</w:t>
            </w:r>
            <w:r>
              <w:rPr>
                <w:rFonts w:ascii="仿宋_GB2312" w:hAnsi="仿宋_GB2312" w:cs="仿宋_GB2312" w:eastAsia="仿宋_GB2312"/>
                <w:sz w:val="24"/>
                <w:color w:val="000000"/>
              </w:rPr>
              <w:t>17.</w:t>
            </w:r>
            <w:r>
              <w:rPr>
                <w:rFonts w:ascii="仿宋_GB2312" w:hAnsi="仿宋_GB2312" w:cs="仿宋_GB2312" w:eastAsia="仿宋_GB2312"/>
                <w:sz w:val="24"/>
                <w:color w:val="000000"/>
              </w:rPr>
              <w:t>按实际桶位配齐</w:t>
            </w:r>
            <w:r>
              <w:rPr>
                <w:rFonts w:ascii="仿宋_GB2312" w:hAnsi="仿宋_GB2312" w:cs="仿宋_GB2312" w:eastAsia="仿宋_GB2312"/>
                <w:sz w:val="24"/>
                <w:color w:val="000000"/>
              </w:rPr>
              <w:t>2</w:t>
            </w:r>
            <w:r>
              <w:rPr>
                <w:rFonts w:ascii="仿宋_GB2312" w:hAnsi="仿宋_GB2312" w:cs="仿宋_GB2312" w:eastAsia="仿宋_GB2312"/>
                <w:sz w:val="24"/>
                <w:color w:val="000000"/>
              </w:rPr>
              <w:t>套</w:t>
            </w:r>
            <w:r>
              <w:rPr>
                <w:rFonts w:ascii="仿宋_GB2312" w:hAnsi="仿宋_GB2312" w:cs="仿宋_GB2312" w:eastAsia="仿宋_GB2312"/>
                <w:sz w:val="24"/>
                <w:color w:val="000000"/>
              </w:rPr>
              <w:t>240L塑料生活垃圾分类收集桶</w:t>
            </w:r>
            <w:r>
              <w:rPr>
                <w:rFonts w:ascii="仿宋_GB2312" w:hAnsi="仿宋_GB2312" w:cs="仿宋_GB2312" w:eastAsia="仿宋_GB2312"/>
                <w:sz w:val="24"/>
                <w:color w:val="000000"/>
              </w:rPr>
              <w:t>。</w:t>
            </w:r>
            <w:r>
              <w:rPr>
                <w:rFonts w:ascii="仿宋_GB2312" w:hAnsi="仿宋_GB2312" w:cs="仿宋_GB2312" w:eastAsia="仿宋_GB2312"/>
                <w:sz w:val="21"/>
                <w:b/>
                <w:color w:val="000000"/>
              </w:rPr>
              <w:t>（核心产品）</w:t>
            </w:r>
          </w:p>
          <w:p>
            <w:pPr>
              <w:pStyle w:val="null3"/>
              <w:ind w:firstLine="422"/>
              <w:jc w:val="both"/>
            </w:pPr>
            <w:r>
              <w:rPr>
                <w:rFonts w:ascii="仿宋_GB2312" w:hAnsi="仿宋_GB2312" w:cs="仿宋_GB2312" w:eastAsia="仿宋_GB2312"/>
                <w:sz w:val="21"/>
                <w:b/>
                <w:color w:val="000000"/>
              </w:rPr>
              <w:t>（</w:t>
            </w:r>
            <w:r>
              <w:rPr>
                <w:rFonts w:ascii="仿宋_GB2312" w:hAnsi="仿宋_GB2312" w:cs="仿宋_GB2312" w:eastAsia="仿宋_GB2312"/>
                <w:sz w:val="21"/>
                <w:b/>
                <w:color w:val="000000"/>
              </w:rPr>
              <w:t>注：（注：1.本项目采购的产品属于节能产品政府采购品目清单中应强制采购的产品范围，供应商应当提供国家确定的认证机构出具的、处于有效期之内的节能产品认证证书，否则作无效响应处理。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sz w:val="21"/>
                <w:b/>
                <w:color w:val="000000"/>
              </w:rPr>
              <w:t>2、本项目所投产品若属于《强制性产品认证目录》及《强制性产品认证目录描述与界定表(2023年修订)》范围，应提供有效期内的3c认证证书。）</w:t>
            </w:r>
          </w:p>
          <w:p>
            <w:pPr>
              <w:pStyle w:val="null3"/>
              <w:jc w:val="both"/>
            </w:pPr>
            <w:r>
              <w:rPr>
                <w:rFonts w:ascii="仿宋_GB2312" w:hAnsi="仿宋_GB2312" w:cs="仿宋_GB2312" w:eastAsia="仿宋_GB2312"/>
                <w:sz w:val="24"/>
                <w:color w:val="000000"/>
              </w:rPr>
              <w:t>四、服务要求</w:t>
            </w:r>
          </w:p>
          <w:p>
            <w:pPr>
              <w:pStyle w:val="null3"/>
              <w:ind w:firstLine="480"/>
              <w:jc w:val="both"/>
            </w:pPr>
            <w:r>
              <w:rPr>
                <w:rFonts w:ascii="仿宋_GB2312" w:hAnsi="仿宋_GB2312" w:cs="仿宋_GB2312" w:eastAsia="仿宋_GB2312"/>
                <w:sz w:val="24"/>
                <w:color w:val="000000"/>
              </w:rPr>
              <w:t>（一）供货与安装</w:t>
            </w:r>
          </w:p>
          <w:p>
            <w:pPr>
              <w:pStyle w:val="null3"/>
              <w:ind w:firstLine="480"/>
              <w:jc w:val="both"/>
            </w:pPr>
            <w:r>
              <w:rPr>
                <w:rFonts w:ascii="仿宋_GB2312" w:hAnsi="仿宋_GB2312" w:cs="仿宋_GB2312" w:eastAsia="仿宋_GB2312"/>
                <w:sz w:val="21"/>
                <w:b/>
                <w:color w:val="000000"/>
              </w:rPr>
              <w:t>★</w:t>
            </w:r>
            <w:r>
              <w:rPr>
                <w:rFonts w:ascii="仿宋_GB2312" w:hAnsi="仿宋_GB2312" w:cs="仿宋_GB2312" w:eastAsia="仿宋_GB2312"/>
                <w:sz w:val="24"/>
                <w:color w:val="000000"/>
              </w:rPr>
              <w:t>1.供货期：合同签订后30日历天内完成供货、运输、安装、调试、验收 ；</w:t>
            </w:r>
          </w:p>
          <w:p>
            <w:pPr>
              <w:pStyle w:val="null3"/>
              <w:ind w:firstLine="480"/>
              <w:jc w:val="both"/>
            </w:pPr>
            <w:r>
              <w:rPr>
                <w:rFonts w:ascii="仿宋_GB2312" w:hAnsi="仿宋_GB2312" w:cs="仿宋_GB2312" w:eastAsia="仿宋_GB2312"/>
                <w:sz w:val="21"/>
                <w:b/>
                <w:color w:val="000000"/>
              </w:rPr>
              <w:t>★</w:t>
            </w:r>
            <w:r>
              <w:rPr>
                <w:rFonts w:ascii="仿宋_GB2312" w:hAnsi="仿宋_GB2312" w:cs="仿宋_GB2312" w:eastAsia="仿宋_GB2312"/>
                <w:sz w:val="24"/>
                <w:color w:val="000000"/>
              </w:rPr>
              <w:t>2.运输：负责货物运输至指定点位，承担运输损耗、破损风险；</w:t>
            </w:r>
          </w:p>
          <w:p>
            <w:pPr>
              <w:pStyle w:val="null3"/>
              <w:ind w:firstLine="480"/>
              <w:jc w:val="both"/>
            </w:pPr>
            <w:r>
              <w:rPr>
                <w:rFonts w:ascii="仿宋_GB2312" w:hAnsi="仿宋_GB2312" w:cs="仿宋_GB2312" w:eastAsia="仿宋_GB2312"/>
                <w:sz w:val="21"/>
                <w:b/>
                <w:color w:val="000000"/>
              </w:rPr>
              <w:t>★</w:t>
            </w:r>
            <w:r>
              <w:rPr>
                <w:rFonts w:ascii="仿宋_GB2312" w:hAnsi="仿宋_GB2312" w:cs="仿宋_GB2312" w:eastAsia="仿宋_GB2312"/>
                <w:sz w:val="24"/>
                <w:color w:val="000000"/>
              </w:rPr>
              <w:t>3.安装：包含地基施工、水电接入、设备固定、系统调试，确保正常运行；</w:t>
            </w:r>
          </w:p>
          <w:p>
            <w:pPr>
              <w:pStyle w:val="null3"/>
              <w:ind w:firstLine="480"/>
              <w:jc w:val="both"/>
            </w:pPr>
            <w:r>
              <w:rPr>
                <w:rFonts w:ascii="仿宋_GB2312" w:hAnsi="仿宋_GB2312" w:cs="仿宋_GB2312" w:eastAsia="仿宋_GB2312"/>
                <w:sz w:val="21"/>
                <w:b/>
                <w:color w:val="000000"/>
              </w:rPr>
              <w:t>★</w:t>
            </w:r>
            <w:r>
              <w:rPr>
                <w:rFonts w:ascii="仿宋_GB2312" w:hAnsi="仿宋_GB2312" w:cs="仿宋_GB2312" w:eastAsia="仿宋_GB2312"/>
                <w:sz w:val="24"/>
                <w:color w:val="000000"/>
              </w:rPr>
              <w:t>4.验收：配合采购人完成现场验收、功能测试、数据对接，提供验收资料。</w:t>
            </w:r>
          </w:p>
          <w:p>
            <w:pPr>
              <w:pStyle w:val="null3"/>
              <w:ind w:firstLine="480"/>
              <w:jc w:val="both"/>
            </w:pPr>
            <w:r>
              <w:rPr>
                <w:rFonts w:ascii="仿宋_GB2312" w:hAnsi="仿宋_GB2312" w:cs="仿宋_GB2312" w:eastAsia="仿宋_GB2312"/>
                <w:sz w:val="24"/>
                <w:color w:val="000000"/>
              </w:rPr>
              <w:t>（二）培训服务</w:t>
            </w:r>
          </w:p>
          <w:p>
            <w:pPr>
              <w:pStyle w:val="null3"/>
              <w:ind w:firstLine="480"/>
              <w:jc w:val="both"/>
            </w:pPr>
            <w:r>
              <w:rPr>
                <w:rFonts w:ascii="仿宋_GB2312" w:hAnsi="仿宋_GB2312" w:cs="仿宋_GB2312" w:eastAsia="仿宋_GB2312"/>
                <w:sz w:val="21"/>
                <w:b/>
                <w:color w:val="000000"/>
              </w:rPr>
              <w:t>★</w:t>
            </w:r>
            <w:r>
              <w:rPr>
                <w:rFonts w:ascii="仿宋_GB2312" w:hAnsi="仿宋_GB2312" w:cs="仿宋_GB2312" w:eastAsia="仿宋_GB2312"/>
                <w:sz w:val="24"/>
                <w:color w:val="000000"/>
              </w:rPr>
              <w:t>1.对采购人管理人员、运维人员进行现场培训，不少于2次，每次≥2小时；</w:t>
            </w:r>
          </w:p>
          <w:p>
            <w:pPr>
              <w:pStyle w:val="null3"/>
              <w:ind w:firstLine="480"/>
              <w:jc w:val="both"/>
            </w:pPr>
            <w:r>
              <w:rPr>
                <w:rFonts w:ascii="仿宋_GB2312" w:hAnsi="仿宋_GB2312" w:cs="仿宋_GB2312" w:eastAsia="仿宋_GB2312"/>
                <w:sz w:val="21"/>
                <w:b/>
                <w:color w:val="000000"/>
              </w:rPr>
              <w:t>★</w:t>
            </w:r>
            <w:r>
              <w:rPr>
                <w:rFonts w:ascii="仿宋_GB2312" w:hAnsi="仿宋_GB2312" w:cs="仿宋_GB2312" w:eastAsia="仿宋_GB2312"/>
                <w:sz w:val="24"/>
                <w:color w:val="000000"/>
              </w:rPr>
              <w:t>2.培训内容：设备操作、</w:t>
            </w:r>
            <w:r>
              <w:rPr>
                <w:rFonts w:ascii="仿宋_GB2312" w:hAnsi="仿宋_GB2312" w:cs="仿宋_GB2312" w:eastAsia="仿宋_GB2312"/>
                <w:sz w:val="24"/>
                <w:color w:val="000000"/>
              </w:rPr>
              <w:t>设备</w:t>
            </w:r>
            <w:r>
              <w:rPr>
                <w:rFonts w:ascii="仿宋_GB2312" w:hAnsi="仿宋_GB2312" w:cs="仿宋_GB2312" w:eastAsia="仿宋_GB2312"/>
                <w:sz w:val="24"/>
                <w:color w:val="000000"/>
              </w:rPr>
              <w:t>使用、故障排查、日常维护；</w:t>
            </w:r>
          </w:p>
          <w:p>
            <w:pPr>
              <w:pStyle w:val="null3"/>
              <w:ind w:firstLine="480"/>
              <w:jc w:val="both"/>
            </w:pPr>
            <w:r>
              <w:rPr>
                <w:rFonts w:ascii="仿宋_GB2312" w:hAnsi="仿宋_GB2312" w:cs="仿宋_GB2312" w:eastAsia="仿宋_GB2312"/>
                <w:sz w:val="21"/>
                <w:b/>
                <w:color w:val="000000"/>
              </w:rPr>
              <w:t>★</w:t>
            </w:r>
            <w:r>
              <w:rPr>
                <w:rFonts w:ascii="仿宋_GB2312" w:hAnsi="仿宋_GB2312" w:cs="仿宋_GB2312" w:eastAsia="仿宋_GB2312"/>
                <w:sz w:val="24"/>
                <w:color w:val="000000"/>
              </w:rPr>
              <w:t>3.提供纸质+电子版操作手册、维护手册、常见故障处理指南。</w:t>
            </w:r>
          </w:p>
          <w:p>
            <w:pPr>
              <w:pStyle w:val="null3"/>
              <w:ind w:firstLine="480"/>
              <w:jc w:val="both"/>
            </w:pPr>
            <w:r>
              <w:rPr>
                <w:rFonts w:ascii="仿宋_GB2312" w:hAnsi="仿宋_GB2312" w:cs="仿宋_GB2312" w:eastAsia="仿宋_GB2312"/>
                <w:sz w:val="24"/>
                <w:color w:val="000000"/>
              </w:rPr>
              <w:t>（三）运维服务</w:t>
            </w:r>
          </w:p>
          <w:p>
            <w:pPr>
              <w:pStyle w:val="null3"/>
              <w:ind w:firstLine="480"/>
              <w:jc w:val="both"/>
            </w:pPr>
            <w:r>
              <w:rPr>
                <w:rFonts w:ascii="仿宋_GB2312" w:hAnsi="仿宋_GB2312" w:cs="仿宋_GB2312" w:eastAsia="仿宋_GB2312"/>
                <w:sz w:val="21"/>
                <w:b/>
                <w:color w:val="000000"/>
              </w:rPr>
              <w:t>★</w:t>
            </w:r>
            <w:r>
              <w:rPr>
                <w:rFonts w:ascii="仿宋_GB2312" w:hAnsi="仿宋_GB2312" w:cs="仿宋_GB2312" w:eastAsia="仿宋_GB2312"/>
                <w:sz w:val="24"/>
                <w:color w:val="000000"/>
              </w:rPr>
              <w:t>1.建立7×24小时售后响应机制，故障报修≤2小时响应，市区≤24小时上门维修；</w:t>
            </w:r>
          </w:p>
          <w:p>
            <w:pPr>
              <w:pStyle w:val="null3"/>
              <w:ind w:firstLine="480"/>
              <w:jc w:val="both"/>
            </w:pPr>
            <w:r>
              <w:rPr>
                <w:rFonts w:ascii="仿宋_GB2312" w:hAnsi="仿宋_GB2312" w:cs="仿宋_GB2312" w:eastAsia="仿宋_GB2312"/>
                <w:sz w:val="21"/>
                <w:b/>
                <w:color w:val="000000"/>
              </w:rPr>
              <w:t>★</w:t>
            </w:r>
            <w:r>
              <w:rPr>
                <w:rFonts w:ascii="仿宋_GB2312" w:hAnsi="仿宋_GB2312" w:cs="仿宋_GB2312" w:eastAsia="仿宋_GB2312"/>
                <w:sz w:val="24"/>
                <w:color w:val="000000"/>
              </w:rPr>
              <w:t>2.定期巡检：质保期内每季度上门巡检1次，清洁、检测、调试设备，出具巡检报告。</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合同签订后30日历天内完成供货、运输、安装、调试、验收 。</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其他，设备到货并安装调试完成验收后，经采购人验收合格并签署验收报告后，达到付款条件起15个工作日内，支付合同总金额的60.0%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验收标准：符合国家及行业标准（具体标准号见附件《验收标准清单》、采购需 求技术参数承诺。标准 GB/T19095《生活垃圾分类标志》、GB/T 3091-2025《镀锌管》、 3D 效果图、检测报告或产品合格证或说明书等。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1.整体设备质保期：2 年（自验收合格之日起计算）； 2.核心部件质保期：智能系统（触控屏、传感器、主板、摄像头）3 年，房亭主 体结构质保≥5 年； 3.质保范围：免费维修、更换非人为损坏的零部件、软件升级、上门服务，费用 由供应商承担 ； 4.终身维护：质保期满后，提供终身维护服务，零部件仅收取成本费，上门服务 费优惠收取 ； 5.免责条款：人为损坏、不可抗力（地震、洪水、台风等）、违规操作导致的损 坏，不在质保范围内 。</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（1）按《中华人民共和国民法典》中的相关条款执行。（2）按合同要求执行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1、培训服务 ：（1）对采购人管理人员、运维人员进行现场培训，不少于2次，每次≥2小时； （2）培训内容：设备操作、设备使用、故障排查、日常维护；（3）提供纸质+电子版操作手册、维护手册、常见故障处理指南。 2、运维服务 ：（1）建立7×24小时售后响应机制，故障报修≤2小时响应，市区≤24小时上门维修；（2） 定期巡检：质保期内每季度上门巡检1次，清洁、检测、调试设备，出具巡检报告。 3、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财务状况报告：提供具有财务审计资质单位出具的2024或2025年度财务报告或开标前六个月内其基本账户银行出具的资信证明或采购信用担保机构出具的担保函；2.税收缴纳证明：提供截止至开标时间前六个月内任意一个月的缴纳凭据；（依法免税的供应商应提供相关文件证明）；3.社会保障资金缴纳证明：提供截止至开标时间前六个月内任意一个月的社保缴纳凭据或社保机构开具的社会保险参保缴纳情况证明（依法不需要缴纳社会保障资金的供应商应提供相关证明）；4.提供具有履行本合同所必需的设备和专业技术能力的承诺函（加盖供应商公章）； 5.提供参加政府采购活动前三年内在经营活动中没有重大违法记录的书面声明（加盖供应商公章）。注：供应商需在项目电子化交易系统中按要求上传相应证明文件并进行电子签章。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法定代表人身份证明及法定代表人授权委托书.docx 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承诺书.docx 响应函 资格证明资料.docx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法人或者其他组织的营业执照等证明文件，自然人的身份证明</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 效的营业执照（或事业单位法人证书）等证明资料， 自然人须提供身份证明。注：供应商需在 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供应商不得为“中国执行信息公开网”网站中列入失信被执行人和“信用中国”网站中列入重大税 收违法失信主体的供应商，不得为“中国政府采购网”政府采购严重违法失信行为记录名单中被 财政部门禁止参加政府采购活动的供应商。（以响应文件递交截止时间后的网站查询记录为准）。</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业绩要求</w:t>
            </w:r>
          </w:p>
        </w:tc>
        <w:tc>
          <w:tcPr>
            <w:tcW w:type="dxa" w:w="3322"/>
          </w:tcPr>
          <w:p>
            <w:pPr>
              <w:pStyle w:val="null3"/>
            </w:pPr>
            <w:r>
              <w:rPr>
                <w:rFonts w:ascii="仿宋_GB2312" w:hAnsi="仿宋_GB2312" w:cs="仿宋_GB2312" w:eastAsia="仿宋_GB2312"/>
              </w:rPr>
              <w:t>具备垃圾分类设备生产/供货能力，提供近2年内垃圾分类环卫设施供应项目业绩1个（包括业绩合同首页，供货清单及盖章签字页，以合同签订时间为准）。</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中小企业声明函 商务应答表 供应商应提交的相关资格证明材料 承诺书.docx 报价表 响应文件封面 分项报价表.docx 谈判报价一览表.docx 残疾人福利性单位声明函 标的清单 关于符合本国产品标准的声明函 其他资料.docx 产品技术参数表.docx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谈判响应文件签字、盖章齐全</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只能有一个有效报价，不得提交选择性报价，且报价不超过采购预算金额及最高限价</w:t>
            </w:r>
          </w:p>
        </w:tc>
        <w:tc>
          <w:tcPr>
            <w:tcW w:type="dxa" w:w="1661"/>
          </w:tcPr>
          <w:p>
            <w:pPr>
              <w:pStyle w:val="null3"/>
            </w:pPr>
            <w:r>
              <w:rPr>
                <w:rFonts w:ascii="仿宋_GB2312" w:hAnsi="仿宋_GB2312" w:cs="仿宋_GB2312" w:eastAsia="仿宋_GB2312"/>
              </w:rPr>
              <w:t>分项报价表.docx 谈判报价一览表.docx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谈判响应文件内容</w:t>
            </w:r>
          </w:p>
        </w:tc>
        <w:tc>
          <w:tcPr>
            <w:tcW w:type="dxa" w:w="3322"/>
          </w:tcPr>
          <w:p>
            <w:pPr>
              <w:pStyle w:val="null3"/>
            </w:pPr>
            <w:r>
              <w:rPr>
                <w:rFonts w:ascii="仿宋_GB2312" w:hAnsi="仿宋_GB2312" w:cs="仿宋_GB2312" w:eastAsia="仿宋_GB2312"/>
              </w:rPr>
              <w:t>谈判响应文件内容齐全、无遗漏</w:t>
            </w:r>
          </w:p>
        </w:tc>
        <w:tc>
          <w:tcPr>
            <w:tcW w:type="dxa" w:w="1661"/>
          </w:tcPr>
          <w:p>
            <w:pPr>
              <w:pStyle w:val="null3"/>
            </w:pPr>
            <w:r>
              <w:rPr>
                <w:rFonts w:ascii="仿宋_GB2312" w:hAnsi="仿宋_GB2312" w:cs="仿宋_GB2312" w:eastAsia="仿宋_GB2312"/>
              </w:rPr>
              <w:t>商务应答表 标的清单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对谈判文件的技术响应</w:t>
            </w:r>
          </w:p>
        </w:tc>
        <w:tc>
          <w:tcPr>
            <w:tcW w:type="dxa" w:w="3322"/>
          </w:tcPr>
          <w:p>
            <w:pPr>
              <w:pStyle w:val="null3"/>
            </w:pPr>
            <w:r>
              <w:rPr>
                <w:rFonts w:ascii="仿宋_GB2312" w:hAnsi="仿宋_GB2312" w:cs="仿宋_GB2312" w:eastAsia="仿宋_GB2312"/>
              </w:rPr>
              <w:t>1、核心产品需提供合法来源证明，包括但不限于原厂授权、销售协议、代理协议等相关证明材料，未提供视为无效文件。 2、供应商必须响应并满足技术参数。</w:t>
            </w:r>
          </w:p>
        </w:tc>
        <w:tc>
          <w:tcPr>
            <w:tcW w:type="dxa" w:w="1661"/>
          </w:tcPr>
          <w:p>
            <w:pPr>
              <w:pStyle w:val="null3"/>
            </w:pPr>
            <w:r>
              <w:rPr>
                <w:rFonts w:ascii="仿宋_GB2312" w:hAnsi="仿宋_GB2312" w:cs="仿宋_GB2312" w:eastAsia="仿宋_GB2312"/>
              </w:rPr>
              <w:t>分项报价表.docx 产品技术参数表.docx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应满足谈判文件中要求的交货时间</w:t>
            </w:r>
          </w:p>
        </w:tc>
        <w:tc>
          <w:tcPr>
            <w:tcW w:type="dxa" w:w="1661"/>
          </w:tcPr>
          <w:p>
            <w:pPr>
              <w:pStyle w:val="null3"/>
            </w:pPr>
            <w:r>
              <w:rPr>
                <w:rFonts w:ascii="仿宋_GB2312" w:hAnsi="仿宋_GB2312" w:cs="仿宋_GB2312" w:eastAsia="仿宋_GB2312"/>
              </w:rPr>
              <w:t>分项报价表.docx 谈判报价一览表.docx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应满足谈判文件中要求的质量保修范围和保修期</w:t>
            </w:r>
          </w:p>
        </w:tc>
        <w:tc>
          <w:tcPr>
            <w:tcW w:type="dxa" w:w="1661"/>
          </w:tcPr>
          <w:p>
            <w:pPr>
              <w:pStyle w:val="null3"/>
            </w:pPr>
            <w:r>
              <w:rPr>
                <w:rFonts w:ascii="仿宋_GB2312" w:hAnsi="仿宋_GB2312" w:cs="仿宋_GB2312" w:eastAsia="仿宋_GB2312"/>
              </w:rPr>
              <w:t>分项报价表.docx 谈判报价一览表.docx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应满足谈判文件中要求的交货地点</w:t>
            </w:r>
          </w:p>
        </w:tc>
        <w:tc>
          <w:tcPr>
            <w:tcW w:type="dxa" w:w="1661"/>
          </w:tcPr>
          <w:p>
            <w:pPr>
              <w:pStyle w:val="null3"/>
            </w:pPr>
            <w:r>
              <w:rPr>
                <w:rFonts w:ascii="仿宋_GB2312" w:hAnsi="仿宋_GB2312" w:cs="仿宋_GB2312" w:eastAsia="仿宋_GB2312"/>
              </w:rPr>
              <w:t>分项报价表.docx 谈判报价一览表.docx 报价表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分项报价表.docx 谈判报价一览表.docx 报价表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供货方案</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供货服务方案.docx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（1）投标（响应）报价低于全部通过符合性审查供应商投标（响应）报价平均值65%的，即投标（响应）报价&lt;全部通过符合性审查供应商投标（响应）报价平均值×65%。</w:t>
              <w:br/>
              <w:t>（2）投标（响应）报价低于通过符合性审查且报价次低供应商投标（响应）报价65%的，即投标（响应）报价&lt;通过符合性审查且报价次低供应商投标（响应）报价×65%。</w:t>
              <w:br/>
              <w:t>（3）投标（响应）报价低于最高限价65%的，即投标（响应）报价&lt;最高限价×65%。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详见附件：谈判报价一览表.docx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详见附件：法定代表人身份证明及法定代表人授权委托书.docx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详见附件：供货服务方案.docx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