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883F53">
      <w:pPr>
        <w:spacing w:line="360" w:lineRule="auto"/>
        <w:jc w:val="left"/>
        <w:outlineLvl w:val="9"/>
        <w:rPr>
          <w:rFonts w:hint="eastAsia" w:ascii="宋体" w:hAnsi="宋体" w:cs="宋体"/>
          <w:b/>
          <w:bCs/>
          <w:color w:val="auto"/>
          <w:sz w:val="36"/>
          <w:szCs w:val="36"/>
          <w:lang w:val="en-US" w:eastAsia="zh-CN"/>
        </w:rPr>
      </w:pPr>
    </w:p>
    <w:p w14:paraId="0BA40FB1">
      <w:pPr>
        <w:spacing w:line="360" w:lineRule="auto"/>
        <w:jc w:val="left"/>
        <w:outlineLvl w:val="9"/>
        <w:rPr>
          <w:rFonts w:hint="eastAsia" w:ascii="宋体" w:hAnsi="宋体" w:eastAsia="宋体" w:cs="宋体"/>
          <w:b/>
          <w:bCs/>
          <w:color w:val="auto"/>
          <w:sz w:val="36"/>
          <w:szCs w:val="36"/>
          <w:lang w:val="en-US" w:eastAsia="zh-CN"/>
        </w:rPr>
      </w:pPr>
      <w:r>
        <w:rPr>
          <w:rFonts w:hint="eastAsia" w:ascii="宋体" w:hAnsi="宋体" w:cs="宋体"/>
          <w:b/>
          <w:bCs/>
          <w:color w:val="auto"/>
          <w:sz w:val="36"/>
          <w:szCs w:val="36"/>
          <w:lang w:val="en-US" w:eastAsia="zh-CN"/>
        </w:rPr>
        <w:t>采购</w:t>
      </w:r>
      <w:r>
        <w:rPr>
          <w:rFonts w:hint="eastAsia" w:ascii="宋体" w:hAnsi="宋体" w:cs="宋体"/>
          <w:b/>
          <w:bCs/>
          <w:color w:val="auto"/>
          <w:sz w:val="36"/>
          <w:szCs w:val="36"/>
        </w:rPr>
        <w:t>项目编号：</w:t>
      </w:r>
      <w:r>
        <w:rPr>
          <w:rFonts w:hint="eastAsia" w:ascii="宋体" w:hAnsi="宋体" w:eastAsia="宋体" w:cs="宋体"/>
          <w:b/>
          <w:bCs/>
          <w:color w:val="auto"/>
          <w:sz w:val="36"/>
          <w:szCs w:val="36"/>
          <w:lang w:eastAsia="zh-CN"/>
        </w:rPr>
        <w:t>HMXS-2026-ZC-109</w:t>
      </w:r>
    </w:p>
    <w:p w14:paraId="5AD5081D">
      <w:pPr>
        <w:spacing w:before="156" w:beforeLines="50" w:line="360" w:lineRule="auto"/>
        <w:jc w:val="both"/>
        <w:outlineLvl w:val="9"/>
        <w:rPr>
          <w:rFonts w:hint="eastAsia" w:ascii="宋体" w:hAnsi="宋体" w:eastAsia="宋体" w:cs="宋体"/>
          <w:b/>
          <w:bCs/>
          <w:color w:val="auto"/>
          <w:sz w:val="60"/>
          <w:szCs w:val="60"/>
          <w:lang w:val="en-US" w:eastAsia="zh-CN"/>
        </w:rPr>
      </w:pPr>
    </w:p>
    <w:p w14:paraId="7409EE2F">
      <w:pPr>
        <w:spacing w:before="156" w:beforeLines="50" w:line="360" w:lineRule="auto"/>
        <w:jc w:val="center"/>
        <w:outlineLvl w:val="9"/>
        <w:rPr>
          <w:rFonts w:hint="eastAsia" w:ascii="宋体" w:hAnsi="宋体" w:cs="宋体"/>
          <w:b/>
          <w:bCs/>
          <w:color w:val="auto"/>
          <w:sz w:val="56"/>
          <w:szCs w:val="56"/>
          <w:lang w:val="en-US" w:eastAsia="zh-CN"/>
        </w:rPr>
      </w:pPr>
      <w:r>
        <w:rPr>
          <w:rFonts w:hint="eastAsia" w:ascii="宋体" w:hAnsi="宋体" w:cs="宋体"/>
          <w:b/>
          <w:bCs/>
          <w:color w:val="auto"/>
          <w:sz w:val="56"/>
          <w:szCs w:val="56"/>
          <w:lang w:val="en-US" w:eastAsia="zh-CN"/>
        </w:rPr>
        <w:t>《绥德县丁家沟-十里铺饮用水水源地保护区撤销技术报告》编制服务项目</w:t>
      </w:r>
    </w:p>
    <w:p w14:paraId="474F01D6">
      <w:pPr>
        <w:spacing w:before="156" w:beforeLines="50" w:line="360" w:lineRule="auto"/>
        <w:jc w:val="both"/>
        <w:outlineLvl w:val="9"/>
        <w:rPr>
          <w:rFonts w:hint="eastAsia" w:ascii="宋体" w:hAnsi="宋体" w:cs="宋体"/>
          <w:b/>
          <w:bCs/>
          <w:color w:val="auto"/>
          <w:sz w:val="72"/>
          <w:szCs w:val="72"/>
          <w:lang w:val="en-US" w:eastAsia="zh-CN"/>
        </w:rPr>
      </w:pPr>
    </w:p>
    <w:p w14:paraId="7D939DC4">
      <w:pPr>
        <w:spacing w:before="156" w:beforeLines="50" w:line="360" w:lineRule="auto"/>
        <w:jc w:val="center"/>
        <w:outlineLvl w:val="9"/>
        <w:rPr>
          <w:rFonts w:hint="default" w:ascii="宋体" w:hAnsi="宋体" w:eastAsia="宋体" w:cs="宋体"/>
          <w:b/>
          <w:color w:val="auto"/>
          <w:sz w:val="32"/>
          <w:szCs w:val="32"/>
          <w:lang w:val="en-US" w:eastAsia="zh-CN"/>
        </w:rPr>
      </w:pPr>
      <w:r>
        <w:rPr>
          <w:rFonts w:hint="eastAsia" w:ascii="宋体" w:hAnsi="宋体" w:cs="宋体"/>
          <w:b/>
          <w:bCs/>
          <w:color w:val="auto"/>
          <w:sz w:val="72"/>
          <w:szCs w:val="72"/>
          <w:lang w:val="en-US" w:eastAsia="zh-CN"/>
        </w:rPr>
        <w:t>竞争性谈判文件</w:t>
      </w:r>
    </w:p>
    <w:p w14:paraId="781F3275">
      <w:pPr>
        <w:tabs>
          <w:tab w:val="left" w:pos="3861"/>
        </w:tabs>
        <w:spacing w:line="360" w:lineRule="auto"/>
        <w:jc w:val="center"/>
        <w:outlineLvl w:val="9"/>
        <w:rPr>
          <w:rFonts w:hint="eastAsia" w:eastAsia="宋体"/>
          <w:color w:val="auto"/>
          <w:lang w:eastAsia="zh-CN"/>
        </w:rPr>
      </w:pPr>
    </w:p>
    <w:p w14:paraId="4D53755F">
      <w:pPr>
        <w:tabs>
          <w:tab w:val="left" w:pos="3861"/>
        </w:tabs>
        <w:spacing w:line="360" w:lineRule="auto"/>
        <w:jc w:val="center"/>
        <w:outlineLvl w:val="9"/>
        <w:rPr>
          <w:rFonts w:hint="eastAsia" w:eastAsia="宋体"/>
          <w:color w:val="auto"/>
          <w:lang w:eastAsia="zh-CN"/>
        </w:rPr>
      </w:pPr>
    </w:p>
    <w:p w14:paraId="1940B182">
      <w:pPr>
        <w:tabs>
          <w:tab w:val="left" w:pos="3861"/>
        </w:tabs>
        <w:spacing w:line="360" w:lineRule="auto"/>
        <w:jc w:val="center"/>
        <w:outlineLvl w:val="9"/>
        <w:rPr>
          <w:rFonts w:hint="eastAsia" w:eastAsia="宋体"/>
          <w:color w:val="auto"/>
          <w:lang w:eastAsia="zh-CN"/>
        </w:rPr>
      </w:pPr>
    </w:p>
    <w:p w14:paraId="47774050">
      <w:pPr>
        <w:tabs>
          <w:tab w:val="left" w:pos="3861"/>
        </w:tabs>
        <w:spacing w:line="360" w:lineRule="auto"/>
        <w:jc w:val="center"/>
        <w:outlineLvl w:val="9"/>
        <w:rPr>
          <w:rFonts w:hint="eastAsia" w:eastAsia="宋体"/>
          <w:color w:val="auto"/>
          <w:lang w:eastAsia="zh-CN"/>
        </w:rPr>
      </w:pPr>
    </w:p>
    <w:p w14:paraId="70E42305">
      <w:pPr>
        <w:tabs>
          <w:tab w:val="left" w:pos="3861"/>
        </w:tabs>
        <w:spacing w:line="360" w:lineRule="auto"/>
        <w:jc w:val="both"/>
        <w:outlineLvl w:val="9"/>
        <w:rPr>
          <w:rFonts w:hint="eastAsia" w:eastAsia="宋体"/>
          <w:color w:val="auto"/>
          <w:lang w:eastAsia="zh-CN"/>
        </w:rPr>
      </w:pPr>
    </w:p>
    <w:p w14:paraId="51FD7609">
      <w:pPr>
        <w:tabs>
          <w:tab w:val="left" w:pos="3861"/>
        </w:tabs>
        <w:spacing w:line="360" w:lineRule="auto"/>
        <w:jc w:val="center"/>
        <w:outlineLvl w:val="9"/>
        <w:rPr>
          <w:rFonts w:hint="eastAsia" w:eastAsia="宋体"/>
          <w:color w:val="auto"/>
          <w:lang w:eastAsia="zh-CN"/>
        </w:rPr>
      </w:pPr>
    </w:p>
    <w:p w14:paraId="49768828">
      <w:pPr>
        <w:tabs>
          <w:tab w:val="left" w:pos="3861"/>
        </w:tabs>
        <w:spacing w:line="360" w:lineRule="auto"/>
        <w:jc w:val="center"/>
        <w:outlineLvl w:val="9"/>
        <w:rPr>
          <w:rFonts w:hint="eastAsia" w:eastAsia="宋体"/>
          <w:color w:val="auto"/>
          <w:lang w:eastAsia="zh-CN"/>
        </w:rPr>
      </w:pPr>
    </w:p>
    <w:p w14:paraId="54768BE3">
      <w:pPr>
        <w:tabs>
          <w:tab w:val="left" w:pos="3861"/>
        </w:tabs>
        <w:spacing w:line="360" w:lineRule="auto"/>
        <w:jc w:val="center"/>
        <w:outlineLvl w:val="9"/>
        <w:rPr>
          <w:rFonts w:hint="eastAsia" w:eastAsia="宋体"/>
          <w:color w:val="auto"/>
          <w:lang w:val="en-US" w:eastAsia="zh-CN"/>
        </w:rPr>
      </w:pPr>
    </w:p>
    <w:p w14:paraId="248978F7">
      <w:pPr>
        <w:spacing w:line="360" w:lineRule="auto"/>
        <w:jc w:val="left"/>
        <w:outlineLvl w:val="9"/>
        <w:rPr>
          <w:rFonts w:hint="eastAsia" w:ascii="宋体" w:hAnsi="宋体" w:cs="宋体"/>
          <w:b/>
          <w:color w:val="auto"/>
          <w:sz w:val="36"/>
          <w:szCs w:val="36"/>
          <w:lang w:eastAsia="zh-CN"/>
        </w:rPr>
      </w:pPr>
      <w:r>
        <w:rPr>
          <w:rFonts w:hint="eastAsia" w:ascii="宋体" w:hAnsi="宋体" w:cs="宋体"/>
          <w:b/>
          <w:color w:val="auto"/>
          <w:sz w:val="36"/>
          <w:szCs w:val="36"/>
          <w:lang w:val="en-US" w:eastAsia="zh-CN"/>
        </w:rPr>
        <w:t>采购人</w:t>
      </w:r>
      <w:r>
        <w:rPr>
          <w:rFonts w:hint="eastAsia" w:ascii="宋体" w:hAnsi="宋体" w:cs="宋体"/>
          <w:b/>
          <w:color w:val="auto"/>
          <w:sz w:val="36"/>
          <w:szCs w:val="36"/>
          <w:lang w:eastAsia="zh-CN"/>
        </w:rPr>
        <w:t>：</w:t>
      </w:r>
      <w:r>
        <w:rPr>
          <w:rFonts w:hint="eastAsia" w:ascii="宋体" w:hAnsi="宋体" w:cs="宋体"/>
          <w:b/>
          <w:color w:val="auto"/>
          <w:sz w:val="36"/>
          <w:szCs w:val="36"/>
          <w:lang w:val="en-US" w:eastAsia="zh-CN"/>
        </w:rPr>
        <w:t>榆林市生态环境局绥德分局</w:t>
      </w:r>
    </w:p>
    <w:p w14:paraId="3CAD7515">
      <w:pPr>
        <w:spacing w:line="360" w:lineRule="auto"/>
        <w:jc w:val="left"/>
        <w:outlineLvl w:val="9"/>
        <w:rPr>
          <w:rFonts w:hint="eastAsia" w:ascii="宋体" w:hAnsi="宋体" w:cs="宋体"/>
          <w:b/>
          <w:color w:val="auto"/>
          <w:sz w:val="36"/>
          <w:szCs w:val="36"/>
          <w:lang w:eastAsia="zh-CN"/>
        </w:rPr>
      </w:pPr>
      <w:r>
        <w:rPr>
          <w:rFonts w:hint="eastAsia" w:ascii="宋体" w:hAnsi="宋体" w:cs="宋体"/>
          <w:b/>
          <w:color w:val="auto"/>
          <w:sz w:val="36"/>
          <w:szCs w:val="36"/>
          <w:lang w:val="en-US" w:eastAsia="zh-CN"/>
        </w:rPr>
        <w:t>采购</w:t>
      </w:r>
      <w:r>
        <w:rPr>
          <w:rFonts w:hint="eastAsia" w:ascii="宋体" w:hAnsi="宋体" w:cs="宋体"/>
          <w:b/>
          <w:color w:val="auto"/>
          <w:sz w:val="36"/>
          <w:szCs w:val="36"/>
          <w:lang w:eastAsia="zh-CN"/>
        </w:rPr>
        <w:t>代理机构：陕西鸿茂鑫晟建设项目管理有限公司</w:t>
      </w:r>
    </w:p>
    <w:p w14:paraId="7AF5F200">
      <w:pPr>
        <w:spacing w:before="114" w:line="360" w:lineRule="auto"/>
        <w:ind w:left="45"/>
        <w:outlineLvl w:val="9"/>
        <w:rPr>
          <w:rFonts w:ascii="宋体" w:hAnsi="宋体" w:eastAsia="宋体" w:cs="宋体"/>
          <w:b/>
          <w:bCs/>
          <w:sz w:val="35"/>
          <w:szCs w:val="35"/>
        </w:rPr>
      </w:pPr>
      <w:r>
        <w:rPr>
          <w:rFonts w:hint="eastAsia" w:ascii="宋体" w:hAnsi="宋体" w:cs="宋体"/>
          <w:b/>
          <w:color w:val="auto"/>
          <w:sz w:val="36"/>
          <w:szCs w:val="36"/>
          <w:lang w:eastAsia="zh-CN"/>
        </w:rPr>
        <w:t>时间：二〇二</w:t>
      </w:r>
      <w:r>
        <w:rPr>
          <w:rFonts w:hint="eastAsia" w:ascii="宋体" w:hAnsi="宋体" w:cs="宋体"/>
          <w:b/>
          <w:color w:val="auto"/>
          <w:sz w:val="36"/>
          <w:szCs w:val="36"/>
          <w:lang w:val="en-US" w:eastAsia="zh-CN"/>
        </w:rPr>
        <w:t>六</w:t>
      </w:r>
      <w:r>
        <w:rPr>
          <w:rFonts w:hint="eastAsia" w:ascii="宋体" w:hAnsi="宋体" w:cs="宋体"/>
          <w:b/>
          <w:color w:val="auto"/>
          <w:sz w:val="36"/>
          <w:szCs w:val="36"/>
          <w:lang w:eastAsia="zh-CN"/>
        </w:rPr>
        <w:t>年</w:t>
      </w:r>
      <w:r>
        <w:rPr>
          <w:rFonts w:hint="eastAsia" w:ascii="宋体" w:hAnsi="宋体" w:cs="宋体"/>
          <w:b/>
          <w:color w:val="auto"/>
          <w:sz w:val="36"/>
          <w:szCs w:val="36"/>
          <w:lang w:val="en-US" w:eastAsia="zh-CN"/>
        </w:rPr>
        <w:t>九</w:t>
      </w:r>
      <w:r>
        <w:rPr>
          <w:rFonts w:hint="eastAsia" w:ascii="宋体" w:hAnsi="宋体" w:cs="宋体"/>
          <w:b/>
          <w:color w:val="auto"/>
          <w:sz w:val="36"/>
          <w:szCs w:val="36"/>
          <w:lang w:eastAsia="zh-CN"/>
        </w:rPr>
        <w:t>月</w:t>
      </w:r>
    </w:p>
    <w:p w14:paraId="153E1447">
      <w:pPr>
        <w:spacing w:line="360" w:lineRule="auto"/>
        <w:outlineLvl w:val="9"/>
        <w:rPr>
          <w:rFonts w:ascii="宋体" w:hAnsi="宋体" w:eastAsia="宋体" w:cs="宋体"/>
          <w:sz w:val="35"/>
          <w:szCs w:val="35"/>
        </w:rPr>
        <w:sectPr>
          <w:pgSz w:w="11906" w:h="16838"/>
          <w:pgMar w:top="1429" w:right="1786" w:bottom="1372" w:left="1786" w:header="0" w:footer="1208" w:gutter="0"/>
          <w:pgNumType w:fmt="decimal"/>
          <w:cols w:space="0" w:num="1"/>
          <w:rtlGutter w:val="0"/>
          <w:docGrid w:linePitch="0" w:charSpace="0"/>
        </w:sectPr>
      </w:pPr>
    </w:p>
    <w:sdt>
      <w:sdtPr>
        <w:rPr>
          <w:rFonts w:ascii="宋体" w:hAnsi="宋体" w:eastAsia="宋体" w:cs="Arial"/>
          <w:snapToGrid w:val="0"/>
          <w:color w:val="000000"/>
          <w:kern w:val="0"/>
          <w:sz w:val="21"/>
          <w:szCs w:val="21"/>
          <w:lang w:val="en-US" w:eastAsia="en-US" w:bidi="ar-SA"/>
        </w:rPr>
        <w:id w:val="147483230"/>
        <w15:color w:val="DBDBDB"/>
        <w:docPartObj>
          <w:docPartGallery w:val="Table of Contents"/>
          <w:docPartUnique/>
        </w:docPartObj>
      </w:sdtPr>
      <w:sdtEndPr>
        <w:rPr>
          <w:rFonts w:ascii="宋体" w:hAnsi="宋体" w:eastAsia="宋体" w:cs="宋体"/>
          <w:snapToGrid w:val="0"/>
          <w:color w:val="000000"/>
          <w:kern w:val="0"/>
          <w:sz w:val="28"/>
          <w:szCs w:val="44"/>
          <w:lang w:val="en-US" w:eastAsia="en-US" w:bidi="ar-SA"/>
        </w:rPr>
      </w:sdtEndPr>
      <w:sdtContent>
        <w:p w14:paraId="382978F2">
          <w:pPr>
            <w:spacing w:before="0" w:beforeLines="0" w:after="0" w:afterLines="0" w:line="360" w:lineRule="auto"/>
            <w:ind w:left="0" w:leftChars="0" w:right="0" w:rightChars="0" w:firstLine="0" w:firstLineChars="0"/>
            <w:jc w:val="center"/>
          </w:pPr>
          <w:r>
            <w:rPr>
              <w:rFonts w:ascii="宋体" w:hAnsi="宋体" w:eastAsia="宋体"/>
              <w:b/>
              <w:bCs/>
              <w:sz w:val="32"/>
              <w:szCs w:val="32"/>
            </w:rPr>
            <w:t>目录</w:t>
          </w:r>
        </w:p>
        <w:p w14:paraId="10DFE50A">
          <w:pPr>
            <w:pStyle w:val="8"/>
            <w:tabs>
              <w:tab w:val="right" w:leader="dot" w:pos="8336"/>
            </w:tabs>
            <w:spacing w:line="360" w:lineRule="auto"/>
            <w:rPr>
              <w:sz w:val="28"/>
              <w:szCs w:val="28"/>
            </w:rPr>
          </w:pPr>
          <w:r>
            <w:rPr>
              <w:rFonts w:ascii="宋体" w:hAnsi="宋体" w:eastAsia="宋体" w:cs="宋体"/>
              <w:sz w:val="44"/>
              <w:szCs w:val="44"/>
            </w:rPr>
            <w:fldChar w:fldCharType="begin"/>
          </w:r>
          <w:r>
            <w:rPr>
              <w:rFonts w:ascii="宋体" w:hAnsi="宋体" w:eastAsia="宋体" w:cs="宋体"/>
              <w:sz w:val="44"/>
              <w:szCs w:val="44"/>
            </w:rPr>
            <w:instrText xml:space="preserve">TOC \o "1-1" \h \u </w:instrText>
          </w:r>
          <w:r>
            <w:rPr>
              <w:rFonts w:ascii="宋体" w:hAnsi="宋体" w:eastAsia="宋体" w:cs="宋体"/>
              <w:sz w:val="44"/>
              <w:szCs w:val="44"/>
            </w:rPr>
            <w:fldChar w:fldCharType="separate"/>
          </w:r>
          <w:r>
            <w:rPr>
              <w:rFonts w:ascii="宋体" w:hAnsi="宋体" w:eastAsia="宋体" w:cs="宋体"/>
              <w:sz w:val="28"/>
              <w:szCs w:val="44"/>
            </w:rPr>
            <w:fldChar w:fldCharType="begin"/>
          </w:r>
          <w:r>
            <w:rPr>
              <w:rFonts w:ascii="宋体" w:hAnsi="宋体" w:eastAsia="宋体" w:cs="宋体"/>
              <w:sz w:val="28"/>
              <w:szCs w:val="44"/>
            </w:rPr>
            <w:instrText xml:space="preserve"> HYPERLINK \l _Toc8259 </w:instrText>
          </w:r>
          <w:r>
            <w:rPr>
              <w:rFonts w:ascii="宋体" w:hAnsi="宋体" w:eastAsia="宋体" w:cs="宋体"/>
              <w:sz w:val="28"/>
              <w:szCs w:val="44"/>
            </w:rPr>
            <w:fldChar w:fldCharType="separate"/>
          </w:r>
          <w:r>
            <w:rPr>
              <w:rFonts w:ascii="宋体" w:hAnsi="宋体" w:eastAsia="宋体" w:cs="宋体"/>
              <w:bCs/>
              <w:spacing w:val="-4"/>
              <w:sz w:val="28"/>
              <w:szCs w:val="52"/>
            </w:rPr>
            <w:t>第一部分竞争性谈判公告</w:t>
          </w:r>
          <w:r>
            <w:rPr>
              <w:sz w:val="28"/>
              <w:szCs w:val="28"/>
            </w:rPr>
            <w:tab/>
          </w:r>
          <w:r>
            <w:rPr>
              <w:sz w:val="28"/>
              <w:szCs w:val="28"/>
            </w:rPr>
            <w:fldChar w:fldCharType="begin"/>
          </w:r>
          <w:r>
            <w:rPr>
              <w:sz w:val="28"/>
              <w:szCs w:val="28"/>
            </w:rPr>
            <w:instrText xml:space="preserve"> PAGEREF _Toc8259 \h </w:instrText>
          </w:r>
          <w:r>
            <w:rPr>
              <w:sz w:val="28"/>
              <w:szCs w:val="28"/>
            </w:rPr>
            <w:fldChar w:fldCharType="separate"/>
          </w:r>
          <w:r>
            <w:rPr>
              <w:sz w:val="28"/>
              <w:szCs w:val="28"/>
            </w:rPr>
            <w:t>1</w:t>
          </w:r>
          <w:r>
            <w:rPr>
              <w:sz w:val="28"/>
              <w:szCs w:val="28"/>
            </w:rPr>
            <w:fldChar w:fldCharType="end"/>
          </w:r>
          <w:r>
            <w:rPr>
              <w:rFonts w:ascii="宋体" w:hAnsi="宋体" w:eastAsia="宋体" w:cs="宋体"/>
              <w:sz w:val="28"/>
              <w:szCs w:val="44"/>
            </w:rPr>
            <w:fldChar w:fldCharType="end"/>
          </w:r>
        </w:p>
        <w:p w14:paraId="02D49E66">
          <w:pPr>
            <w:pStyle w:val="8"/>
            <w:tabs>
              <w:tab w:val="right" w:leader="dot" w:pos="8336"/>
            </w:tabs>
            <w:spacing w:line="360" w:lineRule="auto"/>
            <w:rPr>
              <w:sz w:val="28"/>
              <w:szCs w:val="28"/>
            </w:rPr>
          </w:pPr>
          <w:r>
            <w:rPr>
              <w:rFonts w:ascii="宋体" w:hAnsi="宋体" w:eastAsia="宋体" w:cs="宋体"/>
              <w:sz w:val="28"/>
              <w:szCs w:val="44"/>
            </w:rPr>
            <w:fldChar w:fldCharType="begin"/>
          </w:r>
          <w:r>
            <w:rPr>
              <w:rFonts w:ascii="宋体" w:hAnsi="宋体" w:eastAsia="宋体" w:cs="宋体"/>
              <w:sz w:val="28"/>
              <w:szCs w:val="44"/>
            </w:rPr>
            <w:instrText xml:space="preserve"> HYPERLINK \l _Toc19533 </w:instrText>
          </w:r>
          <w:r>
            <w:rPr>
              <w:rFonts w:ascii="宋体" w:hAnsi="宋体" w:eastAsia="宋体" w:cs="宋体"/>
              <w:sz w:val="28"/>
              <w:szCs w:val="44"/>
            </w:rPr>
            <w:fldChar w:fldCharType="separate"/>
          </w:r>
          <w:r>
            <w:rPr>
              <w:rFonts w:ascii="宋体" w:hAnsi="宋体" w:eastAsia="宋体" w:cs="宋体"/>
              <w:bCs/>
              <w:spacing w:val="-4"/>
              <w:sz w:val="28"/>
              <w:szCs w:val="52"/>
            </w:rPr>
            <w:t>第二部分供应商须知前附表</w:t>
          </w:r>
          <w:r>
            <w:rPr>
              <w:sz w:val="28"/>
              <w:szCs w:val="28"/>
            </w:rPr>
            <w:tab/>
          </w:r>
          <w:r>
            <w:rPr>
              <w:sz w:val="28"/>
              <w:szCs w:val="28"/>
            </w:rPr>
            <w:fldChar w:fldCharType="begin"/>
          </w:r>
          <w:r>
            <w:rPr>
              <w:sz w:val="28"/>
              <w:szCs w:val="28"/>
            </w:rPr>
            <w:instrText xml:space="preserve"> PAGEREF _Toc19533 \h </w:instrText>
          </w:r>
          <w:r>
            <w:rPr>
              <w:sz w:val="28"/>
              <w:szCs w:val="28"/>
            </w:rPr>
            <w:fldChar w:fldCharType="separate"/>
          </w:r>
          <w:r>
            <w:rPr>
              <w:sz w:val="28"/>
              <w:szCs w:val="28"/>
            </w:rPr>
            <w:t>7</w:t>
          </w:r>
          <w:r>
            <w:rPr>
              <w:sz w:val="28"/>
              <w:szCs w:val="28"/>
            </w:rPr>
            <w:fldChar w:fldCharType="end"/>
          </w:r>
          <w:r>
            <w:rPr>
              <w:rFonts w:ascii="宋体" w:hAnsi="宋体" w:eastAsia="宋体" w:cs="宋体"/>
              <w:sz w:val="28"/>
              <w:szCs w:val="44"/>
            </w:rPr>
            <w:fldChar w:fldCharType="end"/>
          </w:r>
        </w:p>
        <w:p w14:paraId="48EFC5E3">
          <w:pPr>
            <w:pStyle w:val="8"/>
            <w:tabs>
              <w:tab w:val="right" w:leader="dot" w:pos="8336"/>
            </w:tabs>
            <w:spacing w:line="360" w:lineRule="auto"/>
            <w:rPr>
              <w:sz w:val="28"/>
              <w:szCs w:val="28"/>
            </w:rPr>
          </w:pPr>
          <w:r>
            <w:rPr>
              <w:rFonts w:ascii="宋体" w:hAnsi="宋体" w:eastAsia="宋体" w:cs="宋体"/>
              <w:sz w:val="28"/>
              <w:szCs w:val="44"/>
            </w:rPr>
            <w:fldChar w:fldCharType="begin"/>
          </w:r>
          <w:r>
            <w:rPr>
              <w:rFonts w:ascii="宋体" w:hAnsi="宋体" w:eastAsia="宋体" w:cs="宋体"/>
              <w:sz w:val="28"/>
              <w:szCs w:val="44"/>
            </w:rPr>
            <w:instrText xml:space="preserve"> HYPERLINK \l _Toc23435 </w:instrText>
          </w:r>
          <w:r>
            <w:rPr>
              <w:rFonts w:ascii="宋体" w:hAnsi="宋体" w:eastAsia="宋体" w:cs="宋体"/>
              <w:sz w:val="28"/>
              <w:szCs w:val="44"/>
            </w:rPr>
            <w:fldChar w:fldCharType="separate"/>
          </w:r>
          <w:r>
            <w:rPr>
              <w:rFonts w:ascii="宋体" w:hAnsi="宋体" w:eastAsia="宋体" w:cs="宋体"/>
              <w:bCs/>
              <w:spacing w:val="5"/>
              <w:sz w:val="28"/>
              <w:szCs w:val="44"/>
            </w:rPr>
            <w:t>第三部分供应商须知</w:t>
          </w:r>
          <w:r>
            <w:rPr>
              <w:sz w:val="28"/>
              <w:szCs w:val="28"/>
            </w:rPr>
            <w:tab/>
          </w:r>
          <w:r>
            <w:rPr>
              <w:sz w:val="28"/>
              <w:szCs w:val="28"/>
            </w:rPr>
            <w:fldChar w:fldCharType="begin"/>
          </w:r>
          <w:r>
            <w:rPr>
              <w:sz w:val="28"/>
              <w:szCs w:val="28"/>
            </w:rPr>
            <w:instrText xml:space="preserve"> PAGEREF _Toc23435 \h </w:instrText>
          </w:r>
          <w:r>
            <w:rPr>
              <w:sz w:val="28"/>
              <w:szCs w:val="28"/>
            </w:rPr>
            <w:fldChar w:fldCharType="separate"/>
          </w:r>
          <w:r>
            <w:rPr>
              <w:sz w:val="28"/>
              <w:szCs w:val="28"/>
            </w:rPr>
            <w:t>17</w:t>
          </w:r>
          <w:r>
            <w:rPr>
              <w:sz w:val="28"/>
              <w:szCs w:val="28"/>
            </w:rPr>
            <w:fldChar w:fldCharType="end"/>
          </w:r>
          <w:r>
            <w:rPr>
              <w:rFonts w:ascii="宋体" w:hAnsi="宋体" w:eastAsia="宋体" w:cs="宋体"/>
              <w:sz w:val="28"/>
              <w:szCs w:val="44"/>
            </w:rPr>
            <w:fldChar w:fldCharType="end"/>
          </w:r>
        </w:p>
        <w:p w14:paraId="150840B8">
          <w:pPr>
            <w:pStyle w:val="8"/>
            <w:tabs>
              <w:tab w:val="right" w:leader="dot" w:pos="8336"/>
            </w:tabs>
            <w:spacing w:line="360" w:lineRule="auto"/>
            <w:rPr>
              <w:sz w:val="28"/>
              <w:szCs w:val="28"/>
            </w:rPr>
          </w:pPr>
          <w:r>
            <w:rPr>
              <w:rFonts w:ascii="宋体" w:hAnsi="宋体" w:eastAsia="宋体" w:cs="宋体"/>
              <w:sz w:val="28"/>
              <w:szCs w:val="44"/>
            </w:rPr>
            <w:fldChar w:fldCharType="begin"/>
          </w:r>
          <w:r>
            <w:rPr>
              <w:rFonts w:ascii="宋体" w:hAnsi="宋体" w:eastAsia="宋体" w:cs="宋体"/>
              <w:sz w:val="28"/>
              <w:szCs w:val="44"/>
            </w:rPr>
            <w:instrText xml:space="preserve"> HYPERLINK \l _Toc31534 </w:instrText>
          </w:r>
          <w:r>
            <w:rPr>
              <w:rFonts w:ascii="宋体" w:hAnsi="宋体" w:eastAsia="宋体" w:cs="宋体"/>
              <w:sz w:val="28"/>
              <w:szCs w:val="44"/>
            </w:rPr>
            <w:fldChar w:fldCharType="separate"/>
          </w:r>
          <w:r>
            <w:rPr>
              <w:rFonts w:ascii="宋体" w:hAnsi="宋体" w:eastAsia="宋体" w:cs="宋体"/>
              <w:bCs/>
              <w:spacing w:val="6"/>
              <w:sz w:val="28"/>
              <w:szCs w:val="44"/>
            </w:rPr>
            <w:t>第四部分商务要求</w:t>
          </w:r>
          <w:r>
            <w:rPr>
              <w:sz w:val="28"/>
              <w:szCs w:val="28"/>
            </w:rPr>
            <w:tab/>
          </w:r>
          <w:r>
            <w:rPr>
              <w:sz w:val="28"/>
              <w:szCs w:val="28"/>
            </w:rPr>
            <w:fldChar w:fldCharType="begin"/>
          </w:r>
          <w:r>
            <w:rPr>
              <w:sz w:val="28"/>
              <w:szCs w:val="28"/>
            </w:rPr>
            <w:instrText xml:space="preserve"> PAGEREF _Toc31534 \h </w:instrText>
          </w:r>
          <w:r>
            <w:rPr>
              <w:sz w:val="28"/>
              <w:szCs w:val="28"/>
            </w:rPr>
            <w:fldChar w:fldCharType="separate"/>
          </w:r>
          <w:r>
            <w:rPr>
              <w:sz w:val="28"/>
              <w:szCs w:val="28"/>
            </w:rPr>
            <w:t>34</w:t>
          </w:r>
          <w:r>
            <w:rPr>
              <w:sz w:val="28"/>
              <w:szCs w:val="28"/>
            </w:rPr>
            <w:fldChar w:fldCharType="end"/>
          </w:r>
          <w:r>
            <w:rPr>
              <w:rFonts w:ascii="宋体" w:hAnsi="宋体" w:eastAsia="宋体" w:cs="宋体"/>
              <w:sz w:val="28"/>
              <w:szCs w:val="44"/>
            </w:rPr>
            <w:fldChar w:fldCharType="end"/>
          </w:r>
        </w:p>
        <w:p w14:paraId="12BCB0A9">
          <w:pPr>
            <w:pStyle w:val="8"/>
            <w:tabs>
              <w:tab w:val="right" w:leader="dot" w:pos="8336"/>
            </w:tabs>
            <w:spacing w:line="360" w:lineRule="auto"/>
            <w:rPr>
              <w:sz w:val="28"/>
              <w:szCs w:val="28"/>
            </w:rPr>
          </w:pPr>
          <w:r>
            <w:rPr>
              <w:rFonts w:ascii="宋体" w:hAnsi="宋体" w:eastAsia="宋体" w:cs="宋体"/>
              <w:sz w:val="28"/>
              <w:szCs w:val="44"/>
            </w:rPr>
            <w:fldChar w:fldCharType="begin"/>
          </w:r>
          <w:r>
            <w:rPr>
              <w:rFonts w:ascii="宋体" w:hAnsi="宋体" w:eastAsia="宋体" w:cs="宋体"/>
              <w:sz w:val="28"/>
              <w:szCs w:val="44"/>
            </w:rPr>
            <w:instrText xml:space="preserve"> HYPERLINK \l _Toc24025 </w:instrText>
          </w:r>
          <w:r>
            <w:rPr>
              <w:rFonts w:ascii="宋体" w:hAnsi="宋体" w:eastAsia="宋体" w:cs="宋体"/>
              <w:sz w:val="28"/>
              <w:szCs w:val="44"/>
            </w:rPr>
            <w:fldChar w:fldCharType="separate"/>
          </w:r>
          <w:r>
            <w:rPr>
              <w:rFonts w:ascii="宋体" w:hAnsi="宋体" w:eastAsia="宋体" w:cs="宋体"/>
              <w:bCs/>
              <w:spacing w:val="6"/>
              <w:sz w:val="28"/>
              <w:szCs w:val="44"/>
            </w:rPr>
            <w:t>第五部分政府采购合同</w:t>
          </w:r>
          <w:r>
            <w:rPr>
              <w:sz w:val="28"/>
              <w:szCs w:val="28"/>
            </w:rPr>
            <w:tab/>
          </w:r>
          <w:r>
            <w:rPr>
              <w:sz w:val="28"/>
              <w:szCs w:val="28"/>
            </w:rPr>
            <w:fldChar w:fldCharType="begin"/>
          </w:r>
          <w:r>
            <w:rPr>
              <w:sz w:val="28"/>
              <w:szCs w:val="28"/>
            </w:rPr>
            <w:instrText xml:space="preserve"> PAGEREF _Toc24025 \h </w:instrText>
          </w:r>
          <w:r>
            <w:rPr>
              <w:sz w:val="28"/>
              <w:szCs w:val="28"/>
            </w:rPr>
            <w:fldChar w:fldCharType="separate"/>
          </w:r>
          <w:r>
            <w:rPr>
              <w:sz w:val="28"/>
              <w:szCs w:val="28"/>
            </w:rPr>
            <w:t>36</w:t>
          </w:r>
          <w:r>
            <w:rPr>
              <w:sz w:val="28"/>
              <w:szCs w:val="28"/>
            </w:rPr>
            <w:fldChar w:fldCharType="end"/>
          </w:r>
          <w:r>
            <w:rPr>
              <w:rFonts w:ascii="宋体" w:hAnsi="宋体" w:eastAsia="宋体" w:cs="宋体"/>
              <w:sz w:val="28"/>
              <w:szCs w:val="44"/>
            </w:rPr>
            <w:fldChar w:fldCharType="end"/>
          </w:r>
        </w:p>
        <w:p w14:paraId="7084EC22">
          <w:pPr>
            <w:pStyle w:val="8"/>
            <w:tabs>
              <w:tab w:val="right" w:leader="dot" w:pos="8336"/>
            </w:tabs>
            <w:spacing w:line="360" w:lineRule="auto"/>
            <w:rPr>
              <w:sz w:val="28"/>
              <w:szCs w:val="28"/>
            </w:rPr>
          </w:pPr>
          <w:r>
            <w:rPr>
              <w:rFonts w:ascii="宋体" w:hAnsi="宋体" w:eastAsia="宋体" w:cs="宋体"/>
              <w:sz w:val="28"/>
              <w:szCs w:val="44"/>
            </w:rPr>
            <w:fldChar w:fldCharType="begin"/>
          </w:r>
          <w:r>
            <w:rPr>
              <w:rFonts w:ascii="宋体" w:hAnsi="宋体" w:eastAsia="宋体" w:cs="宋体"/>
              <w:sz w:val="28"/>
              <w:szCs w:val="44"/>
            </w:rPr>
            <w:instrText xml:space="preserve"> HYPERLINK \l _Toc13324 </w:instrText>
          </w:r>
          <w:r>
            <w:rPr>
              <w:rFonts w:ascii="宋体" w:hAnsi="宋体" w:eastAsia="宋体" w:cs="宋体"/>
              <w:sz w:val="28"/>
              <w:szCs w:val="44"/>
            </w:rPr>
            <w:fldChar w:fldCharType="separate"/>
          </w:r>
          <w:r>
            <w:rPr>
              <w:rFonts w:ascii="宋体" w:hAnsi="宋体" w:eastAsia="宋体" w:cs="宋体"/>
              <w:bCs/>
              <w:spacing w:val="6"/>
              <w:sz w:val="28"/>
              <w:szCs w:val="44"/>
            </w:rPr>
            <w:t>第六部分采购内容及要求</w:t>
          </w:r>
          <w:r>
            <w:rPr>
              <w:sz w:val="28"/>
              <w:szCs w:val="28"/>
            </w:rPr>
            <w:tab/>
          </w:r>
          <w:r>
            <w:rPr>
              <w:sz w:val="28"/>
              <w:szCs w:val="28"/>
            </w:rPr>
            <w:fldChar w:fldCharType="begin"/>
          </w:r>
          <w:r>
            <w:rPr>
              <w:sz w:val="28"/>
              <w:szCs w:val="28"/>
            </w:rPr>
            <w:instrText xml:space="preserve"> PAGEREF _Toc13324 \h </w:instrText>
          </w:r>
          <w:r>
            <w:rPr>
              <w:sz w:val="28"/>
              <w:szCs w:val="28"/>
            </w:rPr>
            <w:fldChar w:fldCharType="separate"/>
          </w:r>
          <w:r>
            <w:rPr>
              <w:sz w:val="28"/>
              <w:szCs w:val="28"/>
            </w:rPr>
            <w:t>36</w:t>
          </w:r>
          <w:r>
            <w:rPr>
              <w:sz w:val="28"/>
              <w:szCs w:val="28"/>
            </w:rPr>
            <w:fldChar w:fldCharType="end"/>
          </w:r>
          <w:r>
            <w:rPr>
              <w:rFonts w:ascii="宋体" w:hAnsi="宋体" w:eastAsia="宋体" w:cs="宋体"/>
              <w:sz w:val="28"/>
              <w:szCs w:val="44"/>
            </w:rPr>
            <w:fldChar w:fldCharType="end"/>
          </w:r>
        </w:p>
        <w:p w14:paraId="3F3009EF">
          <w:pPr>
            <w:pStyle w:val="8"/>
            <w:tabs>
              <w:tab w:val="right" w:leader="dot" w:pos="8336"/>
            </w:tabs>
            <w:spacing w:line="360" w:lineRule="auto"/>
            <w:rPr>
              <w:sz w:val="28"/>
              <w:szCs w:val="28"/>
            </w:rPr>
          </w:pPr>
          <w:r>
            <w:rPr>
              <w:rFonts w:ascii="宋体" w:hAnsi="宋体" w:eastAsia="宋体" w:cs="宋体"/>
              <w:sz w:val="28"/>
              <w:szCs w:val="44"/>
            </w:rPr>
            <w:fldChar w:fldCharType="begin"/>
          </w:r>
          <w:r>
            <w:rPr>
              <w:rFonts w:ascii="宋体" w:hAnsi="宋体" w:eastAsia="宋体" w:cs="宋体"/>
              <w:sz w:val="28"/>
              <w:szCs w:val="44"/>
            </w:rPr>
            <w:instrText xml:space="preserve"> HYPERLINK \l _Toc11783 </w:instrText>
          </w:r>
          <w:r>
            <w:rPr>
              <w:rFonts w:ascii="宋体" w:hAnsi="宋体" w:eastAsia="宋体" w:cs="宋体"/>
              <w:sz w:val="28"/>
              <w:szCs w:val="44"/>
            </w:rPr>
            <w:fldChar w:fldCharType="separate"/>
          </w:r>
          <w:r>
            <w:rPr>
              <w:rFonts w:ascii="宋体" w:hAnsi="宋体" w:eastAsia="宋体" w:cs="宋体"/>
              <w:bCs/>
              <w:spacing w:val="5"/>
              <w:sz w:val="28"/>
              <w:szCs w:val="44"/>
            </w:rPr>
            <w:t>第七部分评审方法</w:t>
          </w:r>
          <w:r>
            <w:rPr>
              <w:sz w:val="28"/>
              <w:szCs w:val="28"/>
            </w:rPr>
            <w:tab/>
          </w:r>
          <w:r>
            <w:rPr>
              <w:sz w:val="28"/>
              <w:szCs w:val="28"/>
            </w:rPr>
            <w:fldChar w:fldCharType="begin"/>
          </w:r>
          <w:r>
            <w:rPr>
              <w:sz w:val="28"/>
              <w:szCs w:val="28"/>
            </w:rPr>
            <w:instrText xml:space="preserve"> PAGEREF _Toc11783 \h </w:instrText>
          </w:r>
          <w:r>
            <w:rPr>
              <w:sz w:val="28"/>
              <w:szCs w:val="28"/>
            </w:rPr>
            <w:fldChar w:fldCharType="separate"/>
          </w:r>
          <w:r>
            <w:rPr>
              <w:sz w:val="28"/>
              <w:szCs w:val="28"/>
            </w:rPr>
            <w:t>47</w:t>
          </w:r>
          <w:r>
            <w:rPr>
              <w:sz w:val="28"/>
              <w:szCs w:val="28"/>
            </w:rPr>
            <w:fldChar w:fldCharType="end"/>
          </w:r>
          <w:r>
            <w:rPr>
              <w:rFonts w:ascii="宋体" w:hAnsi="宋体" w:eastAsia="宋体" w:cs="宋体"/>
              <w:sz w:val="28"/>
              <w:szCs w:val="44"/>
            </w:rPr>
            <w:fldChar w:fldCharType="end"/>
          </w:r>
        </w:p>
        <w:p w14:paraId="31442317">
          <w:pPr>
            <w:pStyle w:val="8"/>
            <w:tabs>
              <w:tab w:val="right" w:leader="dot" w:pos="8336"/>
            </w:tabs>
            <w:spacing w:line="360" w:lineRule="auto"/>
            <w:rPr>
              <w:sz w:val="28"/>
              <w:szCs w:val="28"/>
            </w:rPr>
          </w:pPr>
          <w:r>
            <w:rPr>
              <w:rFonts w:ascii="宋体" w:hAnsi="宋体" w:eastAsia="宋体" w:cs="宋体"/>
              <w:sz w:val="28"/>
              <w:szCs w:val="44"/>
            </w:rPr>
            <w:fldChar w:fldCharType="begin"/>
          </w:r>
          <w:r>
            <w:rPr>
              <w:rFonts w:ascii="宋体" w:hAnsi="宋体" w:eastAsia="宋体" w:cs="宋体"/>
              <w:sz w:val="28"/>
              <w:szCs w:val="44"/>
            </w:rPr>
            <w:instrText xml:space="preserve"> HYPERLINK \l _Toc9419 </w:instrText>
          </w:r>
          <w:r>
            <w:rPr>
              <w:rFonts w:ascii="宋体" w:hAnsi="宋体" w:eastAsia="宋体" w:cs="宋体"/>
              <w:sz w:val="28"/>
              <w:szCs w:val="44"/>
            </w:rPr>
            <w:fldChar w:fldCharType="separate"/>
          </w:r>
          <w:r>
            <w:rPr>
              <w:rFonts w:ascii="宋体" w:hAnsi="宋体" w:eastAsia="宋体" w:cs="宋体"/>
              <w:bCs/>
              <w:spacing w:val="6"/>
              <w:sz w:val="28"/>
              <w:szCs w:val="44"/>
            </w:rPr>
            <w:t>第八部分竞争性谈判响应文件格式</w:t>
          </w:r>
          <w:r>
            <w:rPr>
              <w:sz w:val="28"/>
              <w:szCs w:val="28"/>
            </w:rPr>
            <w:tab/>
          </w:r>
          <w:r>
            <w:rPr>
              <w:sz w:val="28"/>
              <w:szCs w:val="28"/>
            </w:rPr>
            <w:fldChar w:fldCharType="begin"/>
          </w:r>
          <w:r>
            <w:rPr>
              <w:sz w:val="28"/>
              <w:szCs w:val="28"/>
            </w:rPr>
            <w:instrText xml:space="preserve"> PAGEREF _Toc9419 \h </w:instrText>
          </w:r>
          <w:r>
            <w:rPr>
              <w:sz w:val="28"/>
              <w:szCs w:val="28"/>
            </w:rPr>
            <w:fldChar w:fldCharType="separate"/>
          </w:r>
          <w:r>
            <w:rPr>
              <w:sz w:val="28"/>
              <w:szCs w:val="28"/>
            </w:rPr>
            <w:t>54</w:t>
          </w:r>
          <w:r>
            <w:rPr>
              <w:sz w:val="28"/>
              <w:szCs w:val="28"/>
            </w:rPr>
            <w:fldChar w:fldCharType="end"/>
          </w:r>
          <w:r>
            <w:rPr>
              <w:rFonts w:ascii="宋体" w:hAnsi="宋体" w:eastAsia="宋体" w:cs="宋体"/>
              <w:sz w:val="28"/>
              <w:szCs w:val="44"/>
            </w:rPr>
            <w:fldChar w:fldCharType="end"/>
          </w:r>
        </w:p>
        <w:p w14:paraId="15351002">
          <w:pPr>
            <w:spacing w:line="360" w:lineRule="auto"/>
            <w:outlineLvl w:val="9"/>
            <w:rPr>
              <w:rFonts w:ascii="宋体" w:hAnsi="宋体" w:eastAsia="宋体" w:cs="宋体"/>
              <w:snapToGrid w:val="0"/>
              <w:color w:val="000000"/>
              <w:kern w:val="0"/>
              <w:sz w:val="28"/>
              <w:szCs w:val="44"/>
              <w:lang w:val="en-US" w:eastAsia="en-US" w:bidi="ar-SA"/>
            </w:rPr>
          </w:pPr>
          <w:r>
            <w:rPr>
              <w:rFonts w:ascii="宋体" w:hAnsi="宋体" w:eastAsia="宋体" w:cs="宋体"/>
              <w:sz w:val="28"/>
              <w:szCs w:val="44"/>
            </w:rPr>
            <w:fldChar w:fldCharType="end"/>
          </w:r>
        </w:p>
      </w:sdtContent>
    </w:sdt>
    <w:p w14:paraId="390C0D77">
      <w:pPr>
        <w:spacing w:line="360" w:lineRule="auto"/>
        <w:outlineLvl w:val="9"/>
        <w:rPr>
          <w:rFonts w:ascii="宋体" w:hAnsi="宋体" w:eastAsia="宋体" w:cs="宋体"/>
          <w:snapToGrid w:val="0"/>
          <w:color w:val="000000"/>
          <w:kern w:val="0"/>
          <w:sz w:val="21"/>
          <w:szCs w:val="35"/>
          <w:lang w:val="en-US" w:eastAsia="en-US" w:bidi="ar-SA"/>
        </w:rPr>
      </w:pPr>
    </w:p>
    <w:p w14:paraId="7AC71972">
      <w:pPr>
        <w:spacing w:line="360" w:lineRule="auto"/>
        <w:outlineLvl w:val="9"/>
        <w:rPr>
          <w:rFonts w:ascii="宋体" w:hAnsi="宋体" w:eastAsia="宋体" w:cs="宋体"/>
          <w:sz w:val="35"/>
          <w:szCs w:val="35"/>
        </w:rPr>
      </w:pPr>
    </w:p>
    <w:p w14:paraId="1CC740AD">
      <w:pPr>
        <w:spacing w:line="360" w:lineRule="auto"/>
        <w:outlineLvl w:val="9"/>
        <w:rPr>
          <w:rFonts w:ascii="宋体" w:hAnsi="宋体" w:eastAsia="宋体" w:cs="宋体"/>
          <w:sz w:val="35"/>
          <w:szCs w:val="35"/>
        </w:rPr>
      </w:pPr>
    </w:p>
    <w:p w14:paraId="0638E69A">
      <w:pPr>
        <w:spacing w:line="360" w:lineRule="auto"/>
        <w:outlineLvl w:val="9"/>
        <w:rPr>
          <w:rFonts w:ascii="宋体" w:hAnsi="宋体" w:eastAsia="宋体" w:cs="宋体"/>
          <w:sz w:val="35"/>
          <w:szCs w:val="35"/>
        </w:rPr>
      </w:pPr>
    </w:p>
    <w:p w14:paraId="2585C93E">
      <w:pPr>
        <w:spacing w:line="360" w:lineRule="auto"/>
        <w:outlineLvl w:val="9"/>
        <w:rPr>
          <w:rFonts w:ascii="宋体" w:hAnsi="宋体" w:eastAsia="宋体" w:cs="宋体"/>
          <w:sz w:val="35"/>
          <w:szCs w:val="35"/>
        </w:rPr>
      </w:pPr>
    </w:p>
    <w:p w14:paraId="6F6C8870">
      <w:pPr>
        <w:spacing w:line="360" w:lineRule="auto"/>
        <w:outlineLvl w:val="9"/>
        <w:rPr>
          <w:rFonts w:ascii="宋体" w:hAnsi="宋体" w:eastAsia="宋体" w:cs="宋体"/>
          <w:sz w:val="35"/>
          <w:szCs w:val="35"/>
        </w:rPr>
      </w:pPr>
    </w:p>
    <w:p w14:paraId="0C3481D7">
      <w:pPr>
        <w:spacing w:line="360" w:lineRule="auto"/>
        <w:outlineLvl w:val="9"/>
        <w:rPr>
          <w:rFonts w:ascii="宋体" w:hAnsi="宋体" w:eastAsia="宋体" w:cs="宋体"/>
          <w:sz w:val="35"/>
          <w:szCs w:val="35"/>
        </w:rPr>
      </w:pPr>
    </w:p>
    <w:p w14:paraId="167A4584">
      <w:pPr>
        <w:spacing w:line="360" w:lineRule="auto"/>
        <w:outlineLvl w:val="9"/>
        <w:rPr>
          <w:rFonts w:ascii="宋体" w:hAnsi="宋体" w:eastAsia="宋体" w:cs="宋体"/>
          <w:sz w:val="35"/>
          <w:szCs w:val="35"/>
        </w:rPr>
      </w:pPr>
    </w:p>
    <w:p w14:paraId="4D6D3650">
      <w:pPr>
        <w:spacing w:line="360" w:lineRule="auto"/>
        <w:outlineLvl w:val="9"/>
        <w:rPr>
          <w:rFonts w:ascii="宋体" w:hAnsi="宋体" w:eastAsia="宋体" w:cs="宋体"/>
          <w:sz w:val="35"/>
          <w:szCs w:val="35"/>
        </w:rPr>
      </w:pPr>
    </w:p>
    <w:p w14:paraId="0BA368EB">
      <w:pPr>
        <w:spacing w:line="360" w:lineRule="auto"/>
        <w:outlineLvl w:val="9"/>
        <w:rPr>
          <w:rFonts w:ascii="宋体" w:hAnsi="宋体" w:eastAsia="宋体" w:cs="宋体"/>
          <w:sz w:val="35"/>
          <w:szCs w:val="35"/>
        </w:rPr>
      </w:pPr>
    </w:p>
    <w:p w14:paraId="127B7D4A">
      <w:pPr>
        <w:spacing w:line="360" w:lineRule="auto"/>
        <w:outlineLvl w:val="9"/>
        <w:rPr>
          <w:rFonts w:ascii="宋体" w:hAnsi="宋体" w:eastAsia="宋体" w:cs="宋体"/>
          <w:sz w:val="35"/>
          <w:szCs w:val="35"/>
        </w:rPr>
      </w:pPr>
    </w:p>
    <w:p w14:paraId="3E9CBDF5">
      <w:pPr>
        <w:spacing w:line="360" w:lineRule="auto"/>
        <w:outlineLvl w:val="9"/>
        <w:rPr>
          <w:rFonts w:ascii="宋体" w:hAnsi="宋体" w:eastAsia="宋体" w:cs="宋体"/>
          <w:sz w:val="35"/>
          <w:szCs w:val="35"/>
        </w:rPr>
      </w:pPr>
    </w:p>
    <w:p w14:paraId="3ED088FE">
      <w:pPr>
        <w:spacing w:line="360" w:lineRule="auto"/>
        <w:outlineLvl w:val="9"/>
        <w:rPr>
          <w:rFonts w:ascii="宋体" w:hAnsi="宋体" w:eastAsia="宋体" w:cs="宋体"/>
          <w:sz w:val="35"/>
          <w:szCs w:val="35"/>
        </w:rPr>
      </w:pPr>
    </w:p>
    <w:p w14:paraId="69EB1623">
      <w:pPr>
        <w:spacing w:line="360" w:lineRule="auto"/>
        <w:outlineLvl w:val="9"/>
        <w:rPr>
          <w:rFonts w:ascii="宋体" w:hAnsi="宋体" w:eastAsia="宋体" w:cs="宋体"/>
          <w:sz w:val="35"/>
          <w:szCs w:val="35"/>
        </w:rPr>
        <w:sectPr>
          <w:pgSz w:w="11906" w:h="16838"/>
          <w:pgMar w:top="1429" w:right="1786" w:bottom="1372" w:left="1786" w:header="0" w:footer="1208" w:gutter="0"/>
          <w:pgNumType w:fmt="decimal"/>
          <w:cols w:space="0" w:num="1"/>
          <w:rtlGutter w:val="0"/>
          <w:docGrid w:linePitch="0" w:charSpace="0"/>
        </w:sectPr>
      </w:pPr>
    </w:p>
    <w:p w14:paraId="1B36B085">
      <w:pPr>
        <w:spacing w:before="80" w:line="360" w:lineRule="auto"/>
        <w:jc w:val="center"/>
        <w:outlineLvl w:val="0"/>
        <w:rPr>
          <w:rFonts w:ascii="宋体" w:hAnsi="宋体" w:eastAsia="宋体" w:cs="宋体"/>
          <w:sz w:val="40"/>
          <w:szCs w:val="40"/>
        </w:rPr>
      </w:pPr>
      <w:bookmarkStart w:id="0" w:name="_Toc8259"/>
      <w:r>
        <w:rPr>
          <w:rFonts w:ascii="宋体" w:hAnsi="宋体" w:eastAsia="宋体" w:cs="宋体"/>
          <w:b/>
          <w:bCs/>
          <w:spacing w:val="-4"/>
          <w:sz w:val="40"/>
          <w:szCs w:val="40"/>
        </w:rPr>
        <w:t>第一部分竞争性谈判公告</w:t>
      </w:r>
      <w:bookmarkEnd w:id="0"/>
    </w:p>
    <w:p w14:paraId="3E8B692B">
      <w:pPr>
        <w:spacing w:before="181" w:line="360" w:lineRule="auto"/>
        <w:ind w:right="120"/>
        <w:outlineLvl w:val="9"/>
        <w:rPr>
          <w:rFonts w:hint="eastAsia" w:ascii="宋体" w:hAnsi="宋体" w:eastAsia="宋体" w:cs="宋体"/>
          <w:b/>
          <w:bCs/>
          <w:spacing w:val="-1"/>
          <w:sz w:val="24"/>
          <w:szCs w:val="24"/>
        </w:rPr>
      </w:pPr>
      <w:r>
        <w:rPr>
          <w:rFonts w:hint="eastAsia" w:ascii="宋体" w:hAnsi="宋体" w:eastAsia="宋体" w:cs="宋体"/>
          <w:b/>
          <w:bCs/>
          <w:spacing w:val="-1"/>
          <w:sz w:val="24"/>
          <w:szCs w:val="24"/>
        </w:rPr>
        <w:t>项目概况</w:t>
      </w:r>
    </w:p>
    <w:p w14:paraId="0E6EA942">
      <w:pPr>
        <w:spacing w:before="181" w:line="360" w:lineRule="auto"/>
        <w:ind w:left="1" w:right="120" w:firstLine="490"/>
        <w:outlineLvl w:val="9"/>
        <w:rPr>
          <w:rFonts w:hint="eastAsia" w:ascii="宋体" w:hAnsi="宋体" w:eastAsia="宋体" w:cs="宋体"/>
          <w:spacing w:val="-1"/>
          <w:sz w:val="24"/>
          <w:szCs w:val="24"/>
        </w:rPr>
      </w:pPr>
      <w:r>
        <w:rPr>
          <w:rFonts w:hint="eastAsia" w:ascii="宋体" w:hAnsi="宋体" w:eastAsia="宋体" w:cs="宋体"/>
          <w:spacing w:val="-1"/>
          <w:sz w:val="24"/>
          <w:szCs w:val="24"/>
          <w:lang w:eastAsia="zh-CN"/>
        </w:rPr>
        <w:t>《绥德县丁家沟-十里铺饮用水水源地保护区撤销技术报告》编制服务项目</w:t>
      </w:r>
      <w:r>
        <w:rPr>
          <w:rFonts w:hint="eastAsia" w:ascii="宋体" w:hAnsi="宋体" w:eastAsia="宋体" w:cs="宋体"/>
          <w:spacing w:val="-1"/>
          <w:sz w:val="24"/>
          <w:szCs w:val="24"/>
        </w:rPr>
        <w:t>的潜在供应商应在在全国公共资源交易中心平台(陕西省)使用CA锁报名</w:t>
      </w:r>
      <w:r>
        <w:rPr>
          <w:rFonts w:hint="eastAsia" w:ascii="宋体" w:hAnsi="宋体" w:eastAsia="宋体" w:cs="宋体"/>
          <w:spacing w:val="-1"/>
          <w:sz w:val="24"/>
          <w:szCs w:val="24"/>
          <w:lang w:val="en-US" w:eastAsia="zh-CN"/>
        </w:rPr>
        <w:t>后，</w:t>
      </w:r>
      <w:r>
        <w:rPr>
          <w:rFonts w:hint="eastAsia" w:ascii="宋体" w:hAnsi="宋体" w:eastAsia="宋体" w:cs="宋体"/>
          <w:spacing w:val="-1"/>
          <w:sz w:val="24"/>
          <w:szCs w:val="24"/>
        </w:rPr>
        <w:t>获取采购文件，并于</w:t>
      </w:r>
      <w:r>
        <w:rPr>
          <w:rFonts w:hint="eastAsia" w:ascii="宋体" w:hAnsi="宋体" w:eastAsia="宋体" w:cs="宋体"/>
          <w:spacing w:val="-1"/>
          <w:sz w:val="24"/>
          <w:szCs w:val="24"/>
          <w:highlight w:val="none"/>
        </w:rPr>
        <w:t>2026年0</w:t>
      </w:r>
      <w:r>
        <w:rPr>
          <w:rFonts w:hint="eastAsia" w:ascii="宋体" w:hAnsi="宋体" w:eastAsia="宋体" w:cs="宋体"/>
          <w:spacing w:val="-1"/>
          <w:sz w:val="24"/>
          <w:szCs w:val="24"/>
          <w:highlight w:val="none"/>
          <w:lang w:val="en-US" w:eastAsia="zh-CN"/>
        </w:rPr>
        <w:t>9</w:t>
      </w:r>
      <w:r>
        <w:rPr>
          <w:rFonts w:hint="eastAsia" w:ascii="宋体" w:hAnsi="宋体" w:eastAsia="宋体" w:cs="宋体"/>
          <w:spacing w:val="-1"/>
          <w:sz w:val="24"/>
          <w:szCs w:val="24"/>
          <w:highlight w:val="none"/>
        </w:rPr>
        <w:t>月</w:t>
      </w:r>
      <w:r>
        <w:rPr>
          <w:rFonts w:hint="eastAsia" w:ascii="宋体" w:hAnsi="宋体" w:eastAsia="宋体" w:cs="宋体"/>
          <w:spacing w:val="-1"/>
          <w:sz w:val="24"/>
          <w:szCs w:val="24"/>
          <w:highlight w:val="none"/>
          <w:lang w:val="en-US" w:eastAsia="zh-CN"/>
        </w:rPr>
        <w:t>11</w:t>
      </w:r>
      <w:r>
        <w:rPr>
          <w:rFonts w:hint="eastAsia" w:ascii="宋体" w:hAnsi="宋体" w:eastAsia="宋体" w:cs="宋体"/>
          <w:spacing w:val="-1"/>
          <w:sz w:val="24"/>
          <w:szCs w:val="24"/>
          <w:highlight w:val="none"/>
        </w:rPr>
        <w:t>日</w:t>
      </w:r>
      <w:r>
        <w:rPr>
          <w:rFonts w:hint="eastAsia" w:ascii="宋体" w:hAnsi="宋体" w:eastAsia="宋体" w:cs="宋体"/>
          <w:spacing w:val="-1"/>
          <w:sz w:val="24"/>
          <w:szCs w:val="24"/>
          <w:highlight w:val="none"/>
          <w:lang w:val="en-US" w:eastAsia="zh-CN"/>
        </w:rPr>
        <w:t>09</w:t>
      </w:r>
      <w:r>
        <w:rPr>
          <w:rFonts w:hint="eastAsia" w:ascii="宋体" w:hAnsi="宋体" w:eastAsia="宋体" w:cs="宋体"/>
          <w:spacing w:val="-1"/>
          <w:sz w:val="24"/>
          <w:szCs w:val="24"/>
          <w:highlight w:val="none"/>
        </w:rPr>
        <w:t>时30分（北京时间）</w:t>
      </w:r>
      <w:r>
        <w:rPr>
          <w:rFonts w:hint="eastAsia" w:ascii="宋体" w:hAnsi="宋体" w:eastAsia="宋体" w:cs="宋体"/>
          <w:spacing w:val="-1"/>
          <w:sz w:val="24"/>
          <w:szCs w:val="24"/>
        </w:rPr>
        <w:t>前提交响应文件。</w:t>
      </w:r>
    </w:p>
    <w:p w14:paraId="04073985">
      <w:pPr>
        <w:spacing w:before="181" w:line="360" w:lineRule="auto"/>
        <w:ind w:left="1" w:right="120" w:firstLine="490"/>
        <w:outlineLvl w:val="9"/>
        <w:rPr>
          <w:rFonts w:hint="eastAsia" w:ascii="宋体" w:hAnsi="宋体" w:eastAsia="宋体" w:cs="宋体"/>
          <w:spacing w:val="-1"/>
          <w:sz w:val="24"/>
          <w:szCs w:val="24"/>
        </w:rPr>
      </w:pPr>
      <w:r>
        <w:rPr>
          <w:rFonts w:hint="eastAsia" w:ascii="宋体" w:hAnsi="宋体" w:eastAsia="宋体" w:cs="宋体"/>
          <w:spacing w:val="-1"/>
          <w:sz w:val="24"/>
          <w:szCs w:val="24"/>
        </w:rPr>
        <w:t>一、项目基本情况</w:t>
      </w:r>
    </w:p>
    <w:p w14:paraId="6D7F334C">
      <w:pPr>
        <w:spacing w:before="181" w:line="360" w:lineRule="auto"/>
        <w:ind w:left="1" w:right="120" w:firstLine="490"/>
        <w:outlineLvl w:val="9"/>
        <w:rPr>
          <w:rFonts w:hint="eastAsia" w:ascii="宋体" w:hAnsi="宋体" w:eastAsia="宋体" w:cs="宋体"/>
          <w:spacing w:val="-1"/>
          <w:sz w:val="24"/>
          <w:szCs w:val="24"/>
          <w:lang w:eastAsia="zh-CN"/>
        </w:rPr>
      </w:pPr>
      <w:r>
        <w:rPr>
          <w:rFonts w:hint="eastAsia" w:ascii="宋体" w:hAnsi="宋体" w:eastAsia="宋体" w:cs="宋体"/>
          <w:spacing w:val="-1"/>
          <w:sz w:val="24"/>
          <w:szCs w:val="24"/>
        </w:rPr>
        <w:t>项目编号：</w:t>
      </w:r>
      <w:r>
        <w:rPr>
          <w:rFonts w:hint="eastAsia" w:ascii="宋体" w:hAnsi="宋体" w:eastAsia="宋体" w:cs="宋体"/>
          <w:spacing w:val="-1"/>
          <w:sz w:val="24"/>
          <w:szCs w:val="24"/>
          <w:lang w:eastAsia="zh-CN"/>
        </w:rPr>
        <w:t>HMXS-2026-ZC-109</w:t>
      </w:r>
    </w:p>
    <w:p w14:paraId="1305D40A">
      <w:pPr>
        <w:spacing w:before="181" w:line="360" w:lineRule="auto"/>
        <w:ind w:left="1" w:right="120" w:firstLine="490"/>
        <w:outlineLvl w:val="9"/>
        <w:rPr>
          <w:rFonts w:hint="eastAsia" w:ascii="宋体" w:hAnsi="宋体" w:eastAsia="宋体" w:cs="宋体"/>
          <w:spacing w:val="-1"/>
          <w:sz w:val="24"/>
          <w:szCs w:val="24"/>
        </w:rPr>
      </w:pPr>
      <w:r>
        <w:rPr>
          <w:rFonts w:hint="eastAsia" w:ascii="宋体" w:hAnsi="宋体" w:eastAsia="宋体" w:cs="宋体"/>
          <w:spacing w:val="-1"/>
          <w:sz w:val="24"/>
          <w:szCs w:val="24"/>
        </w:rPr>
        <w:t>项目名称：</w:t>
      </w:r>
      <w:r>
        <w:rPr>
          <w:rFonts w:hint="eastAsia" w:ascii="宋体" w:hAnsi="宋体" w:eastAsia="宋体" w:cs="宋体"/>
          <w:spacing w:val="-1"/>
          <w:sz w:val="24"/>
          <w:szCs w:val="24"/>
          <w:lang w:eastAsia="zh-CN"/>
        </w:rPr>
        <w:t>《绥德县丁家沟-十里铺饮用水水源地保护区撤销技术报告》编制服务项目</w:t>
      </w:r>
    </w:p>
    <w:p w14:paraId="781A230E">
      <w:pPr>
        <w:spacing w:before="181" w:line="360" w:lineRule="auto"/>
        <w:ind w:left="1" w:right="120" w:firstLine="490"/>
        <w:outlineLvl w:val="9"/>
        <w:rPr>
          <w:rFonts w:hint="eastAsia" w:ascii="宋体" w:hAnsi="宋体" w:eastAsia="宋体" w:cs="宋体"/>
          <w:spacing w:val="-1"/>
          <w:sz w:val="24"/>
          <w:szCs w:val="24"/>
        </w:rPr>
      </w:pPr>
      <w:r>
        <w:rPr>
          <w:rFonts w:hint="eastAsia" w:ascii="宋体" w:hAnsi="宋体" w:eastAsia="宋体" w:cs="宋体"/>
          <w:spacing w:val="-1"/>
          <w:sz w:val="24"/>
          <w:szCs w:val="24"/>
        </w:rPr>
        <w:t>采购方式：竞争性谈判</w:t>
      </w:r>
    </w:p>
    <w:p w14:paraId="3182B05B">
      <w:pPr>
        <w:spacing w:before="181" w:line="360" w:lineRule="auto"/>
        <w:ind w:left="1" w:right="120" w:firstLine="490"/>
        <w:outlineLvl w:val="9"/>
        <w:rPr>
          <w:rFonts w:hint="eastAsia" w:ascii="宋体" w:hAnsi="宋体" w:eastAsia="宋体" w:cs="宋体"/>
          <w:spacing w:val="-1"/>
          <w:sz w:val="24"/>
          <w:szCs w:val="24"/>
        </w:rPr>
      </w:pPr>
      <w:r>
        <w:rPr>
          <w:rFonts w:hint="eastAsia" w:ascii="宋体" w:hAnsi="宋体" w:eastAsia="宋体" w:cs="宋体"/>
          <w:spacing w:val="-1"/>
          <w:sz w:val="24"/>
          <w:szCs w:val="24"/>
        </w:rPr>
        <w:t>预算金额：</w:t>
      </w:r>
      <w:r>
        <w:rPr>
          <w:rFonts w:hint="eastAsia" w:ascii="宋体" w:hAnsi="宋体" w:eastAsia="宋体" w:cs="宋体"/>
          <w:spacing w:val="-1"/>
          <w:sz w:val="24"/>
          <w:szCs w:val="24"/>
          <w:lang w:eastAsia="zh-CN"/>
        </w:rPr>
        <w:t>260,000.00</w:t>
      </w:r>
      <w:r>
        <w:rPr>
          <w:rFonts w:hint="eastAsia" w:ascii="宋体" w:hAnsi="宋体" w:eastAsia="宋体" w:cs="宋体"/>
          <w:spacing w:val="-1"/>
          <w:sz w:val="24"/>
          <w:szCs w:val="24"/>
        </w:rPr>
        <w:t>元</w:t>
      </w:r>
    </w:p>
    <w:p w14:paraId="1B24418E">
      <w:pPr>
        <w:spacing w:before="181" w:line="360" w:lineRule="auto"/>
        <w:ind w:left="1" w:right="120" w:firstLine="490"/>
        <w:outlineLvl w:val="9"/>
        <w:rPr>
          <w:rFonts w:hint="eastAsia" w:ascii="宋体" w:hAnsi="宋体" w:eastAsia="宋体" w:cs="宋体"/>
          <w:spacing w:val="-1"/>
          <w:sz w:val="24"/>
          <w:szCs w:val="24"/>
        </w:rPr>
      </w:pPr>
      <w:r>
        <w:rPr>
          <w:rFonts w:hint="eastAsia" w:ascii="宋体" w:hAnsi="宋体" w:eastAsia="宋体" w:cs="宋体"/>
          <w:spacing w:val="-1"/>
          <w:sz w:val="24"/>
          <w:szCs w:val="24"/>
        </w:rPr>
        <w:t>采购需求：</w:t>
      </w:r>
    </w:p>
    <w:p w14:paraId="0EE907C6">
      <w:pPr>
        <w:spacing w:before="181" w:line="360" w:lineRule="auto"/>
        <w:ind w:left="1" w:right="120" w:firstLine="490"/>
        <w:outlineLvl w:val="9"/>
        <w:rPr>
          <w:rFonts w:hint="eastAsia" w:ascii="宋体" w:hAnsi="宋体" w:eastAsia="宋体" w:cs="宋体"/>
          <w:spacing w:val="-1"/>
          <w:sz w:val="24"/>
          <w:szCs w:val="24"/>
        </w:rPr>
      </w:pPr>
      <w:r>
        <w:rPr>
          <w:rFonts w:hint="eastAsia" w:ascii="宋体" w:hAnsi="宋体" w:eastAsia="宋体" w:cs="宋体"/>
          <w:spacing w:val="-1"/>
          <w:sz w:val="24"/>
          <w:szCs w:val="24"/>
        </w:rPr>
        <w:t>合同包1(</w:t>
      </w:r>
      <w:r>
        <w:rPr>
          <w:rFonts w:hint="eastAsia" w:ascii="宋体" w:hAnsi="宋体" w:eastAsia="宋体" w:cs="宋体"/>
          <w:spacing w:val="-1"/>
          <w:sz w:val="24"/>
          <w:szCs w:val="24"/>
          <w:lang w:eastAsia="zh-CN"/>
        </w:rPr>
        <w:t>《绥德县丁家沟-十里铺饮用水水源地保护区撤销技术报告》编制服务项目</w:t>
      </w:r>
      <w:r>
        <w:rPr>
          <w:rFonts w:hint="eastAsia" w:ascii="宋体" w:hAnsi="宋体" w:eastAsia="宋体" w:cs="宋体"/>
          <w:spacing w:val="-1"/>
          <w:sz w:val="24"/>
          <w:szCs w:val="24"/>
        </w:rPr>
        <w:t>):</w:t>
      </w:r>
    </w:p>
    <w:p w14:paraId="05571406">
      <w:pPr>
        <w:spacing w:before="181" w:line="360" w:lineRule="auto"/>
        <w:ind w:left="1" w:right="120" w:firstLine="490"/>
        <w:outlineLvl w:val="9"/>
        <w:rPr>
          <w:rFonts w:hint="eastAsia" w:ascii="宋体" w:hAnsi="宋体" w:eastAsia="宋体" w:cs="宋体"/>
          <w:spacing w:val="-1"/>
          <w:sz w:val="24"/>
          <w:szCs w:val="24"/>
        </w:rPr>
      </w:pPr>
      <w:r>
        <w:rPr>
          <w:rFonts w:hint="eastAsia" w:ascii="宋体" w:hAnsi="宋体" w:eastAsia="宋体" w:cs="宋体"/>
          <w:spacing w:val="-1"/>
          <w:sz w:val="24"/>
          <w:szCs w:val="24"/>
        </w:rPr>
        <w:t>合同包预算金额：</w:t>
      </w:r>
      <w:r>
        <w:rPr>
          <w:rFonts w:hint="eastAsia" w:ascii="宋体" w:hAnsi="宋体" w:eastAsia="宋体" w:cs="宋体"/>
          <w:spacing w:val="-1"/>
          <w:sz w:val="24"/>
          <w:szCs w:val="24"/>
          <w:lang w:eastAsia="zh-CN"/>
        </w:rPr>
        <w:t>260,000.00</w:t>
      </w:r>
      <w:r>
        <w:rPr>
          <w:rFonts w:hint="eastAsia" w:ascii="宋体" w:hAnsi="宋体" w:eastAsia="宋体" w:cs="宋体"/>
          <w:spacing w:val="-1"/>
          <w:sz w:val="24"/>
          <w:szCs w:val="24"/>
        </w:rPr>
        <w:t>元</w:t>
      </w:r>
    </w:p>
    <w:tbl>
      <w:tblPr>
        <w:tblStyle w:val="10"/>
        <w:tblW w:w="4998"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autofit"/>
        <w:tblCellMar>
          <w:top w:w="0" w:type="dxa"/>
          <w:left w:w="0" w:type="dxa"/>
          <w:bottom w:w="0" w:type="dxa"/>
          <w:right w:w="0" w:type="dxa"/>
        </w:tblCellMar>
      </w:tblPr>
      <w:tblGrid>
        <w:gridCol w:w="557"/>
        <w:gridCol w:w="1859"/>
        <w:gridCol w:w="2762"/>
        <w:gridCol w:w="736"/>
        <w:gridCol w:w="1330"/>
        <w:gridCol w:w="1327"/>
      </w:tblGrid>
      <w:tr w14:paraId="0F0F83C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728" w:hRule="atLeast"/>
          <w:tblHeader/>
        </w:trPr>
        <w:tc>
          <w:tcPr>
            <w:tcW w:w="352" w:type="pct"/>
            <w:tcBorders>
              <w:top w:val="single" w:color="333333" w:sz="4" w:space="0"/>
              <w:left w:val="single" w:color="333333" w:sz="4" w:space="0"/>
              <w:bottom w:val="single" w:color="333333" w:sz="4" w:space="0"/>
              <w:right w:val="single" w:color="333333" w:sz="4" w:space="0"/>
            </w:tcBorders>
            <w:shd w:val="clear" w:color="auto" w:fill="FFFFFF"/>
            <w:tcMar>
              <w:top w:w="75" w:type="dxa"/>
              <w:left w:w="120" w:type="dxa"/>
              <w:bottom w:w="75" w:type="dxa"/>
              <w:right w:w="120" w:type="dxa"/>
            </w:tcMar>
            <w:vAlign w:val="center"/>
          </w:tcPr>
          <w:p w14:paraId="1266CE4F">
            <w:pPr>
              <w:keepNext w:val="0"/>
              <w:keepLines w:val="0"/>
              <w:widowControl/>
              <w:suppressLineNumbers w:val="0"/>
              <w:wordWrap w:val="0"/>
              <w:spacing w:before="0" w:beforeAutospacing="0" w:after="0" w:afterAutospacing="0" w:line="240" w:lineRule="atLeast"/>
              <w:ind w:left="0" w:right="0"/>
              <w:jc w:val="center"/>
              <w:rPr>
                <w:rFonts w:ascii="微软雅黑" w:hAnsi="微软雅黑" w:eastAsia="微软雅黑" w:cs="微软雅黑"/>
                <w:b/>
                <w:bCs/>
                <w:i w:val="0"/>
                <w:iCs w:val="0"/>
                <w:caps w:val="0"/>
                <w:color w:val="333333"/>
                <w:spacing w:val="0"/>
                <w:sz w:val="21"/>
                <w:szCs w:val="21"/>
              </w:rPr>
            </w:pPr>
            <w:r>
              <w:rPr>
                <w:rFonts w:hint="eastAsia" w:ascii="微软雅黑" w:hAnsi="微软雅黑" w:eastAsia="微软雅黑" w:cs="微软雅黑"/>
                <w:b/>
                <w:bCs/>
                <w:i w:val="0"/>
                <w:iCs w:val="0"/>
                <w:caps w:val="0"/>
                <w:snapToGrid w:val="0"/>
                <w:color w:val="000000"/>
                <w:spacing w:val="0"/>
                <w:kern w:val="0"/>
                <w:sz w:val="21"/>
                <w:szCs w:val="21"/>
                <w:lang w:val="en-US" w:eastAsia="zh-CN" w:bidi="ar"/>
              </w:rPr>
              <w:t>品目号</w:t>
            </w:r>
          </w:p>
        </w:tc>
        <w:tc>
          <w:tcPr>
            <w:tcW w:w="1111" w:type="pct"/>
            <w:tcBorders>
              <w:top w:val="single" w:color="333333" w:sz="4" w:space="0"/>
              <w:left w:val="single" w:color="333333" w:sz="4" w:space="0"/>
              <w:bottom w:val="single" w:color="333333" w:sz="4" w:space="0"/>
              <w:right w:val="single" w:color="333333" w:sz="4" w:space="0"/>
            </w:tcBorders>
            <w:shd w:val="clear" w:color="auto" w:fill="FFFFFF"/>
            <w:tcMar>
              <w:top w:w="75" w:type="dxa"/>
              <w:left w:w="120" w:type="dxa"/>
              <w:bottom w:w="75" w:type="dxa"/>
              <w:right w:w="120" w:type="dxa"/>
            </w:tcMar>
            <w:vAlign w:val="center"/>
          </w:tcPr>
          <w:p w14:paraId="0BC1F0BC">
            <w:pPr>
              <w:keepNext w:val="0"/>
              <w:keepLines w:val="0"/>
              <w:widowControl/>
              <w:suppressLineNumbers w:val="0"/>
              <w:wordWrap w:val="0"/>
              <w:spacing w:before="0" w:beforeAutospacing="0" w:after="0" w:afterAutospacing="0" w:line="240" w:lineRule="atLeast"/>
              <w:ind w:left="0" w:right="0"/>
              <w:jc w:val="center"/>
              <w:rPr>
                <w:rFonts w:hint="eastAsia" w:ascii="微软雅黑" w:hAnsi="微软雅黑" w:eastAsia="微软雅黑" w:cs="微软雅黑"/>
                <w:b/>
                <w:bCs/>
                <w:i w:val="0"/>
                <w:iCs w:val="0"/>
                <w:caps w:val="0"/>
                <w:color w:val="333333"/>
                <w:spacing w:val="0"/>
                <w:sz w:val="21"/>
                <w:szCs w:val="21"/>
              </w:rPr>
            </w:pPr>
            <w:r>
              <w:rPr>
                <w:rFonts w:hint="eastAsia" w:ascii="微软雅黑" w:hAnsi="微软雅黑" w:eastAsia="微软雅黑" w:cs="微软雅黑"/>
                <w:b/>
                <w:bCs/>
                <w:i w:val="0"/>
                <w:iCs w:val="0"/>
                <w:caps w:val="0"/>
                <w:snapToGrid w:val="0"/>
                <w:color w:val="000000"/>
                <w:spacing w:val="0"/>
                <w:kern w:val="0"/>
                <w:sz w:val="21"/>
                <w:szCs w:val="21"/>
                <w:lang w:val="en-US" w:eastAsia="zh-CN" w:bidi="ar"/>
              </w:rPr>
              <w:t>品目名称</w:t>
            </w:r>
          </w:p>
        </w:tc>
        <w:tc>
          <w:tcPr>
            <w:tcW w:w="1637" w:type="pct"/>
            <w:tcBorders>
              <w:top w:val="single" w:color="333333" w:sz="4" w:space="0"/>
              <w:left w:val="single" w:color="333333" w:sz="4" w:space="0"/>
              <w:bottom w:val="single" w:color="333333" w:sz="4" w:space="0"/>
              <w:right w:val="single" w:color="333333" w:sz="4" w:space="0"/>
            </w:tcBorders>
            <w:shd w:val="clear" w:color="auto" w:fill="FFFFFF"/>
            <w:tcMar>
              <w:top w:w="75" w:type="dxa"/>
              <w:left w:w="120" w:type="dxa"/>
              <w:bottom w:w="75" w:type="dxa"/>
              <w:right w:w="120" w:type="dxa"/>
            </w:tcMar>
            <w:vAlign w:val="center"/>
          </w:tcPr>
          <w:p w14:paraId="711CA07D">
            <w:pPr>
              <w:keepNext w:val="0"/>
              <w:keepLines w:val="0"/>
              <w:widowControl/>
              <w:suppressLineNumbers w:val="0"/>
              <w:wordWrap w:val="0"/>
              <w:spacing w:before="0" w:beforeAutospacing="0" w:after="0" w:afterAutospacing="0" w:line="240" w:lineRule="atLeast"/>
              <w:ind w:left="0" w:right="0"/>
              <w:jc w:val="center"/>
              <w:rPr>
                <w:rFonts w:hint="eastAsia" w:ascii="微软雅黑" w:hAnsi="微软雅黑" w:eastAsia="微软雅黑" w:cs="微软雅黑"/>
                <w:b/>
                <w:bCs/>
                <w:i w:val="0"/>
                <w:iCs w:val="0"/>
                <w:caps w:val="0"/>
                <w:color w:val="333333"/>
                <w:spacing w:val="0"/>
                <w:sz w:val="21"/>
                <w:szCs w:val="21"/>
              </w:rPr>
            </w:pPr>
            <w:r>
              <w:rPr>
                <w:rFonts w:hint="eastAsia" w:ascii="微软雅黑" w:hAnsi="微软雅黑" w:eastAsia="微软雅黑" w:cs="微软雅黑"/>
                <w:b/>
                <w:bCs/>
                <w:i w:val="0"/>
                <w:iCs w:val="0"/>
                <w:caps w:val="0"/>
                <w:snapToGrid w:val="0"/>
                <w:color w:val="000000"/>
                <w:spacing w:val="0"/>
                <w:kern w:val="0"/>
                <w:sz w:val="21"/>
                <w:szCs w:val="21"/>
                <w:lang w:val="en-US" w:eastAsia="zh-CN" w:bidi="ar"/>
              </w:rPr>
              <w:t>采购标的</w:t>
            </w:r>
          </w:p>
        </w:tc>
        <w:tc>
          <w:tcPr>
            <w:tcW w:w="456" w:type="pct"/>
            <w:tcBorders>
              <w:top w:val="single" w:color="333333" w:sz="4" w:space="0"/>
              <w:left w:val="single" w:color="333333" w:sz="4" w:space="0"/>
              <w:bottom w:val="single" w:color="333333" w:sz="4" w:space="0"/>
              <w:right w:val="single" w:color="333333" w:sz="4" w:space="0"/>
            </w:tcBorders>
            <w:shd w:val="clear" w:color="auto" w:fill="FFFFFF"/>
            <w:tcMar>
              <w:top w:w="75" w:type="dxa"/>
              <w:left w:w="120" w:type="dxa"/>
              <w:bottom w:w="75" w:type="dxa"/>
              <w:right w:w="120" w:type="dxa"/>
            </w:tcMar>
            <w:vAlign w:val="center"/>
          </w:tcPr>
          <w:p w14:paraId="38609A29">
            <w:pPr>
              <w:keepNext w:val="0"/>
              <w:keepLines w:val="0"/>
              <w:widowControl/>
              <w:suppressLineNumbers w:val="0"/>
              <w:wordWrap w:val="0"/>
              <w:spacing w:before="0" w:beforeAutospacing="0" w:after="0" w:afterAutospacing="0" w:line="240" w:lineRule="atLeast"/>
              <w:ind w:left="0" w:right="0"/>
              <w:jc w:val="center"/>
              <w:rPr>
                <w:rFonts w:hint="eastAsia" w:ascii="微软雅黑" w:hAnsi="微软雅黑" w:eastAsia="微软雅黑" w:cs="微软雅黑"/>
                <w:b/>
                <w:bCs/>
                <w:i w:val="0"/>
                <w:iCs w:val="0"/>
                <w:caps w:val="0"/>
                <w:color w:val="333333"/>
                <w:spacing w:val="0"/>
                <w:sz w:val="21"/>
                <w:szCs w:val="21"/>
              </w:rPr>
            </w:pPr>
            <w:r>
              <w:rPr>
                <w:rFonts w:hint="eastAsia" w:ascii="微软雅黑" w:hAnsi="微软雅黑" w:eastAsia="微软雅黑" w:cs="微软雅黑"/>
                <w:b/>
                <w:bCs/>
                <w:i w:val="0"/>
                <w:iCs w:val="0"/>
                <w:caps w:val="0"/>
                <w:snapToGrid w:val="0"/>
                <w:color w:val="000000"/>
                <w:spacing w:val="0"/>
                <w:kern w:val="0"/>
                <w:sz w:val="21"/>
                <w:szCs w:val="21"/>
                <w:lang w:val="en-US" w:eastAsia="zh-CN" w:bidi="ar"/>
              </w:rPr>
              <w:t>数量（单位）</w:t>
            </w:r>
          </w:p>
        </w:tc>
        <w:tc>
          <w:tcPr>
            <w:tcW w:w="802" w:type="pct"/>
            <w:tcBorders>
              <w:top w:val="single" w:color="333333" w:sz="4" w:space="0"/>
              <w:left w:val="single" w:color="333333" w:sz="4" w:space="0"/>
              <w:bottom w:val="single" w:color="333333" w:sz="4" w:space="0"/>
              <w:right w:val="single" w:color="333333" w:sz="4" w:space="0"/>
            </w:tcBorders>
            <w:shd w:val="clear" w:color="auto" w:fill="FFFFFF"/>
            <w:tcMar>
              <w:top w:w="75" w:type="dxa"/>
              <w:left w:w="120" w:type="dxa"/>
              <w:bottom w:w="75" w:type="dxa"/>
              <w:right w:w="120" w:type="dxa"/>
            </w:tcMar>
            <w:vAlign w:val="center"/>
          </w:tcPr>
          <w:p w14:paraId="5536F306">
            <w:pPr>
              <w:keepNext w:val="0"/>
              <w:keepLines w:val="0"/>
              <w:widowControl/>
              <w:suppressLineNumbers w:val="0"/>
              <w:wordWrap w:val="0"/>
              <w:spacing w:before="0" w:beforeAutospacing="0" w:after="0" w:afterAutospacing="0" w:line="240" w:lineRule="atLeast"/>
              <w:ind w:left="0" w:right="0"/>
              <w:jc w:val="center"/>
              <w:rPr>
                <w:rFonts w:hint="eastAsia" w:ascii="微软雅黑" w:hAnsi="微软雅黑" w:eastAsia="微软雅黑" w:cs="微软雅黑"/>
                <w:b/>
                <w:bCs/>
                <w:i w:val="0"/>
                <w:iCs w:val="0"/>
                <w:caps w:val="0"/>
                <w:color w:val="333333"/>
                <w:spacing w:val="0"/>
                <w:sz w:val="21"/>
                <w:szCs w:val="21"/>
              </w:rPr>
            </w:pPr>
            <w:r>
              <w:rPr>
                <w:rFonts w:hint="eastAsia" w:ascii="微软雅黑" w:hAnsi="微软雅黑" w:eastAsia="微软雅黑" w:cs="微软雅黑"/>
                <w:b/>
                <w:bCs/>
                <w:i w:val="0"/>
                <w:iCs w:val="0"/>
                <w:caps w:val="0"/>
                <w:snapToGrid w:val="0"/>
                <w:color w:val="000000"/>
                <w:spacing w:val="0"/>
                <w:kern w:val="0"/>
                <w:sz w:val="21"/>
                <w:szCs w:val="21"/>
                <w:lang w:val="en-US" w:eastAsia="zh-CN" w:bidi="ar"/>
              </w:rPr>
              <w:t>技术规格、参数及要求</w:t>
            </w:r>
          </w:p>
        </w:tc>
        <w:tc>
          <w:tcPr>
            <w:tcW w:w="638" w:type="pct"/>
            <w:tcBorders>
              <w:top w:val="single" w:color="333333" w:sz="4" w:space="0"/>
              <w:left w:val="single" w:color="333333" w:sz="4" w:space="0"/>
              <w:bottom w:val="single" w:color="333333" w:sz="4" w:space="0"/>
              <w:right w:val="single" w:color="333333" w:sz="4" w:space="0"/>
            </w:tcBorders>
            <w:shd w:val="clear" w:color="auto" w:fill="FFFFFF"/>
            <w:tcMar>
              <w:top w:w="75" w:type="dxa"/>
              <w:left w:w="120" w:type="dxa"/>
              <w:bottom w:w="75" w:type="dxa"/>
              <w:right w:w="120" w:type="dxa"/>
            </w:tcMar>
            <w:vAlign w:val="center"/>
          </w:tcPr>
          <w:p w14:paraId="703363DE">
            <w:pPr>
              <w:keepNext w:val="0"/>
              <w:keepLines w:val="0"/>
              <w:widowControl/>
              <w:suppressLineNumbers w:val="0"/>
              <w:wordWrap w:val="0"/>
              <w:spacing w:before="0" w:beforeAutospacing="0" w:after="0" w:afterAutospacing="0" w:line="240" w:lineRule="atLeast"/>
              <w:ind w:left="0" w:right="0"/>
              <w:jc w:val="center"/>
              <w:rPr>
                <w:rFonts w:hint="eastAsia" w:ascii="微软雅黑" w:hAnsi="微软雅黑" w:eastAsia="微软雅黑" w:cs="微软雅黑"/>
                <w:b/>
                <w:bCs/>
                <w:i w:val="0"/>
                <w:iCs w:val="0"/>
                <w:caps w:val="0"/>
                <w:color w:val="333333"/>
                <w:spacing w:val="0"/>
                <w:sz w:val="21"/>
                <w:szCs w:val="21"/>
              </w:rPr>
            </w:pPr>
            <w:r>
              <w:rPr>
                <w:rFonts w:hint="eastAsia" w:ascii="微软雅黑" w:hAnsi="微软雅黑" w:eastAsia="微软雅黑" w:cs="微软雅黑"/>
                <w:b/>
                <w:bCs/>
                <w:i w:val="0"/>
                <w:iCs w:val="0"/>
                <w:caps w:val="0"/>
                <w:snapToGrid w:val="0"/>
                <w:color w:val="000000"/>
                <w:spacing w:val="0"/>
                <w:kern w:val="0"/>
                <w:sz w:val="21"/>
                <w:szCs w:val="21"/>
                <w:lang w:val="en-US" w:eastAsia="zh-CN" w:bidi="ar"/>
              </w:rPr>
              <w:t>品目预算(元)</w:t>
            </w:r>
          </w:p>
        </w:tc>
      </w:tr>
      <w:tr w14:paraId="245C5E6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320" w:hRule="atLeast"/>
        </w:trPr>
        <w:tc>
          <w:tcPr>
            <w:tcW w:w="352" w:type="pct"/>
            <w:tcBorders>
              <w:top w:val="single" w:color="333333" w:sz="4" w:space="0"/>
              <w:left w:val="single" w:color="333333" w:sz="4" w:space="0"/>
              <w:bottom w:val="single" w:color="333333" w:sz="4" w:space="0"/>
              <w:right w:val="single" w:color="333333" w:sz="4" w:space="0"/>
            </w:tcBorders>
            <w:shd w:val="clear" w:color="auto" w:fill="FFFFFF"/>
            <w:tcMar>
              <w:top w:w="75" w:type="dxa"/>
              <w:left w:w="120" w:type="dxa"/>
              <w:bottom w:w="75" w:type="dxa"/>
              <w:right w:w="120" w:type="dxa"/>
            </w:tcMar>
            <w:vAlign w:val="center"/>
          </w:tcPr>
          <w:p w14:paraId="22B5645B">
            <w:pPr>
              <w:keepNext w:val="0"/>
              <w:keepLines w:val="0"/>
              <w:widowControl/>
              <w:suppressLineNumbers w:val="0"/>
              <w:wordWrap w:val="0"/>
              <w:spacing w:before="0" w:beforeAutospacing="0" w:after="0" w:afterAutospacing="0" w:line="240" w:lineRule="atLeast"/>
              <w:ind w:left="0" w:right="0"/>
              <w:jc w:val="center"/>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snapToGrid w:val="0"/>
                <w:color w:val="000000"/>
                <w:spacing w:val="0"/>
                <w:kern w:val="0"/>
                <w:sz w:val="21"/>
                <w:szCs w:val="21"/>
                <w:lang w:val="en-US" w:eastAsia="zh-CN" w:bidi="ar"/>
              </w:rPr>
              <w:t>1-1</w:t>
            </w:r>
          </w:p>
        </w:tc>
        <w:tc>
          <w:tcPr>
            <w:tcW w:w="1111" w:type="pct"/>
            <w:tcBorders>
              <w:top w:val="single" w:color="333333" w:sz="4" w:space="0"/>
              <w:left w:val="single" w:color="333333" w:sz="4" w:space="0"/>
              <w:bottom w:val="single" w:color="333333" w:sz="4" w:space="0"/>
              <w:right w:val="single" w:color="333333" w:sz="4" w:space="0"/>
            </w:tcBorders>
            <w:shd w:val="clear" w:color="auto" w:fill="FFFFFF"/>
            <w:tcMar>
              <w:top w:w="75" w:type="dxa"/>
              <w:left w:w="120" w:type="dxa"/>
              <w:bottom w:w="75" w:type="dxa"/>
              <w:right w:w="120" w:type="dxa"/>
            </w:tcMar>
            <w:vAlign w:val="center"/>
          </w:tcPr>
          <w:p w14:paraId="6A22B6D0">
            <w:pPr>
              <w:keepNext w:val="0"/>
              <w:keepLines w:val="0"/>
              <w:widowControl/>
              <w:suppressLineNumbers w:val="0"/>
              <w:wordWrap w:val="0"/>
              <w:spacing w:before="0" w:beforeAutospacing="0" w:after="0" w:afterAutospacing="0" w:line="240" w:lineRule="atLeast"/>
              <w:ind w:left="0" w:right="0"/>
              <w:jc w:val="center"/>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snapToGrid w:val="0"/>
                <w:color w:val="000000"/>
                <w:spacing w:val="0"/>
                <w:kern w:val="0"/>
                <w:sz w:val="21"/>
                <w:szCs w:val="21"/>
                <w:lang w:val="en-US" w:eastAsia="zh-CN" w:bidi="ar"/>
              </w:rPr>
              <w:t>其他生态环境保护和治理服务</w:t>
            </w:r>
          </w:p>
        </w:tc>
        <w:tc>
          <w:tcPr>
            <w:tcW w:w="1637" w:type="pct"/>
            <w:tcBorders>
              <w:top w:val="single" w:color="333333" w:sz="4" w:space="0"/>
              <w:left w:val="single" w:color="333333" w:sz="4" w:space="0"/>
              <w:bottom w:val="single" w:color="333333" w:sz="4" w:space="0"/>
              <w:right w:val="single" w:color="333333" w:sz="4" w:space="0"/>
            </w:tcBorders>
            <w:shd w:val="clear" w:color="auto" w:fill="FFFFFF"/>
            <w:tcMar>
              <w:top w:w="75" w:type="dxa"/>
              <w:left w:w="120" w:type="dxa"/>
              <w:bottom w:w="75" w:type="dxa"/>
              <w:right w:w="120" w:type="dxa"/>
            </w:tcMar>
            <w:vAlign w:val="center"/>
          </w:tcPr>
          <w:p w14:paraId="45FB4C21">
            <w:pPr>
              <w:keepNext w:val="0"/>
              <w:keepLines w:val="0"/>
              <w:widowControl/>
              <w:suppressLineNumbers w:val="0"/>
              <w:wordWrap w:val="0"/>
              <w:spacing w:before="0" w:beforeAutospacing="0" w:after="0" w:afterAutospacing="0" w:line="240" w:lineRule="atLeast"/>
              <w:ind w:left="0" w:right="0"/>
              <w:jc w:val="center"/>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snapToGrid w:val="0"/>
                <w:color w:val="000000"/>
                <w:spacing w:val="0"/>
                <w:kern w:val="0"/>
                <w:sz w:val="21"/>
                <w:szCs w:val="21"/>
                <w:lang w:val="en-US" w:eastAsia="zh-CN" w:bidi="ar"/>
              </w:rPr>
              <w:t>《绥德县丁家沟-十里铺饮用水水源地保护区撤销技术报告》编制服务</w:t>
            </w:r>
          </w:p>
        </w:tc>
        <w:tc>
          <w:tcPr>
            <w:tcW w:w="456" w:type="pct"/>
            <w:tcBorders>
              <w:top w:val="single" w:color="333333" w:sz="4" w:space="0"/>
              <w:left w:val="single" w:color="333333" w:sz="4" w:space="0"/>
              <w:bottom w:val="single" w:color="333333" w:sz="4" w:space="0"/>
              <w:right w:val="single" w:color="333333" w:sz="4" w:space="0"/>
            </w:tcBorders>
            <w:shd w:val="clear" w:color="auto" w:fill="FFFFFF"/>
            <w:tcMar>
              <w:top w:w="75" w:type="dxa"/>
              <w:left w:w="120" w:type="dxa"/>
              <w:bottom w:w="75" w:type="dxa"/>
              <w:right w:w="120" w:type="dxa"/>
            </w:tcMar>
            <w:vAlign w:val="center"/>
          </w:tcPr>
          <w:p w14:paraId="6A3FEF8C">
            <w:pPr>
              <w:keepNext w:val="0"/>
              <w:keepLines w:val="0"/>
              <w:widowControl/>
              <w:suppressLineNumbers w:val="0"/>
              <w:wordWrap w:val="0"/>
              <w:spacing w:before="0" w:beforeAutospacing="0" w:after="0" w:afterAutospacing="0" w:line="240" w:lineRule="atLeast"/>
              <w:ind w:left="0" w:right="0"/>
              <w:jc w:val="center"/>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snapToGrid w:val="0"/>
                <w:color w:val="000000"/>
                <w:spacing w:val="0"/>
                <w:kern w:val="0"/>
                <w:sz w:val="21"/>
                <w:szCs w:val="21"/>
                <w:lang w:val="en-US" w:eastAsia="zh-CN" w:bidi="ar"/>
              </w:rPr>
              <w:t>1(项)</w:t>
            </w:r>
          </w:p>
        </w:tc>
        <w:tc>
          <w:tcPr>
            <w:tcW w:w="802" w:type="pct"/>
            <w:tcBorders>
              <w:top w:val="single" w:color="333333" w:sz="4" w:space="0"/>
              <w:left w:val="single" w:color="333333" w:sz="4" w:space="0"/>
              <w:bottom w:val="single" w:color="333333" w:sz="4" w:space="0"/>
              <w:right w:val="single" w:color="333333" w:sz="4" w:space="0"/>
            </w:tcBorders>
            <w:shd w:val="clear" w:color="auto" w:fill="FFFFFF"/>
            <w:tcMar>
              <w:top w:w="75" w:type="dxa"/>
              <w:left w:w="120" w:type="dxa"/>
              <w:bottom w:w="75" w:type="dxa"/>
              <w:right w:w="120" w:type="dxa"/>
            </w:tcMar>
            <w:vAlign w:val="center"/>
          </w:tcPr>
          <w:p w14:paraId="122DF845">
            <w:pPr>
              <w:keepNext w:val="0"/>
              <w:keepLines w:val="0"/>
              <w:widowControl/>
              <w:suppressLineNumbers w:val="0"/>
              <w:wordWrap w:val="0"/>
              <w:spacing w:before="0" w:beforeAutospacing="0" w:after="0" w:afterAutospacing="0" w:line="240" w:lineRule="atLeast"/>
              <w:ind w:left="0" w:right="0"/>
              <w:jc w:val="center"/>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snapToGrid w:val="0"/>
                <w:color w:val="000000"/>
                <w:spacing w:val="0"/>
                <w:kern w:val="0"/>
                <w:sz w:val="21"/>
                <w:szCs w:val="21"/>
                <w:lang w:val="en-US" w:eastAsia="zh-CN" w:bidi="ar"/>
              </w:rPr>
              <w:t>详见采购文件</w:t>
            </w:r>
          </w:p>
        </w:tc>
        <w:tc>
          <w:tcPr>
            <w:tcW w:w="638" w:type="pct"/>
            <w:tcBorders>
              <w:top w:val="single" w:color="333333" w:sz="4" w:space="0"/>
              <w:left w:val="single" w:color="333333" w:sz="4" w:space="0"/>
              <w:bottom w:val="single" w:color="333333" w:sz="4" w:space="0"/>
              <w:right w:val="single" w:color="333333" w:sz="4" w:space="0"/>
            </w:tcBorders>
            <w:shd w:val="clear" w:color="auto" w:fill="FFFFFF"/>
            <w:tcMar>
              <w:top w:w="75" w:type="dxa"/>
              <w:left w:w="120" w:type="dxa"/>
              <w:bottom w:w="75" w:type="dxa"/>
              <w:right w:w="120" w:type="dxa"/>
            </w:tcMar>
            <w:vAlign w:val="center"/>
          </w:tcPr>
          <w:p w14:paraId="0BADEB25">
            <w:pPr>
              <w:keepNext w:val="0"/>
              <w:keepLines w:val="0"/>
              <w:widowControl/>
              <w:suppressLineNumbers w:val="0"/>
              <w:wordWrap/>
              <w:spacing w:before="0" w:beforeAutospacing="0" w:after="0" w:afterAutospacing="0" w:line="240" w:lineRule="atLeast"/>
              <w:ind w:left="0" w:right="0"/>
              <w:jc w:val="right"/>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snapToGrid w:val="0"/>
                <w:color w:val="000000"/>
                <w:spacing w:val="0"/>
                <w:kern w:val="0"/>
                <w:sz w:val="21"/>
                <w:szCs w:val="21"/>
                <w:lang w:val="en-US" w:eastAsia="zh-CN" w:bidi="ar"/>
              </w:rPr>
              <w:t>260,000.00</w:t>
            </w:r>
          </w:p>
        </w:tc>
      </w:tr>
    </w:tbl>
    <w:p w14:paraId="09C046A9">
      <w:pPr>
        <w:spacing w:before="181" w:line="360" w:lineRule="auto"/>
        <w:ind w:right="120"/>
        <w:outlineLvl w:val="9"/>
        <w:rPr>
          <w:rFonts w:hint="eastAsia" w:ascii="宋体" w:hAnsi="宋体" w:eastAsia="宋体" w:cs="宋体"/>
          <w:spacing w:val="-1"/>
          <w:sz w:val="24"/>
          <w:szCs w:val="24"/>
        </w:rPr>
      </w:pPr>
    </w:p>
    <w:p w14:paraId="3EC51A60">
      <w:pPr>
        <w:spacing w:before="181" w:line="360" w:lineRule="auto"/>
        <w:ind w:left="1" w:right="120" w:firstLine="490"/>
        <w:outlineLvl w:val="9"/>
        <w:rPr>
          <w:rFonts w:hint="eastAsia" w:ascii="宋体" w:hAnsi="宋体" w:eastAsia="宋体" w:cs="宋体"/>
          <w:spacing w:val="-1"/>
          <w:sz w:val="24"/>
          <w:szCs w:val="24"/>
        </w:rPr>
      </w:pPr>
      <w:r>
        <w:rPr>
          <w:rFonts w:hint="eastAsia" w:ascii="宋体" w:hAnsi="宋体" w:eastAsia="宋体" w:cs="宋体"/>
          <w:spacing w:val="-1"/>
          <w:sz w:val="24"/>
          <w:szCs w:val="24"/>
        </w:rPr>
        <w:t>合同包最高限价：</w:t>
      </w:r>
      <w:r>
        <w:rPr>
          <w:rFonts w:hint="eastAsia" w:ascii="宋体" w:hAnsi="宋体" w:eastAsia="宋体" w:cs="宋体"/>
          <w:spacing w:val="-1"/>
          <w:sz w:val="24"/>
          <w:szCs w:val="24"/>
          <w:lang w:eastAsia="zh-CN"/>
        </w:rPr>
        <w:t>260,000.00</w:t>
      </w:r>
      <w:r>
        <w:rPr>
          <w:rFonts w:hint="eastAsia" w:ascii="宋体" w:hAnsi="宋体" w:eastAsia="宋体" w:cs="宋体"/>
          <w:spacing w:val="-1"/>
          <w:sz w:val="24"/>
          <w:szCs w:val="24"/>
        </w:rPr>
        <w:t>元</w:t>
      </w:r>
    </w:p>
    <w:p w14:paraId="7299DD2B">
      <w:pPr>
        <w:spacing w:before="181" w:line="360" w:lineRule="auto"/>
        <w:ind w:left="1" w:right="120" w:firstLine="490"/>
        <w:outlineLvl w:val="9"/>
        <w:rPr>
          <w:rFonts w:hint="eastAsia" w:ascii="宋体" w:hAnsi="宋体" w:eastAsia="宋体" w:cs="宋体"/>
          <w:spacing w:val="-1"/>
          <w:sz w:val="24"/>
          <w:szCs w:val="24"/>
        </w:rPr>
      </w:pPr>
      <w:r>
        <w:rPr>
          <w:rFonts w:hint="eastAsia" w:ascii="宋体" w:hAnsi="宋体" w:eastAsia="宋体" w:cs="宋体"/>
          <w:spacing w:val="-1"/>
          <w:sz w:val="24"/>
          <w:szCs w:val="24"/>
        </w:rPr>
        <w:t>本合同包不接受联合体投标</w:t>
      </w:r>
    </w:p>
    <w:p w14:paraId="0B545B87">
      <w:pPr>
        <w:spacing w:before="181" w:line="360" w:lineRule="auto"/>
        <w:ind w:left="1" w:right="120" w:firstLine="490"/>
        <w:outlineLvl w:val="9"/>
        <w:rPr>
          <w:rFonts w:hint="eastAsia" w:ascii="宋体" w:hAnsi="宋体" w:eastAsia="宋体" w:cs="宋体"/>
          <w:spacing w:val="-1"/>
          <w:sz w:val="24"/>
          <w:szCs w:val="24"/>
        </w:rPr>
      </w:pPr>
      <w:r>
        <w:rPr>
          <w:rFonts w:hint="eastAsia" w:ascii="宋体" w:hAnsi="宋体" w:eastAsia="宋体" w:cs="宋体"/>
          <w:spacing w:val="-1"/>
          <w:sz w:val="24"/>
          <w:szCs w:val="24"/>
        </w:rPr>
        <w:t>合同履行期限：详见采购文件</w:t>
      </w:r>
    </w:p>
    <w:p w14:paraId="12BBBFCA">
      <w:pPr>
        <w:spacing w:before="181" w:line="360" w:lineRule="auto"/>
        <w:ind w:left="1" w:right="120" w:firstLine="490"/>
        <w:outlineLvl w:val="9"/>
        <w:rPr>
          <w:rFonts w:hint="eastAsia" w:ascii="宋体" w:hAnsi="宋体" w:eastAsia="宋体" w:cs="宋体"/>
          <w:spacing w:val="-1"/>
          <w:sz w:val="24"/>
          <w:szCs w:val="24"/>
        </w:rPr>
      </w:pPr>
      <w:r>
        <w:rPr>
          <w:rFonts w:hint="eastAsia" w:ascii="宋体" w:hAnsi="宋体" w:eastAsia="宋体" w:cs="宋体"/>
          <w:spacing w:val="-1"/>
          <w:sz w:val="24"/>
          <w:szCs w:val="24"/>
        </w:rPr>
        <w:t>二、申请人的资格要求：</w:t>
      </w:r>
    </w:p>
    <w:p w14:paraId="7FD636FC">
      <w:pPr>
        <w:spacing w:before="181" w:line="360" w:lineRule="auto"/>
        <w:ind w:left="1" w:right="120" w:firstLine="490"/>
        <w:outlineLvl w:val="9"/>
        <w:rPr>
          <w:rFonts w:hint="eastAsia" w:ascii="宋体" w:hAnsi="宋体" w:eastAsia="宋体" w:cs="宋体"/>
          <w:spacing w:val="-1"/>
          <w:sz w:val="24"/>
          <w:szCs w:val="24"/>
        </w:rPr>
      </w:pPr>
      <w:r>
        <w:rPr>
          <w:rFonts w:hint="eastAsia" w:ascii="宋体" w:hAnsi="宋体" w:eastAsia="宋体" w:cs="宋体"/>
          <w:spacing w:val="-1"/>
          <w:sz w:val="24"/>
          <w:szCs w:val="24"/>
        </w:rPr>
        <w:t>1.满足《中华人民共和国政府采购法》第二十二条规定;</w:t>
      </w:r>
    </w:p>
    <w:p w14:paraId="75F25631">
      <w:pPr>
        <w:spacing w:before="181" w:line="360" w:lineRule="auto"/>
        <w:ind w:left="1" w:right="120" w:firstLine="490"/>
        <w:outlineLvl w:val="9"/>
        <w:rPr>
          <w:rFonts w:hint="eastAsia" w:ascii="宋体" w:hAnsi="宋体" w:eastAsia="宋体" w:cs="宋体"/>
          <w:spacing w:val="-1"/>
          <w:sz w:val="24"/>
          <w:szCs w:val="24"/>
        </w:rPr>
      </w:pPr>
      <w:r>
        <w:rPr>
          <w:rFonts w:hint="eastAsia" w:ascii="宋体" w:hAnsi="宋体" w:eastAsia="宋体" w:cs="宋体"/>
          <w:spacing w:val="-1"/>
          <w:sz w:val="24"/>
          <w:szCs w:val="24"/>
        </w:rPr>
        <w:t>2.落实政府采购政策需满足的资格要求：</w:t>
      </w:r>
    </w:p>
    <w:p w14:paraId="4AB597EE">
      <w:pPr>
        <w:spacing w:before="181" w:line="360" w:lineRule="auto"/>
        <w:ind w:left="1" w:right="120" w:firstLine="490"/>
        <w:outlineLvl w:val="9"/>
        <w:rPr>
          <w:rFonts w:hint="eastAsia" w:ascii="宋体" w:hAnsi="宋体" w:eastAsia="宋体" w:cs="宋体"/>
          <w:spacing w:val="-1"/>
          <w:sz w:val="24"/>
          <w:szCs w:val="24"/>
        </w:rPr>
      </w:pPr>
      <w:r>
        <w:rPr>
          <w:rFonts w:hint="eastAsia" w:ascii="宋体" w:hAnsi="宋体" w:eastAsia="宋体" w:cs="宋体"/>
          <w:spacing w:val="-1"/>
          <w:sz w:val="24"/>
          <w:szCs w:val="24"/>
        </w:rPr>
        <w:t>合同包1(</w:t>
      </w:r>
      <w:r>
        <w:rPr>
          <w:rFonts w:hint="eastAsia" w:ascii="宋体" w:hAnsi="宋体" w:eastAsia="宋体" w:cs="宋体"/>
          <w:spacing w:val="-1"/>
          <w:sz w:val="24"/>
          <w:szCs w:val="24"/>
          <w:lang w:eastAsia="zh-CN"/>
        </w:rPr>
        <w:t>《绥德县丁家沟-十里铺饮用水水源地保护区撤销技术报告》编制服务项目</w:t>
      </w:r>
      <w:r>
        <w:rPr>
          <w:rFonts w:hint="eastAsia" w:ascii="宋体" w:hAnsi="宋体" w:eastAsia="宋体" w:cs="宋体"/>
          <w:spacing w:val="-1"/>
          <w:sz w:val="24"/>
          <w:szCs w:val="24"/>
        </w:rPr>
        <w:t>)落实政府采购政策需满足的资格要求如下:</w:t>
      </w:r>
    </w:p>
    <w:p w14:paraId="40C3E93F">
      <w:pPr>
        <w:spacing w:before="181" w:line="360" w:lineRule="auto"/>
        <w:ind w:left="1" w:right="120" w:firstLine="490"/>
        <w:outlineLvl w:val="9"/>
        <w:rPr>
          <w:rFonts w:hint="eastAsia" w:ascii="宋体" w:hAnsi="宋体" w:eastAsia="宋体" w:cs="宋体"/>
          <w:spacing w:val="-1"/>
          <w:sz w:val="24"/>
          <w:szCs w:val="24"/>
        </w:rPr>
      </w:pPr>
      <w:r>
        <w:rPr>
          <w:rFonts w:hint="eastAsia" w:ascii="宋体" w:hAnsi="宋体" w:eastAsia="宋体" w:cs="宋体"/>
          <w:spacing w:val="-1"/>
          <w:sz w:val="24"/>
          <w:szCs w:val="24"/>
        </w:rPr>
        <w:t>2.1《政府采购促进中小企业发展管理办法》（财库〔2020〕46号）、《陕西省财政厅关于进一步加大政府采购支持中小企业力度的通知》（陕财办采〔2022〕5号）、《陕西省财政厅关于落实政府采购支持中小企业政策有关事项的通知》（陕财办采函〔2022〕10号）、《榆林市财政局关于进一步加大政府采购支持中小企业力度的通知》（榆政财采发〔2022〕10号）；</w:t>
      </w:r>
      <w:r>
        <w:rPr>
          <w:rFonts w:hint="eastAsia" w:ascii="宋体" w:hAnsi="宋体" w:eastAsia="宋体" w:cs="宋体"/>
          <w:spacing w:val="-1"/>
          <w:sz w:val="24"/>
          <w:szCs w:val="24"/>
        </w:rPr>
        <w:br w:type="textWrapping"/>
      </w:r>
      <w:r>
        <w:rPr>
          <w:rFonts w:hint="eastAsia" w:ascii="宋体" w:hAnsi="宋体" w:eastAsia="宋体" w:cs="宋体"/>
          <w:spacing w:val="-1"/>
          <w:sz w:val="24"/>
          <w:szCs w:val="24"/>
        </w:rPr>
        <w:t>2.2《财政部司法部关于政府采购支持监狱企业发展有关问题的通知》（财库〔2014〕68号）；</w:t>
      </w:r>
      <w:r>
        <w:rPr>
          <w:rFonts w:hint="eastAsia" w:ascii="宋体" w:hAnsi="宋体" w:eastAsia="宋体" w:cs="宋体"/>
          <w:spacing w:val="-1"/>
          <w:sz w:val="24"/>
          <w:szCs w:val="24"/>
        </w:rPr>
        <w:br w:type="textWrapping"/>
      </w:r>
      <w:r>
        <w:rPr>
          <w:rFonts w:hint="eastAsia" w:ascii="宋体" w:hAnsi="宋体" w:eastAsia="宋体" w:cs="宋体"/>
          <w:spacing w:val="-1"/>
          <w:sz w:val="24"/>
          <w:szCs w:val="24"/>
        </w:rPr>
        <w:t>2.3《国务院办公厅关于建立政府强制采购节能产品制度的通知》（国办发〔2007〕51号）；</w:t>
      </w:r>
      <w:r>
        <w:rPr>
          <w:rFonts w:hint="eastAsia" w:ascii="宋体" w:hAnsi="宋体" w:eastAsia="宋体" w:cs="宋体"/>
          <w:spacing w:val="-1"/>
          <w:sz w:val="24"/>
          <w:szCs w:val="24"/>
        </w:rPr>
        <w:br w:type="textWrapping"/>
      </w:r>
      <w:r>
        <w:rPr>
          <w:rFonts w:hint="eastAsia" w:ascii="宋体" w:hAnsi="宋体" w:eastAsia="宋体" w:cs="宋体"/>
          <w:spacing w:val="-1"/>
          <w:sz w:val="24"/>
          <w:szCs w:val="24"/>
        </w:rPr>
        <w:t>2.4《节能产品政府采购实施意见》（财库[2004]185号）；</w:t>
      </w:r>
      <w:r>
        <w:rPr>
          <w:rFonts w:hint="eastAsia" w:ascii="宋体" w:hAnsi="宋体" w:eastAsia="宋体" w:cs="宋体"/>
          <w:spacing w:val="-1"/>
          <w:sz w:val="24"/>
          <w:szCs w:val="24"/>
        </w:rPr>
        <w:br w:type="textWrapping"/>
      </w:r>
      <w:r>
        <w:rPr>
          <w:rFonts w:hint="eastAsia" w:ascii="宋体" w:hAnsi="宋体" w:eastAsia="宋体" w:cs="宋体"/>
          <w:spacing w:val="-1"/>
          <w:sz w:val="24"/>
          <w:szCs w:val="24"/>
        </w:rPr>
        <w:t>2.5《环境标志产品政府采购实施的意见》（财库[2006]90号）；</w:t>
      </w:r>
      <w:r>
        <w:rPr>
          <w:rFonts w:hint="eastAsia" w:ascii="宋体" w:hAnsi="宋体" w:eastAsia="宋体" w:cs="宋体"/>
          <w:spacing w:val="-1"/>
          <w:sz w:val="24"/>
          <w:szCs w:val="24"/>
        </w:rPr>
        <w:br w:type="textWrapping"/>
      </w:r>
      <w:r>
        <w:rPr>
          <w:rFonts w:hint="eastAsia" w:ascii="宋体" w:hAnsi="宋体" w:eastAsia="宋体" w:cs="宋体"/>
          <w:spacing w:val="-1"/>
          <w:sz w:val="24"/>
          <w:szCs w:val="24"/>
        </w:rPr>
        <w:t>2.6《关于促进残疾人就业政府采购政策的通知》（财库[2017]141号）；</w:t>
      </w:r>
      <w:r>
        <w:rPr>
          <w:rFonts w:hint="eastAsia" w:ascii="宋体" w:hAnsi="宋体" w:eastAsia="宋体" w:cs="宋体"/>
          <w:spacing w:val="-1"/>
          <w:sz w:val="24"/>
          <w:szCs w:val="24"/>
        </w:rPr>
        <w:br w:type="textWrapping"/>
      </w:r>
      <w:r>
        <w:rPr>
          <w:rFonts w:hint="eastAsia" w:ascii="宋体" w:hAnsi="宋体" w:eastAsia="宋体" w:cs="宋体"/>
          <w:spacing w:val="-1"/>
          <w:sz w:val="24"/>
          <w:szCs w:val="24"/>
        </w:rPr>
        <w:t>2.7《财政部发展改革委生态环境部市场监管总局关于调整优化节能产品、环境标志产品政府采购执行机制的通知》（财库〔2019〕9号）；</w:t>
      </w:r>
      <w:r>
        <w:rPr>
          <w:rFonts w:hint="eastAsia" w:ascii="宋体" w:hAnsi="宋体" w:eastAsia="宋体" w:cs="宋体"/>
          <w:spacing w:val="-1"/>
          <w:sz w:val="24"/>
          <w:szCs w:val="24"/>
        </w:rPr>
        <w:br w:type="textWrapping"/>
      </w:r>
      <w:r>
        <w:rPr>
          <w:rFonts w:hint="eastAsia" w:ascii="宋体" w:hAnsi="宋体" w:eastAsia="宋体" w:cs="宋体"/>
          <w:spacing w:val="-1"/>
          <w:sz w:val="24"/>
          <w:szCs w:val="24"/>
        </w:rPr>
        <w:t>2.8《财政部国务院扶贫办关于运用政府采购政策支持脱贫攻坚的通知》（财库〔2019〕27号）；</w:t>
      </w:r>
      <w:r>
        <w:rPr>
          <w:rFonts w:hint="eastAsia" w:ascii="宋体" w:hAnsi="宋体" w:eastAsia="宋体" w:cs="宋体"/>
          <w:spacing w:val="-1"/>
          <w:sz w:val="24"/>
          <w:szCs w:val="24"/>
        </w:rPr>
        <w:br w:type="textWrapping"/>
      </w:r>
      <w:r>
        <w:rPr>
          <w:rFonts w:hint="eastAsia" w:ascii="宋体" w:hAnsi="宋体" w:eastAsia="宋体" w:cs="宋体"/>
          <w:spacing w:val="-1"/>
          <w:sz w:val="24"/>
          <w:szCs w:val="24"/>
        </w:rPr>
        <w:t>2.9陕西省财政厅关于印发《陕西省中小企业政府采购信用融资办法》（陕财办采〔2018〕23号）；</w:t>
      </w:r>
      <w:r>
        <w:rPr>
          <w:rFonts w:hint="eastAsia" w:ascii="宋体" w:hAnsi="宋体" w:eastAsia="宋体" w:cs="宋体"/>
          <w:spacing w:val="-1"/>
          <w:sz w:val="24"/>
          <w:szCs w:val="24"/>
        </w:rPr>
        <w:br w:type="textWrapping"/>
      </w:r>
      <w:r>
        <w:rPr>
          <w:rFonts w:hint="eastAsia" w:ascii="宋体" w:hAnsi="宋体" w:eastAsia="宋体" w:cs="宋体"/>
          <w:spacing w:val="-1"/>
          <w:sz w:val="24"/>
          <w:szCs w:val="24"/>
        </w:rPr>
        <w:t>2.10《陕西省财政厅关于加快推进我省中小企业政府采购信用融资工作的通知》（陕财办采〔2020〕15号）；</w:t>
      </w:r>
      <w:r>
        <w:rPr>
          <w:rFonts w:hint="eastAsia" w:ascii="宋体" w:hAnsi="宋体" w:eastAsia="宋体" w:cs="宋体"/>
          <w:spacing w:val="-1"/>
          <w:sz w:val="24"/>
          <w:szCs w:val="24"/>
        </w:rPr>
        <w:br w:type="textWrapping"/>
      </w:r>
      <w:r>
        <w:rPr>
          <w:rFonts w:hint="eastAsia" w:ascii="宋体" w:hAnsi="宋体" w:eastAsia="宋体" w:cs="宋体"/>
          <w:spacing w:val="-1"/>
          <w:sz w:val="24"/>
          <w:szCs w:val="24"/>
        </w:rPr>
        <w:t>2.11《关于促进中小企业健康发展的指导意见》、《陕西省中小企业政府釆购信用融资办法》（陕财办采[2018]23号）；</w:t>
      </w:r>
      <w:r>
        <w:rPr>
          <w:rFonts w:hint="eastAsia" w:ascii="宋体" w:hAnsi="宋体" w:eastAsia="宋体" w:cs="宋体"/>
          <w:spacing w:val="-1"/>
          <w:sz w:val="24"/>
          <w:szCs w:val="24"/>
        </w:rPr>
        <w:br w:type="textWrapping"/>
      </w:r>
      <w:r>
        <w:rPr>
          <w:rFonts w:hint="eastAsia" w:ascii="宋体" w:hAnsi="宋体" w:eastAsia="宋体" w:cs="宋体"/>
          <w:spacing w:val="-1"/>
          <w:sz w:val="24"/>
          <w:szCs w:val="24"/>
        </w:rPr>
        <w:t>2.12《财政局关于推动解决政府采购异常低价问题的通知》（财库【2026】2号）;</w:t>
      </w:r>
      <w:r>
        <w:rPr>
          <w:rFonts w:hint="eastAsia" w:ascii="宋体" w:hAnsi="宋体" w:eastAsia="宋体" w:cs="宋体"/>
          <w:spacing w:val="-1"/>
          <w:sz w:val="24"/>
          <w:szCs w:val="24"/>
        </w:rPr>
        <w:br w:type="textWrapping"/>
      </w:r>
      <w:r>
        <w:rPr>
          <w:rFonts w:hint="eastAsia" w:ascii="宋体" w:hAnsi="宋体" w:eastAsia="宋体" w:cs="宋体"/>
          <w:spacing w:val="-1"/>
          <w:sz w:val="24"/>
          <w:szCs w:val="24"/>
        </w:rPr>
        <w:t>2.13其他需要落实的政府采购政策。</w:t>
      </w:r>
    </w:p>
    <w:p w14:paraId="4EEB75D1">
      <w:pPr>
        <w:spacing w:before="181" w:line="360" w:lineRule="auto"/>
        <w:ind w:right="120"/>
        <w:outlineLvl w:val="9"/>
        <w:rPr>
          <w:rFonts w:hint="eastAsia" w:ascii="宋体" w:hAnsi="宋体" w:eastAsia="宋体" w:cs="宋体"/>
          <w:spacing w:val="-1"/>
          <w:sz w:val="24"/>
          <w:szCs w:val="24"/>
        </w:rPr>
      </w:pPr>
      <w:r>
        <w:rPr>
          <w:rFonts w:hint="eastAsia" w:ascii="宋体" w:hAnsi="宋体" w:eastAsia="宋体" w:cs="宋体"/>
          <w:spacing w:val="-1"/>
          <w:sz w:val="24"/>
          <w:szCs w:val="24"/>
        </w:rPr>
        <w:t>3.本项目的特定资格要求：</w:t>
      </w:r>
    </w:p>
    <w:p w14:paraId="70011307">
      <w:pPr>
        <w:spacing w:before="181" w:line="360" w:lineRule="auto"/>
        <w:ind w:left="1" w:right="120" w:firstLine="490"/>
        <w:outlineLvl w:val="9"/>
        <w:rPr>
          <w:rFonts w:hint="eastAsia" w:ascii="宋体" w:hAnsi="宋体" w:eastAsia="宋体" w:cs="宋体"/>
          <w:spacing w:val="-1"/>
          <w:sz w:val="24"/>
          <w:szCs w:val="24"/>
        </w:rPr>
      </w:pPr>
      <w:r>
        <w:rPr>
          <w:rFonts w:hint="eastAsia" w:ascii="宋体" w:hAnsi="宋体" w:eastAsia="宋体" w:cs="宋体"/>
          <w:spacing w:val="-1"/>
          <w:sz w:val="24"/>
          <w:szCs w:val="24"/>
        </w:rPr>
        <w:t>合同包1(</w:t>
      </w:r>
      <w:r>
        <w:rPr>
          <w:rFonts w:hint="eastAsia" w:ascii="宋体" w:hAnsi="宋体" w:eastAsia="宋体" w:cs="宋体"/>
          <w:spacing w:val="-1"/>
          <w:sz w:val="24"/>
          <w:szCs w:val="24"/>
          <w:lang w:eastAsia="zh-CN"/>
        </w:rPr>
        <w:t>《绥德县丁家沟-十里铺饮用水水源地保护区撤销技术报告》编制服务项目</w:t>
      </w:r>
      <w:r>
        <w:rPr>
          <w:rFonts w:hint="eastAsia" w:ascii="宋体" w:hAnsi="宋体" w:eastAsia="宋体" w:cs="宋体"/>
          <w:spacing w:val="-1"/>
          <w:sz w:val="24"/>
          <w:szCs w:val="24"/>
        </w:rPr>
        <w:t>)特定资格要求如下:</w:t>
      </w:r>
    </w:p>
    <w:p w14:paraId="6C29C318">
      <w:pPr>
        <w:spacing w:before="181" w:line="360" w:lineRule="auto"/>
        <w:ind w:left="1" w:right="120" w:firstLine="490"/>
        <w:outlineLvl w:val="9"/>
        <w:rPr>
          <w:rFonts w:hint="eastAsia" w:ascii="宋体" w:hAnsi="宋体" w:eastAsia="宋体" w:cs="宋体"/>
          <w:spacing w:val="-1"/>
          <w:sz w:val="24"/>
          <w:szCs w:val="24"/>
        </w:rPr>
      </w:pPr>
      <w:r>
        <w:rPr>
          <w:rFonts w:hint="eastAsia" w:ascii="宋体" w:hAnsi="宋体" w:eastAsia="宋体" w:cs="宋体"/>
          <w:spacing w:val="-1"/>
          <w:sz w:val="24"/>
          <w:szCs w:val="24"/>
        </w:rPr>
        <w:t>1、供应商为具有独立承担民事责任能力的法人、事业法人、其他组织或自然人。企业法人应提供合法有效的标识有统一社会信用代码的营业执照副本及营业执照的2025年度企业年检报告书；事业法人应提供事业单位法人证书；其他组织应提供合法登记证明文件；自然人应提供身份证；</w:t>
      </w:r>
    </w:p>
    <w:p w14:paraId="61C9B60D">
      <w:pPr>
        <w:spacing w:before="181" w:line="360" w:lineRule="auto"/>
        <w:ind w:left="1" w:right="120" w:firstLine="490"/>
        <w:outlineLvl w:val="9"/>
        <w:rPr>
          <w:rFonts w:hint="eastAsia" w:ascii="宋体" w:hAnsi="宋体" w:eastAsia="宋体" w:cs="宋体"/>
          <w:spacing w:val="-1"/>
          <w:sz w:val="24"/>
          <w:szCs w:val="24"/>
        </w:rPr>
      </w:pPr>
      <w:r>
        <w:rPr>
          <w:rFonts w:hint="eastAsia" w:ascii="宋体" w:hAnsi="宋体" w:eastAsia="宋体" w:cs="宋体"/>
          <w:spacing w:val="-1"/>
          <w:sz w:val="24"/>
          <w:szCs w:val="24"/>
        </w:rPr>
        <w:t>2、财务状况：经会计事务所或审计机构出具的2025年财务审计报告；财务审计报告须有注册会计师签字盖章和公司盖章，并附通过注册会计师行业统一监管平台（http://acc.mof.gov.cn）报备并相应取得全国统一的验证码并提供网页查询截图，财务须状况良好，无资不抵债情况，具有有效履行合同资产能力。不足一年的提供成立以来的财务报表，至少包括资产负债表、利润表、现金流量表及基本账户银行出具的资信证明；并提供完整的有效的财务规章制度。</w:t>
      </w:r>
    </w:p>
    <w:p w14:paraId="52684C29">
      <w:pPr>
        <w:spacing w:before="181" w:line="360" w:lineRule="auto"/>
        <w:ind w:left="1" w:right="120" w:firstLine="490"/>
        <w:outlineLvl w:val="9"/>
        <w:rPr>
          <w:rFonts w:hint="eastAsia" w:ascii="宋体" w:hAnsi="宋体" w:eastAsia="宋体" w:cs="宋体"/>
          <w:spacing w:val="-1"/>
          <w:sz w:val="24"/>
          <w:szCs w:val="24"/>
        </w:rPr>
      </w:pPr>
      <w:r>
        <w:rPr>
          <w:rFonts w:hint="eastAsia" w:ascii="宋体" w:hAnsi="宋体" w:eastAsia="宋体" w:cs="宋体"/>
          <w:spacing w:val="-1"/>
          <w:sz w:val="24"/>
          <w:szCs w:val="24"/>
        </w:rPr>
        <w:t>3、社会保障资金缴纳证明：提供截止开标前6个月已缴存至少1个月的社会保障资金缴存单据或社保机构开具的社会保险参保缴费情况证明，依法不需要缴纳社会保障资金的单位应提供相关证明材料；</w:t>
      </w:r>
    </w:p>
    <w:p w14:paraId="208A3284">
      <w:pPr>
        <w:spacing w:before="181" w:line="360" w:lineRule="auto"/>
        <w:ind w:left="1" w:right="120" w:firstLine="490"/>
        <w:outlineLvl w:val="9"/>
        <w:rPr>
          <w:rFonts w:hint="eastAsia" w:ascii="宋体" w:hAnsi="宋体" w:eastAsia="宋体" w:cs="宋体"/>
          <w:spacing w:val="-1"/>
          <w:sz w:val="24"/>
          <w:szCs w:val="24"/>
        </w:rPr>
      </w:pPr>
      <w:r>
        <w:rPr>
          <w:rFonts w:hint="eastAsia" w:ascii="宋体" w:hAnsi="宋体" w:eastAsia="宋体" w:cs="宋体"/>
          <w:spacing w:val="-1"/>
          <w:sz w:val="24"/>
          <w:szCs w:val="24"/>
        </w:rPr>
        <w:t>4、税收缴纳证明：提供截止开标前6个月已缴存至少一个月的纳税凭证或完税证明，依法免税的单位应提供相关证明材料；</w:t>
      </w:r>
    </w:p>
    <w:p w14:paraId="7AE40F9A">
      <w:pPr>
        <w:spacing w:before="181" w:line="360" w:lineRule="auto"/>
        <w:ind w:left="1" w:right="120" w:firstLine="490"/>
        <w:outlineLvl w:val="9"/>
        <w:rPr>
          <w:rFonts w:hint="eastAsia" w:ascii="宋体" w:hAnsi="宋体" w:eastAsia="宋体" w:cs="宋体"/>
          <w:spacing w:val="-1"/>
          <w:sz w:val="24"/>
          <w:szCs w:val="24"/>
        </w:rPr>
      </w:pPr>
      <w:r>
        <w:rPr>
          <w:rFonts w:hint="eastAsia" w:ascii="宋体" w:hAnsi="宋体" w:eastAsia="宋体" w:cs="宋体"/>
          <w:spacing w:val="-1"/>
          <w:sz w:val="24"/>
          <w:szCs w:val="24"/>
        </w:rPr>
        <w:t>5、参加政府采购活动前3年内经营活动中没有重大违法记录声明书；投标时限内“信用中国”(www.creditchina.gov.cn)网站生成的带水印信用报告，信用中国”网站(www.creditchina.gov.cn)“记录失信被执行人、重大税收违法失信主体、政府采购严重违法失信行为”记录名单查询截图（打印件加盖投标单位公章），不得为中国政府采购网（www.ccgp.gov.cn）政府采购严重违法失信行为记录名单中被财政部门禁止参加政府采购活动的供应商（提供查询结果网页截图并加盖供应商公章）；</w:t>
      </w:r>
    </w:p>
    <w:p w14:paraId="0FACDC94">
      <w:pPr>
        <w:spacing w:before="181" w:line="360" w:lineRule="auto"/>
        <w:ind w:left="1" w:right="120" w:firstLine="490"/>
        <w:outlineLvl w:val="9"/>
        <w:rPr>
          <w:rFonts w:hint="eastAsia" w:ascii="宋体" w:hAnsi="宋体" w:eastAsia="宋体" w:cs="宋体"/>
          <w:spacing w:val="-1"/>
          <w:sz w:val="24"/>
          <w:szCs w:val="24"/>
        </w:rPr>
      </w:pPr>
      <w:r>
        <w:rPr>
          <w:rFonts w:hint="eastAsia" w:ascii="宋体" w:hAnsi="宋体" w:eastAsia="宋体" w:cs="宋体"/>
          <w:spacing w:val="-1"/>
          <w:sz w:val="24"/>
          <w:szCs w:val="24"/>
        </w:rPr>
        <w:t>6、提供榆林市政府采购服务类项目供应商信用承诺书及投标人信用承诺及采购文件中其他必要承诺（以开标现场查验为主）；</w:t>
      </w:r>
    </w:p>
    <w:p w14:paraId="4EABE7FB">
      <w:pPr>
        <w:spacing w:before="181" w:line="360" w:lineRule="auto"/>
        <w:ind w:left="1" w:right="120" w:firstLine="490"/>
        <w:outlineLvl w:val="9"/>
        <w:rPr>
          <w:rFonts w:hint="eastAsia" w:ascii="宋体" w:hAnsi="宋体" w:eastAsia="宋体" w:cs="宋体"/>
          <w:spacing w:val="-1"/>
          <w:sz w:val="24"/>
          <w:szCs w:val="24"/>
        </w:rPr>
      </w:pPr>
      <w:r>
        <w:rPr>
          <w:rFonts w:hint="eastAsia" w:ascii="宋体" w:hAnsi="宋体" w:eastAsia="宋体" w:cs="宋体"/>
          <w:spacing w:val="-1"/>
          <w:sz w:val="24"/>
          <w:szCs w:val="24"/>
        </w:rPr>
        <w:t>7、投标保证金：公示投标信用承诺书（保证金）（承诺书效力和作用等同投标保证金，以开标现场查验为主）；</w:t>
      </w:r>
    </w:p>
    <w:p w14:paraId="07651F5B">
      <w:pPr>
        <w:spacing w:before="181" w:line="360" w:lineRule="auto"/>
        <w:ind w:left="1" w:right="120" w:firstLine="490"/>
        <w:outlineLvl w:val="9"/>
        <w:rPr>
          <w:rFonts w:hint="eastAsia" w:ascii="宋体" w:hAnsi="宋体" w:eastAsia="宋体" w:cs="宋体"/>
          <w:spacing w:val="-1"/>
          <w:sz w:val="24"/>
          <w:szCs w:val="24"/>
        </w:rPr>
      </w:pPr>
      <w:r>
        <w:rPr>
          <w:rFonts w:hint="eastAsia" w:ascii="宋体" w:hAnsi="宋体" w:eastAsia="宋体" w:cs="宋体"/>
          <w:spacing w:val="-1"/>
          <w:sz w:val="24"/>
          <w:szCs w:val="24"/>
        </w:rPr>
        <w:t>8、供应商须具有履行合同所必需的设备和专业技术能力（提供相应的证明资料或承诺函）；</w:t>
      </w:r>
    </w:p>
    <w:p w14:paraId="7F66E1AD">
      <w:pPr>
        <w:spacing w:before="181" w:line="360" w:lineRule="auto"/>
        <w:ind w:left="1" w:right="120" w:firstLine="490"/>
        <w:outlineLvl w:val="9"/>
        <w:rPr>
          <w:rFonts w:hint="eastAsia" w:ascii="宋体" w:hAnsi="宋体" w:eastAsia="宋体" w:cs="宋体"/>
          <w:spacing w:val="-1"/>
          <w:sz w:val="24"/>
          <w:szCs w:val="24"/>
        </w:rPr>
      </w:pPr>
      <w:r>
        <w:rPr>
          <w:rFonts w:hint="eastAsia" w:ascii="宋体" w:hAnsi="宋体" w:eastAsia="宋体" w:cs="宋体"/>
          <w:spacing w:val="-1"/>
          <w:sz w:val="24"/>
          <w:szCs w:val="24"/>
        </w:rPr>
        <w:t>9、本项目不接受联合体投标，单位负责人为同一人或者存在直接控股、管理关系的不同投标人，不得参加同一合同项下的政府采购活动。</w:t>
      </w:r>
    </w:p>
    <w:p w14:paraId="3BBBE1AD">
      <w:pPr>
        <w:spacing w:before="181" w:line="360" w:lineRule="auto"/>
        <w:ind w:left="1" w:right="120" w:firstLine="490"/>
        <w:outlineLvl w:val="9"/>
        <w:rPr>
          <w:rFonts w:hint="eastAsia" w:ascii="宋体" w:hAnsi="宋体" w:eastAsia="宋体" w:cs="宋体"/>
          <w:spacing w:val="-1"/>
          <w:sz w:val="24"/>
          <w:szCs w:val="24"/>
        </w:rPr>
      </w:pPr>
      <w:r>
        <w:rPr>
          <w:rFonts w:hint="eastAsia" w:ascii="宋体" w:hAnsi="宋体" w:eastAsia="宋体" w:cs="宋体"/>
          <w:spacing w:val="-1"/>
          <w:sz w:val="24"/>
          <w:szCs w:val="24"/>
          <w:lang w:val="en-US" w:eastAsia="zh-CN"/>
        </w:rPr>
        <w:t>10</w:t>
      </w:r>
      <w:r>
        <w:rPr>
          <w:rFonts w:hint="eastAsia" w:ascii="宋体" w:hAnsi="宋体" w:eastAsia="宋体" w:cs="宋体"/>
          <w:spacing w:val="-1"/>
          <w:sz w:val="24"/>
          <w:szCs w:val="24"/>
        </w:rPr>
        <w:t>、本项目专门面向中小企业采购，供应商须提供服务类中小企业声明函。（本项目专门面向中小企业采购，残疾人福利性单位、监狱企业投标视同为中小企业，不再单独享受价格扣除，大型企业不可参与。）</w:t>
      </w:r>
    </w:p>
    <w:p w14:paraId="7291CD29">
      <w:pPr>
        <w:spacing w:before="181" w:line="360" w:lineRule="auto"/>
        <w:ind w:left="1" w:right="120" w:firstLine="490"/>
        <w:outlineLvl w:val="9"/>
        <w:rPr>
          <w:rFonts w:hint="eastAsia" w:ascii="宋体" w:hAnsi="宋体" w:eastAsia="宋体" w:cs="宋体"/>
          <w:spacing w:val="-1"/>
          <w:sz w:val="24"/>
          <w:szCs w:val="24"/>
        </w:rPr>
      </w:pPr>
      <w:r>
        <w:rPr>
          <w:rFonts w:hint="eastAsia" w:ascii="宋体" w:hAnsi="宋体" w:eastAsia="宋体" w:cs="宋体"/>
          <w:spacing w:val="-1"/>
          <w:sz w:val="24"/>
          <w:szCs w:val="24"/>
        </w:rPr>
        <w:t>1</w:t>
      </w:r>
      <w:r>
        <w:rPr>
          <w:rFonts w:hint="eastAsia" w:ascii="宋体" w:hAnsi="宋体" w:eastAsia="宋体" w:cs="宋体"/>
          <w:spacing w:val="-1"/>
          <w:sz w:val="24"/>
          <w:szCs w:val="24"/>
          <w:lang w:val="en-US" w:eastAsia="zh-CN"/>
        </w:rPr>
        <w:t>1</w:t>
      </w:r>
      <w:r>
        <w:rPr>
          <w:rFonts w:hint="eastAsia" w:ascii="宋体" w:hAnsi="宋体" w:eastAsia="宋体" w:cs="宋体"/>
          <w:spacing w:val="-1"/>
          <w:sz w:val="24"/>
          <w:szCs w:val="24"/>
        </w:rPr>
        <w:t>、法定代表人授权委托书，法定代表人自行投标，需携带身份证原件，若法定代表人授权委托人前来投标，需携带法定代表人授权委托书并携带身份证原件现场核验。</w:t>
      </w:r>
    </w:p>
    <w:p w14:paraId="32DABA24">
      <w:pPr>
        <w:spacing w:before="181" w:line="360" w:lineRule="auto"/>
        <w:ind w:left="1" w:right="120" w:firstLine="490"/>
        <w:outlineLvl w:val="9"/>
        <w:rPr>
          <w:rFonts w:hint="eastAsia" w:ascii="宋体" w:hAnsi="宋体" w:eastAsia="宋体" w:cs="宋体"/>
          <w:spacing w:val="-1"/>
          <w:sz w:val="24"/>
          <w:szCs w:val="24"/>
        </w:rPr>
      </w:pPr>
      <w:r>
        <w:rPr>
          <w:rFonts w:hint="eastAsia" w:ascii="宋体" w:hAnsi="宋体" w:eastAsia="宋体" w:cs="宋体"/>
          <w:spacing w:val="-1"/>
          <w:sz w:val="24"/>
          <w:szCs w:val="24"/>
        </w:rPr>
        <w:t>三、获取采购文件</w:t>
      </w:r>
    </w:p>
    <w:p w14:paraId="385C34CA">
      <w:pPr>
        <w:spacing w:before="181" w:line="360" w:lineRule="auto"/>
        <w:ind w:left="1" w:right="120" w:firstLine="490"/>
        <w:outlineLvl w:val="9"/>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时间：2026年0</w:t>
      </w:r>
      <w:r>
        <w:rPr>
          <w:rFonts w:hint="eastAsia" w:ascii="宋体" w:hAnsi="宋体" w:eastAsia="宋体" w:cs="宋体"/>
          <w:spacing w:val="-1"/>
          <w:sz w:val="24"/>
          <w:szCs w:val="24"/>
          <w:highlight w:val="none"/>
          <w:lang w:val="en-US" w:eastAsia="zh-CN"/>
        </w:rPr>
        <w:t>9</w:t>
      </w:r>
      <w:r>
        <w:rPr>
          <w:rFonts w:hint="eastAsia" w:ascii="宋体" w:hAnsi="宋体" w:eastAsia="宋体" w:cs="宋体"/>
          <w:spacing w:val="-1"/>
          <w:sz w:val="24"/>
          <w:szCs w:val="24"/>
          <w:highlight w:val="none"/>
        </w:rPr>
        <w:t>月</w:t>
      </w:r>
      <w:r>
        <w:rPr>
          <w:rFonts w:hint="eastAsia" w:ascii="宋体" w:hAnsi="宋体" w:eastAsia="宋体" w:cs="宋体"/>
          <w:spacing w:val="-1"/>
          <w:sz w:val="24"/>
          <w:szCs w:val="24"/>
          <w:highlight w:val="none"/>
          <w:lang w:val="en-US" w:eastAsia="zh-CN"/>
        </w:rPr>
        <w:t>08</w:t>
      </w:r>
      <w:r>
        <w:rPr>
          <w:rFonts w:hint="eastAsia" w:ascii="宋体" w:hAnsi="宋体" w:eastAsia="宋体" w:cs="宋体"/>
          <w:spacing w:val="-1"/>
          <w:sz w:val="24"/>
          <w:szCs w:val="24"/>
          <w:highlight w:val="none"/>
        </w:rPr>
        <w:t>日至2026年0</w:t>
      </w:r>
      <w:r>
        <w:rPr>
          <w:rFonts w:hint="eastAsia" w:ascii="宋体" w:hAnsi="宋体" w:eastAsia="宋体" w:cs="宋体"/>
          <w:spacing w:val="-1"/>
          <w:sz w:val="24"/>
          <w:szCs w:val="24"/>
          <w:highlight w:val="none"/>
          <w:lang w:val="en-US" w:eastAsia="zh-CN"/>
        </w:rPr>
        <w:t>9</w:t>
      </w:r>
      <w:r>
        <w:rPr>
          <w:rFonts w:hint="eastAsia" w:ascii="宋体" w:hAnsi="宋体" w:eastAsia="宋体" w:cs="宋体"/>
          <w:spacing w:val="-1"/>
          <w:sz w:val="24"/>
          <w:szCs w:val="24"/>
          <w:highlight w:val="none"/>
        </w:rPr>
        <w:t>月</w:t>
      </w:r>
      <w:r>
        <w:rPr>
          <w:rFonts w:hint="eastAsia" w:ascii="宋体" w:hAnsi="宋体" w:eastAsia="宋体" w:cs="宋体"/>
          <w:spacing w:val="-1"/>
          <w:sz w:val="24"/>
          <w:szCs w:val="24"/>
          <w:highlight w:val="none"/>
          <w:lang w:val="en-US" w:eastAsia="zh-CN"/>
        </w:rPr>
        <w:t>10</w:t>
      </w:r>
      <w:r>
        <w:rPr>
          <w:rFonts w:hint="eastAsia" w:ascii="宋体" w:hAnsi="宋体" w:eastAsia="宋体" w:cs="宋体"/>
          <w:spacing w:val="-1"/>
          <w:sz w:val="24"/>
          <w:szCs w:val="24"/>
          <w:highlight w:val="none"/>
        </w:rPr>
        <w:t>日，每天上午0</w:t>
      </w:r>
      <w:r>
        <w:rPr>
          <w:rFonts w:hint="eastAsia" w:ascii="宋体" w:hAnsi="宋体" w:eastAsia="宋体" w:cs="宋体"/>
          <w:spacing w:val="-1"/>
          <w:sz w:val="24"/>
          <w:szCs w:val="24"/>
          <w:highlight w:val="none"/>
          <w:lang w:val="en-US" w:eastAsia="zh-CN"/>
        </w:rPr>
        <w:t>9</w:t>
      </w:r>
      <w:r>
        <w:rPr>
          <w:rFonts w:hint="eastAsia" w:ascii="宋体" w:hAnsi="宋体" w:eastAsia="宋体" w:cs="宋体"/>
          <w:spacing w:val="-1"/>
          <w:sz w:val="24"/>
          <w:szCs w:val="24"/>
          <w:highlight w:val="none"/>
        </w:rPr>
        <w:t>:</w:t>
      </w:r>
      <w:r>
        <w:rPr>
          <w:rFonts w:hint="eastAsia" w:ascii="宋体" w:hAnsi="宋体" w:eastAsia="宋体" w:cs="宋体"/>
          <w:spacing w:val="-1"/>
          <w:sz w:val="24"/>
          <w:szCs w:val="24"/>
          <w:highlight w:val="none"/>
          <w:lang w:val="en-US" w:eastAsia="zh-CN"/>
        </w:rPr>
        <w:t>3</w:t>
      </w:r>
      <w:r>
        <w:rPr>
          <w:rFonts w:hint="eastAsia" w:ascii="宋体" w:hAnsi="宋体" w:eastAsia="宋体" w:cs="宋体"/>
          <w:spacing w:val="-1"/>
          <w:sz w:val="24"/>
          <w:szCs w:val="24"/>
          <w:highlight w:val="none"/>
        </w:rPr>
        <w:t>0:00至12:00:00，下午</w:t>
      </w:r>
      <w:r>
        <w:rPr>
          <w:rFonts w:hint="eastAsia" w:ascii="宋体" w:hAnsi="宋体" w:eastAsia="宋体" w:cs="宋体"/>
          <w:spacing w:val="-1"/>
          <w:sz w:val="24"/>
          <w:szCs w:val="24"/>
          <w:highlight w:val="none"/>
          <w:lang w:val="en-US" w:eastAsia="zh-CN"/>
        </w:rPr>
        <w:t>14</w:t>
      </w:r>
      <w:r>
        <w:rPr>
          <w:rFonts w:hint="eastAsia" w:ascii="宋体" w:hAnsi="宋体" w:eastAsia="宋体" w:cs="宋体"/>
          <w:spacing w:val="-1"/>
          <w:sz w:val="24"/>
          <w:szCs w:val="24"/>
          <w:highlight w:val="none"/>
        </w:rPr>
        <w:t>:00:00至1</w:t>
      </w:r>
      <w:r>
        <w:rPr>
          <w:rFonts w:hint="eastAsia" w:ascii="宋体" w:hAnsi="宋体" w:eastAsia="宋体" w:cs="宋体"/>
          <w:spacing w:val="-1"/>
          <w:sz w:val="24"/>
          <w:szCs w:val="24"/>
          <w:highlight w:val="none"/>
          <w:lang w:val="en-US" w:eastAsia="zh-CN"/>
        </w:rPr>
        <w:t>7</w:t>
      </w:r>
      <w:r>
        <w:rPr>
          <w:rFonts w:hint="eastAsia" w:ascii="宋体" w:hAnsi="宋体" w:eastAsia="宋体" w:cs="宋体"/>
          <w:spacing w:val="-1"/>
          <w:sz w:val="24"/>
          <w:szCs w:val="24"/>
          <w:highlight w:val="none"/>
        </w:rPr>
        <w:t>:00:00（北京时间）</w:t>
      </w:r>
    </w:p>
    <w:p w14:paraId="3ED6A290">
      <w:pPr>
        <w:spacing w:before="181" w:line="360" w:lineRule="auto"/>
        <w:ind w:left="1" w:right="120" w:firstLine="490"/>
        <w:outlineLvl w:val="9"/>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途径：在全国公共资源交易中心平台(陕西省)使用CA锁报名后。</w:t>
      </w:r>
    </w:p>
    <w:p w14:paraId="49C2420B">
      <w:pPr>
        <w:spacing w:before="181" w:line="360" w:lineRule="auto"/>
        <w:ind w:left="1" w:right="120" w:firstLine="490"/>
        <w:outlineLvl w:val="9"/>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方式：现场获取</w:t>
      </w:r>
    </w:p>
    <w:p w14:paraId="65BEA95A">
      <w:pPr>
        <w:spacing w:before="181" w:line="360" w:lineRule="auto"/>
        <w:ind w:left="1" w:right="120" w:firstLine="490"/>
        <w:outlineLvl w:val="9"/>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售价：0元</w:t>
      </w:r>
    </w:p>
    <w:p w14:paraId="30752FFA">
      <w:pPr>
        <w:spacing w:before="181" w:line="360" w:lineRule="auto"/>
        <w:ind w:left="1" w:right="120" w:firstLine="490"/>
        <w:outlineLvl w:val="9"/>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四、响应文件提交</w:t>
      </w:r>
    </w:p>
    <w:p w14:paraId="4905BA51">
      <w:pPr>
        <w:spacing w:before="181" w:line="360" w:lineRule="auto"/>
        <w:ind w:left="1" w:right="120" w:firstLine="490"/>
        <w:outlineLvl w:val="9"/>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截止时间：2026年0</w:t>
      </w:r>
      <w:r>
        <w:rPr>
          <w:rFonts w:hint="eastAsia" w:ascii="宋体" w:hAnsi="宋体" w:eastAsia="宋体" w:cs="宋体"/>
          <w:spacing w:val="-1"/>
          <w:sz w:val="24"/>
          <w:szCs w:val="24"/>
          <w:highlight w:val="none"/>
          <w:lang w:val="en-US" w:eastAsia="zh-CN"/>
        </w:rPr>
        <w:t>9</w:t>
      </w:r>
      <w:r>
        <w:rPr>
          <w:rFonts w:hint="eastAsia" w:ascii="宋体" w:hAnsi="宋体" w:eastAsia="宋体" w:cs="宋体"/>
          <w:spacing w:val="-1"/>
          <w:sz w:val="24"/>
          <w:szCs w:val="24"/>
          <w:highlight w:val="none"/>
        </w:rPr>
        <w:t>月</w:t>
      </w:r>
      <w:r>
        <w:rPr>
          <w:rFonts w:hint="eastAsia" w:ascii="宋体" w:hAnsi="宋体" w:eastAsia="宋体" w:cs="宋体"/>
          <w:spacing w:val="-1"/>
          <w:sz w:val="24"/>
          <w:szCs w:val="24"/>
          <w:highlight w:val="none"/>
          <w:lang w:val="en-US" w:eastAsia="zh-CN"/>
        </w:rPr>
        <w:t>11</w:t>
      </w:r>
      <w:r>
        <w:rPr>
          <w:rFonts w:hint="eastAsia" w:ascii="宋体" w:hAnsi="宋体" w:eastAsia="宋体" w:cs="宋体"/>
          <w:spacing w:val="-1"/>
          <w:sz w:val="24"/>
          <w:szCs w:val="24"/>
          <w:highlight w:val="none"/>
        </w:rPr>
        <w:t>日</w:t>
      </w:r>
      <w:r>
        <w:rPr>
          <w:rFonts w:hint="eastAsia" w:ascii="宋体" w:hAnsi="宋体" w:eastAsia="宋体" w:cs="宋体"/>
          <w:spacing w:val="-1"/>
          <w:sz w:val="24"/>
          <w:szCs w:val="24"/>
          <w:highlight w:val="none"/>
          <w:lang w:val="en-US" w:eastAsia="zh-CN"/>
        </w:rPr>
        <w:t>09</w:t>
      </w:r>
      <w:r>
        <w:rPr>
          <w:rFonts w:hint="eastAsia" w:ascii="宋体" w:hAnsi="宋体" w:eastAsia="宋体" w:cs="宋体"/>
          <w:spacing w:val="-1"/>
          <w:sz w:val="24"/>
          <w:szCs w:val="24"/>
          <w:highlight w:val="none"/>
        </w:rPr>
        <w:t>时30分00秒（北京时间）</w:t>
      </w:r>
    </w:p>
    <w:p w14:paraId="69139516">
      <w:pPr>
        <w:spacing w:before="181" w:line="360" w:lineRule="auto"/>
        <w:ind w:left="1" w:right="120" w:firstLine="490"/>
        <w:outlineLvl w:val="9"/>
        <w:rPr>
          <w:rFonts w:hint="eastAsia" w:ascii="宋体" w:hAnsi="宋体" w:eastAsia="宋体" w:cs="宋体"/>
          <w:spacing w:val="-1"/>
          <w:sz w:val="24"/>
          <w:szCs w:val="24"/>
          <w:highlight w:val="none"/>
          <w:lang w:eastAsia="zh-CN"/>
        </w:rPr>
      </w:pPr>
      <w:r>
        <w:rPr>
          <w:rFonts w:hint="eastAsia" w:ascii="宋体" w:hAnsi="宋体" w:eastAsia="宋体" w:cs="宋体"/>
          <w:spacing w:val="-1"/>
          <w:sz w:val="24"/>
          <w:szCs w:val="24"/>
          <w:highlight w:val="none"/>
        </w:rPr>
        <w:t>地点：</w:t>
      </w:r>
      <w:r>
        <w:rPr>
          <w:rFonts w:hint="eastAsia" w:ascii="宋体" w:hAnsi="宋体" w:eastAsia="宋体" w:cs="宋体"/>
          <w:spacing w:val="-1"/>
          <w:sz w:val="24"/>
          <w:szCs w:val="24"/>
          <w:highlight w:val="none"/>
          <w:lang w:eastAsia="zh-CN"/>
        </w:rPr>
        <w:t>绥德县世纪家美酒店</w:t>
      </w:r>
      <w:r>
        <w:rPr>
          <w:rFonts w:hint="eastAsia" w:ascii="宋体" w:hAnsi="宋体" w:eastAsia="宋体" w:cs="宋体"/>
          <w:spacing w:val="-1"/>
          <w:sz w:val="24"/>
          <w:szCs w:val="24"/>
          <w:highlight w:val="none"/>
          <w:lang w:val="en-US" w:eastAsia="zh-CN"/>
        </w:rPr>
        <w:t>华贵厅</w:t>
      </w:r>
      <w:r>
        <w:rPr>
          <w:rFonts w:hint="eastAsia" w:ascii="宋体" w:hAnsi="宋体" w:eastAsia="宋体" w:cs="宋体"/>
          <w:spacing w:val="-1"/>
          <w:sz w:val="24"/>
          <w:szCs w:val="24"/>
          <w:highlight w:val="none"/>
          <w:lang w:eastAsia="zh-CN"/>
        </w:rPr>
        <w:t>会议室</w:t>
      </w:r>
    </w:p>
    <w:p w14:paraId="56171C49">
      <w:pPr>
        <w:spacing w:before="181" w:line="360" w:lineRule="auto"/>
        <w:ind w:left="1" w:right="120" w:firstLine="490"/>
        <w:outlineLvl w:val="9"/>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五、开启</w:t>
      </w:r>
    </w:p>
    <w:p w14:paraId="24D73E36">
      <w:pPr>
        <w:spacing w:before="181" w:line="360" w:lineRule="auto"/>
        <w:ind w:left="1" w:right="120" w:firstLine="490"/>
        <w:outlineLvl w:val="9"/>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时间：2026年0</w:t>
      </w:r>
      <w:r>
        <w:rPr>
          <w:rFonts w:hint="eastAsia" w:ascii="宋体" w:hAnsi="宋体" w:eastAsia="宋体" w:cs="宋体"/>
          <w:spacing w:val="-1"/>
          <w:sz w:val="24"/>
          <w:szCs w:val="24"/>
          <w:highlight w:val="none"/>
          <w:lang w:val="en-US" w:eastAsia="zh-CN"/>
        </w:rPr>
        <w:t>9</w:t>
      </w:r>
      <w:r>
        <w:rPr>
          <w:rFonts w:hint="eastAsia" w:ascii="宋体" w:hAnsi="宋体" w:eastAsia="宋体" w:cs="宋体"/>
          <w:spacing w:val="-1"/>
          <w:sz w:val="24"/>
          <w:szCs w:val="24"/>
          <w:highlight w:val="none"/>
        </w:rPr>
        <w:t>月</w:t>
      </w:r>
      <w:r>
        <w:rPr>
          <w:rFonts w:hint="eastAsia" w:ascii="宋体" w:hAnsi="宋体" w:eastAsia="宋体" w:cs="宋体"/>
          <w:spacing w:val="-1"/>
          <w:sz w:val="24"/>
          <w:szCs w:val="24"/>
          <w:highlight w:val="none"/>
          <w:lang w:val="en-US" w:eastAsia="zh-CN"/>
        </w:rPr>
        <w:t>11</w:t>
      </w:r>
      <w:r>
        <w:rPr>
          <w:rFonts w:hint="eastAsia" w:ascii="宋体" w:hAnsi="宋体" w:eastAsia="宋体" w:cs="宋体"/>
          <w:spacing w:val="-1"/>
          <w:sz w:val="24"/>
          <w:szCs w:val="24"/>
          <w:highlight w:val="none"/>
        </w:rPr>
        <w:t>日</w:t>
      </w:r>
      <w:r>
        <w:rPr>
          <w:rFonts w:hint="eastAsia" w:ascii="宋体" w:hAnsi="宋体" w:eastAsia="宋体" w:cs="宋体"/>
          <w:spacing w:val="-1"/>
          <w:sz w:val="24"/>
          <w:szCs w:val="24"/>
          <w:highlight w:val="none"/>
          <w:lang w:val="en-US" w:eastAsia="zh-CN"/>
        </w:rPr>
        <w:t>09</w:t>
      </w:r>
      <w:r>
        <w:rPr>
          <w:rFonts w:hint="eastAsia" w:ascii="宋体" w:hAnsi="宋体" w:eastAsia="宋体" w:cs="宋体"/>
          <w:spacing w:val="-1"/>
          <w:sz w:val="24"/>
          <w:szCs w:val="24"/>
          <w:highlight w:val="none"/>
        </w:rPr>
        <w:t>时30分00秒（北京时间）</w:t>
      </w:r>
    </w:p>
    <w:p w14:paraId="674B3A07">
      <w:pPr>
        <w:spacing w:before="181" w:line="360" w:lineRule="auto"/>
        <w:ind w:left="1" w:right="120" w:firstLine="490"/>
        <w:outlineLvl w:val="9"/>
        <w:rPr>
          <w:rFonts w:hint="eastAsia" w:ascii="宋体" w:hAnsi="宋体" w:eastAsia="宋体" w:cs="宋体"/>
          <w:spacing w:val="-1"/>
          <w:sz w:val="24"/>
          <w:szCs w:val="24"/>
          <w:highlight w:val="none"/>
          <w:lang w:eastAsia="zh-CN"/>
        </w:rPr>
      </w:pPr>
      <w:r>
        <w:rPr>
          <w:rFonts w:hint="eastAsia" w:ascii="宋体" w:hAnsi="宋体" w:eastAsia="宋体" w:cs="宋体"/>
          <w:spacing w:val="-1"/>
          <w:sz w:val="24"/>
          <w:szCs w:val="24"/>
          <w:highlight w:val="none"/>
        </w:rPr>
        <w:t>地点：</w:t>
      </w:r>
      <w:r>
        <w:rPr>
          <w:rFonts w:hint="eastAsia" w:ascii="宋体" w:hAnsi="宋体" w:eastAsia="宋体" w:cs="宋体"/>
          <w:spacing w:val="-1"/>
          <w:sz w:val="24"/>
          <w:szCs w:val="24"/>
          <w:highlight w:val="none"/>
          <w:lang w:eastAsia="zh-CN"/>
        </w:rPr>
        <w:t>绥德县世纪家美酒店</w:t>
      </w:r>
      <w:r>
        <w:rPr>
          <w:rFonts w:hint="eastAsia" w:ascii="宋体" w:hAnsi="宋体" w:eastAsia="宋体" w:cs="宋体"/>
          <w:spacing w:val="-1"/>
          <w:sz w:val="24"/>
          <w:szCs w:val="24"/>
          <w:highlight w:val="none"/>
          <w:lang w:val="en-US" w:eastAsia="zh-CN"/>
        </w:rPr>
        <w:t>华贵厅</w:t>
      </w:r>
      <w:r>
        <w:rPr>
          <w:rFonts w:hint="eastAsia" w:ascii="宋体" w:hAnsi="宋体" w:eastAsia="宋体" w:cs="宋体"/>
          <w:spacing w:val="-1"/>
          <w:sz w:val="24"/>
          <w:szCs w:val="24"/>
          <w:highlight w:val="none"/>
          <w:lang w:eastAsia="zh-CN"/>
        </w:rPr>
        <w:t>会议室</w:t>
      </w:r>
    </w:p>
    <w:p w14:paraId="59BCD881">
      <w:pPr>
        <w:spacing w:before="181" w:line="360" w:lineRule="auto"/>
        <w:ind w:left="1" w:right="120" w:firstLine="490"/>
        <w:outlineLvl w:val="9"/>
        <w:rPr>
          <w:rFonts w:hint="eastAsia" w:ascii="宋体" w:hAnsi="宋体" w:eastAsia="宋体" w:cs="宋体"/>
          <w:spacing w:val="-1"/>
          <w:sz w:val="24"/>
          <w:szCs w:val="24"/>
        </w:rPr>
      </w:pPr>
      <w:r>
        <w:rPr>
          <w:rFonts w:hint="eastAsia" w:ascii="宋体" w:hAnsi="宋体" w:eastAsia="宋体" w:cs="宋体"/>
          <w:spacing w:val="-1"/>
          <w:sz w:val="24"/>
          <w:szCs w:val="24"/>
        </w:rPr>
        <w:t>六、公告期限</w:t>
      </w:r>
    </w:p>
    <w:p w14:paraId="0E395375">
      <w:pPr>
        <w:spacing w:before="181" w:line="360" w:lineRule="auto"/>
        <w:ind w:left="1" w:right="120" w:firstLine="490"/>
        <w:outlineLvl w:val="9"/>
        <w:rPr>
          <w:rFonts w:hint="eastAsia" w:ascii="宋体" w:hAnsi="宋体" w:eastAsia="宋体" w:cs="宋体"/>
          <w:spacing w:val="-1"/>
          <w:sz w:val="24"/>
          <w:szCs w:val="24"/>
        </w:rPr>
      </w:pPr>
      <w:r>
        <w:rPr>
          <w:rFonts w:hint="eastAsia" w:ascii="宋体" w:hAnsi="宋体" w:eastAsia="宋体" w:cs="宋体"/>
          <w:spacing w:val="-1"/>
          <w:sz w:val="24"/>
          <w:szCs w:val="24"/>
        </w:rPr>
        <w:t>自本公告发布之日起3个工作日。</w:t>
      </w:r>
    </w:p>
    <w:p w14:paraId="20F9FAEC">
      <w:pPr>
        <w:spacing w:before="181" w:line="360" w:lineRule="auto"/>
        <w:ind w:left="1" w:right="120" w:firstLine="490"/>
        <w:outlineLvl w:val="9"/>
        <w:rPr>
          <w:rFonts w:hint="eastAsia" w:ascii="宋体" w:hAnsi="宋体" w:eastAsia="宋体" w:cs="宋体"/>
          <w:spacing w:val="-1"/>
          <w:sz w:val="24"/>
          <w:szCs w:val="24"/>
        </w:rPr>
      </w:pPr>
      <w:r>
        <w:rPr>
          <w:rFonts w:hint="eastAsia" w:ascii="宋体" w:hAnsi="宋体" w:eastAsia="宋体" w:cs="宋体"/>
          <w:spacing w:val="-1"/>
          <w:sz w:val="24"/>
          <w:szCs w:val="24"/>
        </w:rPr>
        <w:t>七、其他补充事宜</w:t>
      </w:r>
    </w:p>
    <w:p w14:paraId="66308CC6">
      <w:pPr>
        <w:spacing w:before="181" w:line="360" w:lineRule="auto"/>
        <w:ind w:left="1" w:right="120" w:firstLine="490"/>
        <w:outlineLvl w:val="9"/>
        <w:rPr>
          <w:rFonts w:hint="eastAsia" w:ascii="宋体" w:hAnsi="宋体" w:eastAsia="宋体" w:cs="宋体"/>
          <w:spacing w:val="-1"/>
          <w:sz w:val="24"/>
          <w:szCs w:val="24"/>
        </w:rPr>
      </w:pPr>
      <w:r>
        <w:rPr>
          <w:rFonts w:hint="eastAsia" w:ascii="宋体" w:hAnsi="宋体" w:eastAsia="宋体" w:cs="宋体"/>
          <w:spacing w:val="-1"/>
          <w:sz w:val="24"/>
          <w:szCs w:val="24"/>
        </w:rPr>
        <w:t>1.供应商可登录全国公共资源交易中心平台（陕西省）(http://www.sxggzyjy.cn/),选择“电子交易平台-陕西政府采购交易系统-陕西省公共资源交易平台-供应商”进行登录，登录后选择“交易乙方”身份进入供应商界面进行报名。</w:t>
      </w:r>
    </w:p>
    <w:p w14:paraId="3033F7CD">
      <w:pPr>
        <w:spacing w:before="181" w:line="360" w:lineRule="auto"/>
        <w:ind w:left="1" w:right="120" w:firstLine="490"/>
        <w:outlineLvl w:val="9"/>
        <w:rPr>
          <w:rFonts w:hint="eastAsia" w:ascii="宋体" w:hAnsi="宋体" w:eastAsia="宋体" w:cs="宋体"/>
          <w:spacing w:val="-1"/>
          <w:sz w:val="24"/>
          <w:szCs w:val="24"/>
        </w:rPr>
      </w:pPr>
      <w:r>
        <w:rPr>
          <w:rFonts w:hint="eastAsia" w:ascii="宋体" w:hAnsi="宋体" w:eastAsia="宋体" w:cs="宋体"/>
          <w:spacing w:val="-1"/>
          <w:sz w:val="24"/>
          <w:szCs w:val="24"/>
        </w:rPr>
        <w:t>2.CA办理：供应商未办理陕西省公共资源交易中心CA锁的供应商可到榆林市民大厦三楼E18、E19窗口，联系电话：0912-3452148；或下载手机APP：陕公共资源交易服务，线上购买；或西安市高新三路信息港大厦一楼办事大厅办理，咨询电话、029-88661241或4006-369-888（陕西CA联系电话）。</w:t>
      </w:r>
    </w:p>
    <w:p w14:paraId="3FEC320C">
      <w:pPr>
        <w:spacing w:before="181" w:line="360" w:lineRule="auto"/>
        <w:ind w:left="1" w:right="120" w:firstLine="490"/>
        <w:outlineLvl w:val="9"/>
        <w:rPr>
          <w:rFonts w:hint="eastAsia" w:ascii="宋体" w:hAnsi="宋体" w:eastAsia="宋体" w:cs="宋体"/>
          <w:spacing w:val="-1"/>
          <w:sz w:val="24"/>
          <w:szCs w:val="24"/>
        </w:rPr>
      </w:pPr>
      <w:r>
        <w:rPr>
          <w:rFonts w:hint="eastAsia" w:ascii="宋体" w:hAnsi="宋体" w:eastAsia="宋体" w:cs="宋体"/>
          <w:spacing w:val="-1"/>
          <w:sz w:val="24"/>
          <w:szCs w:val="24"/>
        </w:rPr>
        <w:t>3.请各供应商获取谈判文件后，按照陕西省财政厅《关于政府采购投标供应商注册登记有关事项的通知》要求，通过陕西省政府采购注册登记加入陕西省政府采购投标供应商库。</w:t>
      </w:r>
    </w:p>
    <w:p w14:paraId="1AC44BC5">
      <w:pPr>
        <w:spacing w:before="181" w:line="360" w:lineRule="auto"/>
        <w:ind w:left="1" w:right="120" w:firstLine="490"/>
        <w:outlineLvl w:val="9"/>
        <w:rPr>
          <w:rFonts w:hint="eastAsia" w:ascii="宋体" w:hAnsi="宋体" w:eastAsia="宋体" w:cs="宋体"/>
          <w:spacing w:val="-1"/>
          <w:sz w:val="24"/>
          <w:szCs w:val="24"/>
        </w:rPr>
      </w:pPr>
      <w:r>
        <w:rPr>
          <w:rFonts w:hint="eastAsia" w:ascii="宋体" w:hAnsi="宋体" w:eastAsia="宋体" w:cs="宋体"/>
          <w:spacing w:val="-1"/>
          <w:sz w:val="24"/>
          <w:szCs w:val="24"/>
        </w:rPr>
        <w:t>4、线上报名与线下报名需同时进行，供应商网上投标确认成功后，持网上投标确认回执单、单位介绍信原件、经办人身份证原件、复印件至采购代理机构</w:t>
      </w:r>
      <w:r>
        <w:rPr>
          <w:rFonts w:hint="eastAsia" w:ascii="宋体" w:hAnsi="宋体" w:eastAsia="宋体" w:cs="宋体"/>
          <w:spacing w:val="-1"/>
          <w:sz w:val="24"/>
          <w:szCs w:val="24"/>
          <w:lang w:eastAsia="zh-CN"/>
        </w:rPr>
        <w:t>陕西鸿茂鑫晟建设项目管理有限公司</w:t>
      </w:r>
      <w:r>
        <w:rPr>
          <w:rFonts w:hint="eastAsia" w:ascii="宋体" w:hAnsi="宋体" w:eastAsia="宋体" w:cs="宋体"/>
          <w:spacing w:val="-1"/>
          <w:sz w:val="24"/>
          <w:szCs w:val="24"/>
        </w:rPr>
        <w:t>(</w:t>
      </w:r>
      <w:r>
        <w:rPr>
          <w:rFonts w:hint="eastAsia" w:ascii="宋体" w:hAnsi="宋体" w:eastAsia="宋体" w:cs="宋体"/>
          <w:spacing w:val="-1"/>
          <w:sz w:val="24"/>
          <w:szCs w:val="24"/>
          <w:lang w:eastAsia="zh-CN"/>
        </w:rPr>
        <w:t>西安市雁塔区太白南路紫薇尚层西一楼一单元605室</w:t>
      </w:r>
      <w:r>
        <w:rPr>
          <w:rFonts w:hint="eastAsia" w:ascii="宋体" w:hAnsi="宋体" w:eastAsia="宋体" w:cs="宋体"/>
          <w:spacing w:val="-1"/>
          <w:sz w:val="24"/>
          <w:szCs w:val="24"/>
        </w:rPr>
        <w:t>）进行确认，以上材料均需加盖单位原色印章（谢绝邮寄）。投标确认时间：</w:t>
      </w:r>
      <w:r>
        <w:rPr>
          <w:rFonts w:hint="eastAsia" w:ascii="宋体" w:hAnsi="宋体" w:eastAsia="宋体" w:cs="宋体"/>
          <w:spacing w:val="-1"/>
          <w:sz w:val="24"/>
          <w:szCs w:val="24"/>
          <w:highlight w:val="none"/>
        </w:rPr>
        <w:t>2026年0</w:t>
      </w:r>
      <w:r>
        <w:rPr>
          <w:rFonts w:hint="eastAsia" w:ascii="宋体" w:hAnsi="宋体" w:eastAsia="宋体" w:cs="宋体"/>
          <w:spacing w:val="-1"/>
          <w:sz w:val="24"/>
          <w:szCs w:val="24"/>
          <w:highlight w:val="none"/>
          <w:lang w:val="en-US" w:eastAsia="zh-CN"/>
        </w:rPr>
        <w:t>9</w:t>
      </w:r>
      <w:r>
        <w:rPr>
          <w:rFonts w:hint="eastAsia" w:ascii="宋体" w:hAnsi="宋体" w:eastAsia="宋体" w:cs="宋体"/>
          <w:spacing w:val="-1"/>
          <w:sz w:val="24"/>
          <w:szCs w:val="24"/>
          <w:highlight w:val="none"/>
        </w:rPr>
        <w:t>月</w:t>
      </w:r>
      <w:r>
        <w:rPr>
          <w:rFonts w:hint="eastAsia" w:ascii="宋体" w:hAnsi="宋体" w:eastAsia="宋体" w:cs="宋体"/>
          <w:spacing w:val="-1"/>
          <w:sz w:val="24"/>
          <w:szCs w:val="24"/>
          <w:highlight w:val="none"/>
          <w:lang w:val="en-US" w:eastAsia="zh-CN"/>
        </w:rPr>
        <w:t>8</w:t>
      </w:r>
      <w:r>
        <w:rPr>
          <w:rFonts w:hint="eastAsia" w:ascii="宋体" w:hAnsi="宋体" w:eastAsia="宋体" w:cs="宋体"/>
          <w:spacing w:val="-1"/>
          <w:sz w:val="24"/>
          <w:szCs w:val="24"/>
          <w:highlight w:val="none"/>
        </w:rPr>
        <w:t>日至2026年0</w:t>
      </w:r>
      <w:r>
        <w:rPr>
          <w:rFonts w:hint="eastAsia" w:ascii="宋体" w:hAnsi="宋体" w:eastAsia="宋体" w:cs="宋体"/>
          <w:spacing w:val="-1"/>
          <w:sz w:val="24"/>
          <w:szCs w:val="24"/>
          <w:highlight w:val="none"/>
          <w:lang w:val="en-US" w:eastAsia="zh-CN"/>
        </w:rPr>
        <w:t>9</w:t>
      </w:r>
      <w:r>
        <w:rPr>
          <w:rFonts w:hint="eastAsia" w:ascii="宋体" w:hAnsi="宋体" w:eastAsia="宋体" w:cs="宋体"/>
          <w:spacing w:val="-1"/>
          <w:sz w:val="24"/>
          <w:szCs w:val="24"/>
          <w:highlight w:val="none"/>
        </w:rPr>
        <w:t>月</w:t>
      </w:r>
      <w:r>
        <w:rPr>
          <w:rFonts w:hint="eastAsia" w:ascii="宋体" w:hAnsi="宋体" w:eastAsia="宋体" w:cs="宋体"/>
          <w:spacing w:val="-1"/>
          <w:sz w:val="24"/>
          <w:szCs w:val="24"/>
          <w:highlight w:val="none"/>
          <w:lang w:val="en-US" w:eastAsia="zh-CN"/>
        </w:rPr>
        <w:t>10</w:t>
      </w:r>
      <w:bookmarkStart w:id="17" w:name="_GoBack"/>
      <w:bookmarkEnd w:id="17"/>
      <w:r>
        <w:rPr>
          <w:rFonts w:hint="eastAsia" w:ascii="宋体" w:hAnsi="宋体" w:eastAsia="宋体" w:cs="宋体"/>
          <w:spacing w:val="-1"/>
          <w:sz w:val="24"/>
          <w:szCs w:val="24"/>
          <w:highlight w:val="none"/>
        </w:rPr>
        <w:t>日每天上午08:00至12:00，下午14:00至1</w:t>
      </w:r>
      <w:r>
        <w:rPr>
          <w:rFonts w:hint="eastAsia" w:ascii="宋体" w:hAnsi="宋体" w:eastAsia="宋体" w:cs="宋体"/>
          <w:spacing w:val="-1"/>
          <w:sz w:val="24"/>
          <w:szCs w:val="24"/>
          <w:highlight w:val="none"/>
          <w:lang w:val="en-US" w:eastAsia="zh-CN"/>
        </w:rPr>
        <w:t>7</w:t>
      </w:r>
      <w:r>
        <w:rPr>
          <w:rFonts w:hint="eastAsia" w:ascii="宋体" w:hAnsi="宋体" w:eastAsia="宋体" w:cs="宋体"/>
          <w:spacing w:val="-1"/>
          <w:sz w:val="24"/>
          <w:szCs w:val="24"/>
          <w:highlight w:val="none"/>
        </w:rPr>
        <w:t>:00（北京时间），</w:t>
      </w:r>
      <w:r>
        <w:rPr>
          <w:rFonts w:hint="eastAsia" w:ascii="宋体" w:hAnsi="宋体" w:eastAsia="宋体" w:cs="宋体"/>
          <w:spacing w:val="-1"/>
          <w:sz w:val="24"/>
          <w:szCs w:val="24"/>
        </w:rPr>
        <w:t>线上与线下报名信息须一致，否则视为报名无效。</w:t>
      </w:r>
    </w:p>
    <w:p w14:paraId="19D4388A">
      <w:pPr>
        <w:spacing w:before="181" w:line="360" w:lineRule="auto"/>
        <w:ind w:left="1" w:right="120" w:firstLine="490"/>
        <w:outlineLvl w:val="9"/>
        <w:rPr>
          <w:rFonts w:hint="eastAsia" w:ascii="宋体" w:hAnsi="宋体" w:eastAsia="宋体" w:cs="宋体"/>
          <w:spacing w:val="-1"/>
          <w:sz w:val="24"/>
          <w:szCs w:val="24"/>
        </w:rPr>
      </w:pPr>
      <w:r>
        <w:rPr>
          <w:rFonts w:hint="eastAsia" w:ascii="宋体" w:hAnsi="宋体" w:eastAsia="宋体" w:cs="宋体"/>
          <w:spacing w:val="-1"/>
          <w:sz w:val="24"/>
          <w:szCs w:val="24"/>
        </w:rPr>
        <w:t>八、对本次招标提出询问，请按以下方式联系。</w:t>
      </w:r>
    </w:p>
    <w:p w14:paraId="1DC61854">
      <w:pPr>
        <w:spacing w:before="181" w:line="360" w:lineRule="auto"/>
        <w:ind w:left="1" w:right="120" w:firstLine="490"/>
        <w:outlineLvl w:val="9"/>
        <w:rPr>
          <w:rFonts w:hint="eastAsia" w:ascii="宋体" w:hAnsi="宋体" w:eastAsia="宋体" w:cs="宋体"/>
          <w:spacing w:val="-1"/>
          <w:sz w:val="24"/>
          <w:szCs w:val="24"/>
        </w:rPr>
      </w:pPr>
      <w:r>
        <w:rPr>
          <w:rFonts w:hint="eastAsia" w:ascii="宋体" w:hAnsi="宋体" w:eastAsia="宋体" w:cs="宋体"/>
          <w:spacing w:val="-1"/>
          <w:sz w:val="24"/>
          <w:szCs w:val="24"/>
        </w:rPr>
        <w:t>1.采购人信息</w:t>
      </w:r>
    </w:p>
    <w:p w14:paraId="6397F90C">
      <w:pPr>
        <w:spacing w:before="181" w:line="360" w:lineRule="auto"/>
        <w:ind w:left="1" w:right="120" w:firstLine="490"/>
        <w:outlineLvl w:val="9"/>
        <w:rPr>
          <w:rFonts w:hint="eastAsia" w:ascii="宋体" w:hAnsi="宋体" w:eastAsia="宋体" w:cs="宋体"/>
          <w:spacing w:val="-1"/>
          <w:sz w:val="24"/>
          <w:szCs w:val="24"/>
          <w:lang w:eastAsia="zh-CN"/>
        </w:rPr>
      </w:pPr>
      <w:r>
        <w:rPr>
          <w:rFonts w:hint="eastAsia" w:ascii="宋体" w:hAnsi="宋体" w:eastAsia="宋体" w:cs="宋体"/>
          <w:spacing w:val="-1"/>
          <w:sz w:val="24"/>
          <w:szCs w:val="24"/>
        </w:rPr>
        <w:t>名称：</w:t>
      </w:r>
      <w:r>
        <w:rPr>
          <w:rFonts w:hint="eastAsia" w:ascii="宋体" w:hAnsi="宋体" w:eastAsia="宋体" w:cs="宋体"/>
          <w:spacing w:val="-1"/>
          <w:sz w:val="24"/>
          <w:szCs w:val="24"/>
          <w:lang w:eastAsia="zh-CN"/>
        </w:rPr>
        <w:t>榆林市生态环境局绥德分局</w:t>
      </w:r>
    </w:p>
    <w:p w14:paraId="33C7796E">
      <w:pPr>
        <w:spacing w:before="181" w:line="360" w:lineRule="auto"/>
        <w:ind w:left="1" w:right="120" w:firstLine="490"/>
        <w:outlineLvl w:val="9"/>
        <w:rPr>
          <w:rFonts w:hint="eastAsia" w:ascii="宋体" w:hAnsi="宋体" w:eastAsia="宋体" w:cs="宋体"/>
          <w:spacing w:val="-1"/>
          <w:sz w:val="24"/>
          <w:szCs w:val="24"/>
          <w:lang w:eastAsia="zh-CN"/>
        </w:rPr>
      </w:pPr>
      <w:r>
        <w:rPr>
          <w:rFonts w:hint="eastAsia" w:ascii="宋体" w:hAnsi="宋体" w:eastAsia="宋体" w:cs="宋体"/>
          <w:spacing w:val="-1"/>
          <w:sz w:val="24"/>
          <w:szCs w:val="24"/>
        </w:rPr>
        <w:t>地址：</w:t>
      </w:r>
      <w:r>
        <w:rPr>
          <w:rFonts w:hint="eastAsia" w:ascii="宋体" w:hAnsi="宋体" w:eastAsia="宋体" w:cs="宋体"/>
          <w:spacing w:val="-1"/>
          <w:sz w:val="24"/>
          <w:szCs w:val="24"/>
          <w:lang w:eastAsia="zh-CN"/>
        </w:rPr>
        <w:t>陕西省榆林市绥德县滨河路5号</w:t>
      </w:r>
    </w:p>
    <w:p w14:paraId="4E473830">
      <w:pPr>
        <w:spacing w:before="181" w:line="360" w:lineRule="auto"/>
        <w:ind w:left="1" w:right="120" w:firstLine="490"/>
        <w:outlineLvl w:val="9"/>
        <w:rPr>
          <w:rFonts w:hint="default" w:ascii="宋体" w:hAnsi="宋体" w:eastAsia="宋体" w:cs="宋体"/>
          <w:spacing w:val="-1"/>
          <w:sz w:val="24"/>
          <w:szCs w:val="24"/>
          <w:lang w:val="en-US" w:eastAsia="zh-CN"/>
        </w:rPr>
      </w:pPr>
      <w:r>
        <w:rPr>
          <w:rFonts w:hint="eastAsia" w:ascii="宋体" w:hAnsi="宋体" w:eastAsia="宋体" w:cs="宋体"/>
          <w:spacing w:val="-1"/>
          <w:sz w:val="24"/>
          <w:szCs w:val="24"/>
        </w:rPr>
        <w:t>联系方式：</w:t>
      </w:r>
      <w:r>
        <w:rPr>
          <w:rFonts w:hint="eastAsia" w:ascii="宋体" w:hAnsi="宋体" w:eastAsia="宋体" w:cs="宋体"/>
          <w:spacing w:val="-1"/>
          <w:sz w:val="24"/>
          <w:szCs w:val="24"/>
          <w:lang w:eastAsia="zh-CN"/>
        </w:rPr>
        <w:t>13992265582</w:t>
      </w:r>
      <w:r>
        <w:rPr>
          <w:rFonts w:hint="eastAsia" w:ascii="宋体" w:hAnsi="宋体" w:eastAsia="宋体" w:cs="宋体"/>
          <w:spacing w:val="-1"/>
          <w:sz w:val="24"/>
          <w:szCs w:val="24"/>
          <w:lang w:val="en-US" w:eastAsia="zh-CN"/>
        </w:rPr>
        <w:tab/>
      </w:r>
    </w:p>
    <w:p w14:paraId="64D67902">
      <w:pPr>
        <w:spacing w:before="181" w:line="360" w:lineRule="auto"/>
        <w:ind w:left="1" w:right="120" w:firstLine="490"/>
        <w:outlineLvl w:val="9"/>
        <w:rPr>
          <w:rFonts w:hint="eastAsia" w:ascii="宋体" w:hAnsi="宋体" w:eastAsia="宋体" w:cs="宋体"/>
          <w:spacing w:val="-1"/>
          <w:sz w:val="24"/>
          <w:szCs w:val="24"/>
        </w:rPr>
      </w:pPr>
      <w:r>
        <w:rPr>
          <w:rFonts w:hint="eastAsia" w:ascii="宋体" w:hAnsi="宋体" w:eastAsia="宋体" w:cs="宋体"/>
          <w:spacing w:val="-1"/>
          <w:sz w:val="24"/>
          <w:szCs w:val="24"/>
        </w:rPr>
        <w:t>2.采购代理机构信息</w:t>
      </w:r>
    </w:p>
    <w:p w14:paraId="3D8D59F2">
      <w:pPr>
        <w:spacing w:before="181" w:line="360" w:lineRule="auto"/>
        <w:ind w:left="1" w:right="120" w:firstLine="490"/>
        <w:outlineLvl w:val="9"/>
        <w:rPr>
          <w:rFonts w:hint="eastAsia" w:ascii="宋体" w:hAnsi="宋体" w:eastAsia="宋体" w:cs="宋体"/>
          <w:spacing w:val="-1"/>
          <w:sz w:val="24"/>
          <w:szCs w:val="24"/>
          <w:lang w:eastAsia="zh-CN"/>
        </w:rPr>
      </w:pPr>
      <w:r>
        <w:rPr>
          <w:rFonts w:hint="eastAsia" w:ascii="宋体" w:hAnsi="宋体" w:eastAsia="宋体" w:cs="宋体"/>
          <w:spacing w:val="-1"/>
          <w:sz w:val="24"/>
          <w:szCs w:val="24"/>
        </w:rPr>
        <w:t>名称：</w:t>
      </w:r>
      <w:r>
        <w:rPr>
          <w:rFonts w:hint="eastAsia" w:ascii="宋体" w:hAnsi="宋体" w:eastAsia="宋体" w:cs="宋体"/>
          <w:spacing w:val="-1"/>
          <w:sz w:val="24"/>
          <w:szCs w:val="24"/>
          <w:lang w:eastAsia="zh-CN"/>
        </w:rPr>
        <w:t>陕西鸿茂鑫晟建设项目管理有限公司</w:t>
      </w:r>
    </w:p>
    <w:p w14:paraId="5E3BBCF5">
      <w:pPr>
        <w:spacing w:before="181" w:line="360" w:lineRule="auto"/>
        <w:ind w:left="1" w:right="120" w:firstLine="490"/>
        <w:outlineLvl w:val="9"/>
        <w:rPr>
          <w:rFonts w:hint="eastAsia" w:ascii="宋体" w:hAnsi="宋体" w:eastAsia="宋体" w:cs="宋体"/>
          <w:spacing w:val="-1"/>
          <w:sz w:val="24"/>
          <w:szCs w:val="24"/>
        </w:rPr>
      </w:pPr>
      <w:r>
        <w:rPr>
          <w:rFonts w:hint="eastAsia" w:ascii="宋体" w:hAnsi="宋体" w:eastAsia="宋体" w:cs="宋体"/>
          <w:spacing w:val="-1"/>
          <w:sz w:val="24"/>
          <w:szCs w:val="24"/>
        </w:rPr>
        <w:t>地址：西安市雁塔区太白南路紫薇尚层西一楼一单元605室</w:t>
      </w:r>
    </w:p>
    <w:p w14:paraId="4CE221DE">
      <w:pPr>
        <w:spacing w:before="181" w:line="360" w:lineRule="auto"/>
        <w:ind w:left="1" w:right="120" w:firstLine="490"/>
        <w:outlineLvl w:val="9"/>
        <w:rPr>
          <w:rFonts w:hint="default" w:ascii="宋体" w:hAnsi="宋体" w:eastAsia="宋体" w:cs="宋体"/>
          <w:spacing w:val="-1"/>
          <w:sz w:val="24"/>
          <w:szCs w:val="24"/>
          <w:lang w:val="en-US" w:eastAsia="zh-CN"/>
        </w:rPr>
      </w:pPr>
      <w:r>
        <w:rPr>
          <w:rFonts w:hint="eastAsia" w:ascii="宋体" w:hAnsi="宋体" w:eastAsia="宋体" w:cs="宋体"/>
          <w:spacing w:val="-1"/>
          <w:sz w:val="24"/>
          <w:szCs w:val="24"/>
        </w:rPr>
        <w:t>联系方式：</w:t>
      </w:r>
      <w:r>
        <w:rPr>
          <w:rFonts w:hint="eastAsia" w:ascii="宋体" w:hAnsi="宋体" w:eastAsia="宋体" w:cs="宋体"/>
          <w:spacing w:val="-1"/>
          <w:sz w:val="24"/>
          <w:szCs w:val="24"/>
          <w:lang w:val="en-US" w:eastAsia="zh-CN"/>
        </w:rPr>
        <w:t>19992477710</w:t>
      </w:r>
    </w:p>
    <w:p w14:paraId="74A12CC4">
      <w:pPr>
        <w:spacing w:before="181" w:line="360" w:lineRule="auto"/>
        <w:ind w:left="1" w:right="120" w:firstLine="490"/>
        <w:outlineLvl w:val="9"/>
        <w:rPr>
          <w:rFonts w:hint="eastAsia" w:ascii="宋体" w:hAnsi="宋体" w:eastAsia="宋体" w:cs="宋体"/>
          <w:spacing w:val="-1"/>
          <w:sz w:val="24"/>
          <w:szCs w:val="24"/>
        </w:rPr>
      </w:pPr>
      <w:r>
        <w:rPr>
          <w:rFonts w:hint="eastAsia" w:ascii="宋体" w:hAnsi="宋体" w:eastAsia="宋体" w:cs="宋体"/>
          <w:spacing w:val="-1"/>
          <w:sz w:val="24"/>
          <w:szCs w:val="24"/>
        </w:rPr>
        <w:t>3.项目联系方式</w:t>
      </w:r>
    </w:p>
    <w:p w14:paraId="68C0E1C4">
      <w:pPr>
        <w:spacing w:before="181" w:line="360" w:lineRule="auto"/>
        <w:ind w:left="1" w:right="120" w:firstLine="490"/>
        <w:outlineLvl w:val="9"/>
        <w:rPr>
          <w:rFonts w:hint="eastAsia" w:ascii="宋体" w:hAnsi="宋体" w:eastAsia="宋体" w:cs="宋体"/>
          <w:spacing w:val="-1"/>
          <w:sz w:val="24"/>
          <w:szCs w:val="24"/>
          <w:lang w:eastAsia="zh-CN"/>
        </w:rPr>
      </w:pPr>
      <w:r>
        <w:rPr>
          <w:rFonts w:hint="eastAsia" w:ascii="宋体" w:hAnsi="宋体" w:eastAsia="宋体" w:cs="宋体"/>
          <w:spacing w:val="-1"/>
          <w:sz w:val="24"/>
          <w:szCs w:val="24"/>
        </w:rPr>
        <w:t>项目联系人：</w:t>
      </w:r>
      <w:r>
        <w:rPr>
          <w:rFonts w:hint="eastAsia" w:ascii="宋体" w:hAnsi="宋体" w:eastAsia="宋体" w:cs="宋体"/>
          <w:spacing w:val="-1"/>
          <w:sz w:val="24"/>
          <w:szCs w:val="24"/>
          <w:lang w:val="en-US" w:eastAsia="zh-CN"/>
        </w:rPr>
        <w:t>袁鑫</w:t>
      </w:r>
    </w:p>
    <w:p w14:paraId="01AAA49C">
      <w:pPr>
        <w:spacing w:before="181" w:line="360" w:lineRule="auto"/>
        <w:ind w:left="1" w:right="120" w:firstLine="490"/>
        <w:outlineLvl w:val="9"/>
        <w:rPr>
          <w:rFonts w:hint="default" w:ascii="宋体" w:hAnsi="宋体" w:eastAsia="宋体" w:cs="宋体"/>
          <w:spacing w:val="-1"/>
          <w:sz w:val="24"/>
          <w:szCs w:val="24"/>
          <w:lang w:val="en-US" w:eastAsia="zh-CN"/>
        </w:rPr>
      </w:pPr>
      <w:r>
        <w:rPr>
          <w:rFonts w:hint="eastAsia" w:ascii="宋体" w:hAnsi="宋体" w:eastAsia="宋体" w:cs="宋体"/>
          <w:spacing w:val="-1"/>
          <w:sz w:val="24"/>
          <w:szCs w:val="24"/>
        </w:rPr>
        <w:t>电话：</w:t>
      </w:r>
      <w:r>
        <w:rPr>
          <w:rFonts w:hint="eastAsia" w:ascii="宋体" w:hAnsi="宋体" w:eastAsia="宋体" w:cs="宋体"/>
          <w:spacing w:val="-1"/>
          <w:sz w:val="24"/>
          <w:szCs w:val="24"/>
          <w:lang w:val="en-US" w:eastAsia="zh-CN"/>
        </w:rPr>
        <w:t>19992477710</w:t>
      </w:r>
    </w:p>
    <w:p w14:paraId="17C95764">
      <w:pPr>
        <w:spacing w:before="181" w:line="360" w:lineRule="auto"/>
        <w:ind w:right="120"/>
        <w:outlineLvl w:val="9"/>
        <w:rPr>
          <w:rFonts w:ascii="宋体" w:hAnsi="宋体" w:eastAsia="宋体" w:cs="宋体"/>
          <w:spacing w:val="-1"/>
          <w:sz w:val="24"/>
          <w:szCs w:val="24"/>
        </w:rPr>
      </w:pPr>
    </w:p>
    <w:p w14:paraId="5FC9B62A">
      <w:pPr>
        <w:spacing w:line="360" w:lineRule="auto"/>
        <w:jc w:val="right"/>
        <w:outlineLvl w:val="9"/>
        <w:rPr>
          <w:rFonts w:ascii="宋体" w:hAnsi="宋体" w:eastAsia="宋体" w:cs="宋体"/>
          <w:sz w:val="24"/>
          <w:szCs w:val="24"/>
        </w:rPr>
        <w:sectPr>
          <w:footerReference r:id="rId5" w:type="default"/>
          <w:pgSz w:w="11906" w:h="16838"/>
          <w:pgMar w:top="1429" w:right="1786" w:bottom="1372" w:left="1786" w:header="0" w:footer="1208" w:gutter="0"/>
          <w:pgNumType w:fmt="decimal" w:start="1"/>
          <w:cols w:space="0" w:num="1"/>
          <w:rtlGutter w:val="0"/>
          <w:docGrid w:linePitch="0" w:charSpace="0"/>
        </w:sectPr>
      </w:pPr>
      <w:r>
        <w:rPr>
          <w:rFonts w:ascii="微软雅黑" w:hAnsi="微软雅黑" w:eastAsia="微软雅黑" w:cs="微软雅黑"/>
          <w:i w:val="0"/>
          <w:iCs w:val="0"/>
          <w:caps w:val="0"/>
          <w:color w:val="333333"/>
          <w:spacing w:val="0"/>
          <w:sz w:val="21"/>
          <w:szCs w:val="21"/>
          <w:shd w:val="clear" w:fill="FFFFFF"/>
        </w:rPr>
        <w:t>陕西鸿茂鑫晟建设项目管理有限公司</w:t>
      </w:r>
    </w:p>
    <w:p w14:paraId="18052681">
      <w:pPr>
        <w:spacing w:before="119" w:line="360" w:lineRule="auto"/>
        <w:ind w:left="2099"/>
        <w:outlineLvl w:val="0"/>
        <w:rPr>
          <w:rFonts w:ascii="宋体" w:hAnsi="宋体" w:eastAsia="宋体" w:cs="宋体"/>
          <w:sz w:val="40"/>
          <w:szCs w:val="40"/>
        </w:rPr>
      </w:pPr>
      <w:bookmarkStart w:id="1" w:name="bookmark2"/>
      <w:bookmarkEnd w:id="1"/>
      <w:bookmarkStart w:id="2" w:name="_Toc19533"/>
      <w:r>
        <w:rPr>
          <w:rFonts w:ascii="宋体" w:hAnsi="宋体" w:eastAsia="宋体" w:cs="宋体"/>
          <w:b/>
          <w:bCs/>
          <w:spacing w:val="-4"/>
          <w:sz w:val="40"/>
          <w:szCs w:val="40"/>
        </w:rPr>
        <w:t>第二部分供应商须知前附表</w:t>
      </w:r>
      <w:bookmarkEnd w:id="2"/>
    </w:p>
    <w:p w14:paraId="14F8D86E">
      <w:pPr>
        <w:spacing w:before="127" w:line="360" w:lineRule="auto"/>
        <w:outlineLvl w:val="9"/>
      </w:pPr>
    </w:p>
    <w:tbl>
      <w:tblPr>
        <w:tblStyle w:val="13"/>
        <w:tblW w:w="4998"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654"/>
        <w:gridCol w:w="1631"/>
        <w:gridCol w:w="6052"/>
      </w:tblGrid>
      <w:tr w14:paraId="560FD6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trPr>
        <w:tc>
          <w:tcPr>
            <w:tcW w:w="392" w:type="pct"/>
            <w:vAlign w:val="top"/>
          </w:tcPr>
          <w:p w14:paraId="48880C73">
            <w:pPr>
              <w:pStyle w:val="14"/>
              <w:spacing w:before="119" w:line="360" w:lineRule="auto"/>
              <w:ind w:left="145"/>
              <w:outlineLvl w:val="9"/>
            </w:pPr>
            <w:r>
              <w:rPr>
                <w:b/>
                <w:bCs/>
                <w:spacing w:val="-10"/>
              </w:rPr>
              <w:t>项号</w:t>
            </w:r>
          </w:p>
        </w:tc>
        <w:tc>
          <w:tcPr>
            <w:tcW w:w="978" w:type="pct"/>
            <w:vAlign w:val="top"/>
          </w:tcPr>
          <w:p w14:paraId="01AE78AB">
            <w:pPr>
              <w:pStyle w:val="14"/>
              <w:spacing w:before="120" w:line="360" w:lineRule="auto"/>
              <w:ind w:left="463"/>
              <w:outlineLvl w:val="9"/>
            </w:pPr>
            <w:r>
              <w:rPr>
                <w:b/>
                <w:bCs/>
                <w:spacing w:val="-5"/>
              </w:rPr>
              <w:t>条款名称</w:t>
            </w:r>
          </w:p>
        </w:tc>
        <w:tc>
          <w:tcPr>
            <w:tcW w:w="3629" w:type="pct"/>
            <w:vAlign w:val="top"/>
          </w:tcPr>
          <w:p w14:paraId="440C1ACA">
            <w:pPr>
              <w:pStyle w:val="14"/>
              <w:spacing w:before="120" w:line="360" w:lineRule="auto"/>
              <w:ind w:left="2882"/>
              <w:outlineLvl w:val="9"/>
            </w:pPr>
            <w:r>
              <w:rPr>
                <w:b/>
                <w:bCs/>
                <w:spacing w:val="-5"/>
              </w:rPr>
              <w:t>说明和要求</w:t>
            </w:r>
          </w:p>
        </w:tc>
      </w:tr>
      <w:tr w14:paraId="0FFFB3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392" w:type="pct"/>
            <w:vAlign w:val="top"/>
          </w:tcPr>
          <w:p w14:paraId="2DB8E662">
            <w:pPr>
              <w:pStyle w:val="14"/>
              <w:spacing w:before="105" w:line="360" w:lineRule="auto"/>
              <w:ind w:left="341"/>
              <w:outlineLvl w:val="9"/>
            </w:pPr>
            <w:r>
              <w:t>1</w:t>
            </w:r>
          </w:p>
        </w:tc>
        <w:tc>
          <w:tcPr>
            <w:tcW w:w="978" w:type="pct"/>
            <w:vAlign w:val="top"/>
          </w:tcPr>
          <w:p w14:paraId="22C6ADB3">
            <w:pPr>
              <w:pStyle w:val="14"/>
              <w:spacing w:before="155" w:line="360" w:lineRule="auto"/>
              <w:ind w:left="112"/>
              <w:outlineLvl w:val="9"/>
            </w:pPr>
            <w:r>
              <w:rPr>
                <w:spacing w:val="-3"/>
              </w:rPr>
              <w:t>采购人</w:t>
            </w:r>
          </w:p>
        </w:tc>
        <w:tc>
          <w:tcPr>
            <w:tcW w:w="3629" w:type="pct"/>
            <w:vAlign w:val="top"/>
          </w:tcPr>
          <w:p w14:paraId="455B71B8">
            <w:pPr>
              <w:pStyle w:val="14"/>
              <w:spacing w:before="156" w:line="360" w:lineRule="auto"/>
              <w:ind w:left="115"/>
              <w:outlineLvl w:val="9"/>
            </w:pPr>
            <w:r>
              <w:rPr>
                <w:rFonts w:hint="eastAsia" w:cs="宋体"/>
                <w:color w:val="auto"/>
                <w:sz w:val="24"/>
                <w:lang w:eastAsia="zh-CN"/>
              </w:rPr>
              <w:t>榆林市生态环境局绥德分局</w:t>
            </w:r>
          </w:p>
        </w:tc>
      </w:tr>
      <w:tr w14:paraId="5A196A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5" w:hRule="atLeast"/>
        </w:trPr>
        <w:tc>
          <w:tcPr>
            <w:tcW w:w="392" w:type="pct"/>
            <w:vAlign w:val="top"/>
          </w:tcPr>
          <w:p w14:paraId="13B6BE2D">
            <w:pPr>
              <w:pStyle w:val="14"/>
              <w:spacing w:before="106" w:line="360" w:lineRule="auto"/>
              <w:ind w:left="326"/>
              <w:outlineLvl w:val="9"/>
            </w:pPr>
            <w:r>
              <w:t>2</w:t>
            </w:r>
          </w:p>
        </w:tc>
        <w:tc>
          <w:tcPr>
            <w:tcW w:w="978" w:type="pct"/>
            <w:vAlign w:val="top"/>
          </w:tcPr>
          <w:p w14:paraId="0D5D1744">
            <w:pPr>
              <w:pStyle w:val="14"/>
              <w:spacing w:before="154" w:line="360" w:lineRule="auto"/>
              <w:ind w:left="112"/>
              <w:outlineLvl w:val="9"/>
            </w:pPr>
            <w:r>
              <w:rPr>
                <w:spacing w:val="-2"/>
              </w:rPr>
              <w:t>采购代理机构</w:t>
            </w:r>
          </w:p>
        </w:tc>
        <w:tc>
          <w:tcPr>
            <w:tcW w:w="3629" w:type="pct"/>
            <w:vAlign w:val="top"/>
          </w:tcPr>
          <w:p w14:paraId="79296793">
            <w:pPr>
              <w:pStyle w:val="14"/>
              <w:spacing w:before="155" w:line="360" w:lineRule="auto"/>
              <w:ind w:left="132"/>
              <w:outlineLvl w:val="9"/>
              <w:rPr>
                <w:rFonts w:hint="eastAsia" w:eastAsia="宋体"/>
                <w:lang w:eastAsia="zh-CN"/>
              </w:rPr>
            </w:pPr>
            <w:r>
              <w:rPr>
                <w:rFonts w:hint="eastAsia"/>
                <w:spacing w:val="-2"/>
                <w:lang w:eastAsia="zh-CN"/>
              </w:rPr>
              <w:t>陕西鸿茂鑫晟建设项目管理有限公司</w:t>
            </w:r>
          </w:p>
        </w:tc>
      </w:tr>
      <w:tr w14:paraId="374ED3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5" w:hRule="atLeast"/>
        </w:trPr>
        <w:tc>
          <w:tcPr>
            <w:tcW w:w="392" w:type="pct"/>
            <w:vAlign w:val="top"/>
          </w:tcPr>
          <w:p w14:paraId="3AB2A77F">
            <w:pPr>
              <w:pStyle w:val="14"/>
              <w:spacing w:before="106" w:line="360" w:lineRule="auto"/>
              <w:ind w:left="328"/>
              <w:outlineLvl w:val="9"/>
            </w:pPr>
            <w:r>
              <w:t>3</w:t>
            </w:r>
          </w:p>
        </w:tc>
        <w:tc>
          <w:tcPr>
            <w:tcW w:w="978" w:type="pct"/>
            <w:vAlign w:val="top"/>
          </w:tcPr>
          <w:p w14:paraId="07025E98">
            <w:pPr>
              <w:pStyle w:val="14"/>
              <w:spacing w:before="154" w:line="360" w:lineRule="auto"/>
              <w:ind w:left="114"/>
              <w:outlineLvl w:val="9"/>
            </w:pPr>
            <w:r>
              <w:rPr>
                <w:spacing w:val="-2"/>
              </w:rPr>
              <w:t>监督管理机构</w:t>
            </w:r>
          </w:p>
        </w:tc>
        <w:tc>
          <w:tcPr>
            <w:tcW w:w="3629" w:type="pct"/>
            <w:vAlign w:val="top"/>
          </w:tcPr>
          <w:p w14:paraId="23D82546">
            <w:pPr>
              <w:pStyle w:val="14"/>
              <w:spacing w:before="155" w:line="360" w:lineRule="auto"/>
              <w:ind w:left="115"/>
              <w:outlineLvl w:val="9"/>
              <w:rPr>
                <w:rFonts w:hint="default"/>
                <w:lang w:val="en-US"/>
              </w:rPr>
            </w:pPr>
            <w:r>
              <w:rPr>
                <w:rFonts w:hint="eastAsia"/>
                <w:spacing w:val="-2"/>
                <w:lang w:val="en-US" w:eastAsia="zh-CN"/>
              </w:rPr>
              <w:t>榆林市财政局</w:t>
            </w:r>
          </w:p>
        </w:tc>
      </w:tr>
      <w:tr w14:paraId="4A4941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392" w:type="pct"/>
            <w:vAlign w:val="top"/>
          </w:tcPr>
          <w:p w14:paraId="4D0004F3">
            <w:pPr>
              <w:pStyle w:val="14"/>
              <w:spacing w:before="160" w:line="360" w:lineRule="auto"/>
              <w:ind w:left="322"/>
              <w:outlineLvl w:val="9"/>
            </w:pPr>
            <w:r>
              <w:t>4</w:t>
            </w:r>
          </w:p>
        </w:tc>
        <w:tc>
          <w:tcPr>
            <w:tcW w:w="978" w:type="pct"/>
            <w:vAlign w:val="top"/>
          </w:tcPr>
          <w:p w14:paraId="615F148C">
            <w:pPr>
              <w:pStyle w:val="14"/>
              <w:spacing w:before="210" w:line="360" w:lineRule="auto"/>
              <w:ind w:left="112"/>
              <w:outlineLvl w:val="9"/>
            </w:pPr>
            <w:r>
              <w:rPr>
                <w:spacing w:val="-2"/>
              </w:rPr>
              <w:t>采购项目名称</w:t>
            </w:r>
          </w:p>
        </w:tc>
        <w:tc>
          <w:tcPr>
            <w:tcW w:w="3629" w:type="pct"/>
            <w:vAlign w:val="top"/>
          </w:tcPr>
          <w:p w14:paraId="2339217A">
            <w:pPr>
              <w:pStyle w:val="14"/>
              <w:spacing w:before="211" w:line="360" w:lineRule="auto"/>
              <w:ind w:left="115"/>
              <w:outlineLvl w:val="9"/>
              <w:rPr>
                <w:rFonts w:hint="eastAsia" w:eastAsia="宋体"/>
                <w:lang w:eastAsia="zh-CN"/>
              </w:rPr>
            </w:pPr>
            <w:r>
              <w:rPr>
                <w:rFonts w:hint="eastAsia"/>
                <w:lang w:val="en-US" w:eastAsia="zh-CN"/>
              </w:rPr>
              <w:t>《绥德县丁家沟-十里铺饮用水水源地保护区撤销技术报告》编制服务项目</w:t>
            </w:r>
          </w:p>
        </w:tc>
      </w:tr>
      <w:tr w14:paraId="54964F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392" w:type="pct"/>
            <w:vAlign w:val="top"/>
          </w:tcPr>
          <w:p w14:paraId="5A0F2270">
            <w:pPr>
              <w:pStyle w:val="14"/>
              <w:spacing w:before="161" w:line="360" w:lineRule="auto"/>
              <w:ind w:left="328"/>
              <w:outlineLvl w:val="9"/>
            </w:pPr>
            <w:r>
              <w:t>5</w:t>
            </w:r>
          </w:p>
        </w:tc>
        <w:tc>
          <w:tcPr>
            <w:tcW w:w="978" w:type="pct"/>
            <w:vAlign w:val="top"/>
          </w:tcPr>
          <w:p w14:paraId="1B4552E6">
            <w:pPr>
              <w:pStyle w:val="14"/>
              <w:spacing w:before="209" w:line="360" w:lineRule="auto"/>
              <w:ind w:left="112"/>
              <w:outlineLvl w:val="9"/>
            </w:pPr>
            <w:r>
              <w:rPr>
                <w:spacing w:val="-2"/>
              </w:rPr>
              <w:t>采购项目编号</w:t>
            </w:r>
          </w:p>
        </w:tc>
        <w:tc>
          <w:tcPr>
            <w:tcW w:w="3629" w:type="pct"/>
            <w:vAlign w:val="top"/>
          </w:tcPr>
          <w:p w14:paraId="5CCF7E4D">
            <w:pPr>
              <w:pStyle w:val="14"/>
              <w:spacing w:before="209" w:line="360" w:lineRule="auto"/>
              <w:ind w:left="114"/>
              <w:outlineLvl w:val="9"/>
            </w:pPr>
            <w:r>
              <w:rPr>
                <w:rFonts w:hint="eastAsia" w:cs="宋体"/>
                <w:color w:val="auto"/>
                <w:sz w:val="24"/>
                <w:lang w:eastAsia="zh-CN"/>
              </w:rPr>
              <w:t>HMXS-2026-ZC-109</w:t>
            </w:r>
          </w:p>
        </w:tc>
      </w:tr>
      <w:tr w14:paraId="420FF5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392" w:type="pct"/>
            <w:vAlign w:val="top"/>
          </w:tcPr>
          <w:p w14:paraId="77E37E58">
            <w:pPr>
              <w:pStyle w:val="14"/>
              <w:spacing w:before="160" w:line="360" w:lineRule="auto"/>
              <w:ind w:left="325"/>
              <w:outlineLvl w:val="9"/>
            </w:pPr>
            <w:r>
              <w:t>6</w:t>
            </w:r>
          </w:p>
        </w:tc>
        <w:tc>
          <w:tcPr>
            <w:tcW w:w="978" w:type="pct"/>
            <w:vAlign w:val="top"/>
          </w:tcPr>
          <w:p w14:paraId="5AABF24B">
            <w:pPr>
              <w:pStyle w:val="14"/>
              <w:spacing w:before="211" w:line="360" w:lineRule="auto"/>
              <w:ind w:left="114"/>
              <w:outlineLvl w:val="9"/>
            </w:pPr>
            <w:r>
              <w:rPr>
                <w:spacing w:val="-3"/>
              </w:rPr>
              <w:t>标段名称</w:t>
            </w:r>
          </w:p>
        </w:tc>
        <w:tc>
          <w:tcPr>
            <w:tcW w:w="3629" w:type="pct"/>
            <w:vAlign w:val="top"/>
          </w:tcPr>
          <w:p w14:paraId="0F343032">
            <w:pPr>
              <w:pStyle w:val="14"/>
              <w:spacing w:before="211" w:line="360" w:lineRule="auto"/>
              <w:ind w:left="115"/>
              <w:outlineLvl w:val="9"/>
              <w:rPr>
                <w:rFonts w:hint="eastAsia" w:eastAsia="宋体"/>
                <w:lang w:eastAsia="zh-CN"/>
              </w:rPr>
            </w:pPr>
            <w:r>
              <w:rPr>
                <w:rFonts w:hint="eastAsia" w:cs="宋体"/>
                <w:spacing w:val="-1"/>
                <w:sz w:val="24"/>
                <w:szCs w:val="24"/>
                <w:lang w:eastAsia="zh-CN"/>
              </w:rPr>
              <w:t>《绥德县丁家沟-十里铺饮用水水源地保护区撤销技术报告》编制服务项目</w:t>
            </w:r>
          </w:p>
        </w:tc>
      </w:tr>
      <w:tr w14:paraId="369F4D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7" w:hRule="atLeast"/>
        </w:trPr>
        <w:tc>
          <w:tcPr>
            <w:tcW w:w="392" w:type="pct"/>
            <w:vAlign w:val="top"/>
          </w:tcPr>
          <w:p w14:paraId="4A6B6D6A">
            <w:pPr>
              <w:pStyle w:val="14"/>
              <w:spacing w:before="161" w:line="360" w:lineRule="auto"/>
              <w:ind w:left="329"/>
              <w:outlineLvl w:val="9"/>
            </w:pPr>
            <w:r>
              <w:t>7</w:t>
            </w:r>
          </w:p>
        </w:tc>
        <w:tc>
          <w:tcPr>
            <w:tcW w:w="978" w:type="pct"/>
            <w:vAlign w:val="top"/>
          </w:tcPr>
          <w:p w14:paraId="1C451A2E">
            <w:pPr>
              <w:pStyle w:val="14"/>
              <w:spacing w:before="210" w:line="360" w:lineRule="auto"/>
              <w:ind w:left="114"/>
              <w:outlineLvl w:val="9"/>
            </w:pPr>
            <w:r>
              <w:rPr>
                <w:spacing w:val="-3"/>
              </w:rPr>
              <w:t>标段编号</w:t>
            </w:r>
          </w:p>
        </w:tc>
        <w:tc>
          <w:tcPr>
            <w:tcW w:w="3629" w:type="pct"/>
            <w:vAlign w:val="top"/>
          </w:tcPr>
          <w:p w14:paraId="4E4E102F">
            <w:pPr>
              <w:pStyle w:val="14"/>
              <w:spacing w:before="209" w:line="360" w:lineRule="auto"/>
              <w:ind w:left="114"/>
              <w:outlineLvl w:val="9"/>
            </w:pPr>
            <w:r>
              <w:rPr>
                <w:rFonts w:hint="eastAsia" w:cs="宋体"/>
                <w:color w:val="auto"/>
                <w:sz w:val="24"/>
                <w:lang w:eastAsia="zh-CN"/>
              </w:rPr>
              <w:t>HMXS-2026-ZC-109</w:t>
            </w:r>
          </w:p>
        </w:tc>
      </w:tr>
      <w:tr w14:paraId="22A84D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23" w:hRule="atLeast"/>
        </w:trPr>
        <w:tc>
          <w:tcPr>
            <w:tcW w:w="392" w:type="pct"/>
            <w:vAlign w:val="top"/>
          </w:tcPr>
          <w:p w14:paraId="6D2A78DB">
            <w:pPr>
              <w:spacing w:line="360" w:lineRule="auto"/>
              <w:outlineLvl w:val="9"/>
              <w:rPr>
                <w:rFonts w:ascii="Arial"/>
                <w:sz w:val="21"/>
              </w:rPr>
            </w:pPr>
          </w:p>
          <w:p w14:paraId="4EC505BD">
            <w:pPr>
              <w:spacing w:line="360" w:lineRule="auto"/>
              <w:outlineLvl w:val="9"/>
              <w:rPr>
                <w:rFonts w:ascii="Arial"/>
                <w:sz w:val="21"/>
              </w:rPr>
            </w:pPr>
          </w:p>
          <w:p w14:paraId="76B36001">
            <w:pPr>
              <w:spacing w:line="360" w:lineRule="auto"/>
              <w:outlineLvl w:val="9"/>
              <w:rPr>
                <w:rFonts w:ascii="Arial"/>
                <w:sz w:val="21"/>
              </w:rPr>
            </w:pPr>
          </w:p>
          <w:p w14:paraId="5093B986">
            <w:pPr>
              <w:pStyle w:val="14"/>
              <w:spacing w:before="78" w:line="360" w:lineRule="auto"/>
              <w:ind w:left="324"/>
              <w:outlineLvl w:val="9"/>
            </w:pPr>
            <w:r>
              <w:t>8</w:t>
            </w:r>
          </w:p>
        </w:tc>
        <w:tc>
          <w:tcPr>
            <w:tcW w:w="978" w:type="pct"/>
            <w:vAlign w:val="top"/>
          </w:tcPr>
          <w:p w14:paraId="46B43E69">
            <w:pPr>
              <w:spacing w:line="360" w:lineRule="auto"/>
              <w:outlineLvl w:val="9"/>
              <w:rPr>
                <w:rFonts w:ascii="Arial"/>
                <w:sz w:val="21"/>
              </w:rPr>
            </w:pPr>
          </w:p>
          <w:p w14:paraId="0DB6120A">
            <w:pPr>
              <w:spacing w:line="360" w:lineRule="auto"/>
              <w:outlineLvl w:val="9"/>
              <w:rPr>
                <w:rFonts w:ascii="Arial"/>
                <w:sz w:val="21"/>
              </w:rPr>
            </w:pPr>
          </w:p>
          <w:p w14:paraId="1C53626B">
            <w:pPr>
              <w:spacing w:line="360" w:lineRule="auto"/>
              <w:outlineLvl w:val="9"/>
              <w:rPr>
                <w:rFonts w:ascii="Arial"/>
                <w:sz w:val="21"/>
              </w:rPr>
            </w:pPr>
          </w:p>
          <w:p w14:paraId="5D42A3D5">
            <w:pPr>
              <w:pStyle w:val="14"/>
              <w:spacing w:before="78" w:line="360" w:lineRule="auto"/>
              <w:ind w:left="116"/>
              <w:outlineLvl w:val="9"/>
            </w:pPr>
            <w:r>
              <w:rPr>
                <w:spacing w:val="-4"/>
              </w:rPr>
              <w:t>最高限价</w:t>
            </w:r>
          </w:p>
        </w:tc>
        <w:tc>
          <w:tcPr>
            <w:tcW w:w="3629" w:type="pct"/>
            <w:vAlign w:val="top"/>
          </w:tcPr>
          <w:p w14:paraId="67D3125A">
            <w:pPr>
              <w:pStyle w:val="14"/>
              <w:spacing w:before="126" w:line="360" w:lineRule="auto"/>
              <w:ind w:left="116" w:right="107" w:hanging="1"/>
              <w:outlineLvl w:val="9"/>
              <w:rPr>
                <w:rFonts w:hint="default"/>
                <w:lang w:val="en-US" w:eastAsia="zh-CN"/>
              </w:rPr>
            </w:pPr>
            <w:r>
              <w:t>项目性质：</w:t>
            </w:r>
            <w:r>
              <w:rPr>
                <w:rFonts w:hint="eastAsia"/>
                <w:lang w:val="en-US" w:eastAsia="zh-CN"/>
              </w:rPr>
              <w:t>财政资金</w:t>
            </w:r>
          </w:p>
          <w:p w14:paraId="71C29E13">
            <w:pPr>
              <w:pStyle w:val="14"/>
              <w:spacing w:before="126" w:line="360" w:lineRule="auto"/>
              <w:ind w:left="116" w:right="107" w:hanging="1"/>
              <w:outlineLvl w:val="9"/>
              <w:rPr>
                <w:b/>
                <w:bCs/>
              </w:rPr>
            </w:pPr>
            <w:r>
              <w:rPr>
                <w:b/>
                <w:bCs/>
              </w:rPr>
              <w:t>本项目采购总预算（即最高限价）：</w:t>
            </w:r>
            <w:r>
              <w:rPr>
                <w:rFonts w:hint="eastAsia"/>
                <w:b/>
                <w:bCs/>
                <w:lang w:val="en-US" w:eastAsia="zh-CN"/>
              </w:rPr>
              <w:t>260000.00</w:t>
            </w:r>
          </w:p>
          <w:p w14:paraId="5A6D632C">
            <w:pPr>
              <w:pStyle w:val="14"/>
              <w:spacing w:before="126" w:line="360" w:lineRule="auto"/>
              <w:ind w:left="116" w:right="107" w:hanging="1"/>
              <w:outlineLvl w:val="9"/>
            </w:pPr>
            <w:r>
              <w:t>供应商报价超出采购预算，作为不实质响应竞争性谈判文件，按</w:t>
            </w:r>
            <w:r>
              <w:rPr>
                <w:spacing w:val="-2"/>
              </w:rPr>
              <w:t>无谈判响应文件处理</w:t>
            </w:r>
          </w:p>
        </w:tc>
      </w:tr>
      <w:tr w14:paraId="20EFD2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08" w:hRule="atLeast"/>
        </w:trPr>
        <w:tc>
          <w:tcPr>
            <w:tcW w:w="392" w:type="pct"/>
            <w:vAlign w:val="top"/>
          </w:tcPr>
          <w:p w14:paraId="14F8512C">
            <w:pPr>
              <w:spacing w:line="360" w:lineRule="auto"/>
              <w:outlineLvl w:val="9"/>
              <w:rPr>
                <w:rFonts w:ascii="Arial"/>
                <w:sz w:val="21"/>
              </w:rPr>
            </w:pPr>
          </w:p>
          <w:p w14:paraId="2D00B0B7">
            <w:pPr>
              <w:spacing w:line="360" w:lineRule="auto"/>
              <w:outlineLvl w:val="9"/>
              <w:rPr>
                <w:rFonts w:ascii="Arial"/>
                <w:sz w:val="21"/>
              </w:rPr>
            </w:pPr>
          </w:p>
          <w:p w14:paraId="351A28D9">
            <w:pPr>
              <w:pStyle w:val="14"/>
              <w:spacing w:before="78" w:line="360" w:lineRule="auto"/>
              <w:ind w:left="324"/>
              <w:outlineLvl w:val="9"/>
            </w:pPr>
            <w:r>
              <w:t>9</w:t>
            </w:r>
          </w:p>
        </w:tc>
        <w:tc>
          <w:tcPr>
            <w:tcW w:w="978" w:type="pct"/>
            <w:vAlign w:val="top"/>
          </w:tcPr>
          <w:p w14:paraId="77D28AF1">
            <w:pPr>
              <w:spacing w:line="360" w:lineRule="auto"/>
              <w:outlineLvl w:val="9"/>
              <w:rPr>
                <w:rFonts w:ascii="Arial"/>
                <w:sz w:val="21"/>
              </w:rPr>
            </w:pPr>
          </w:p>
          <w:p w14:paraId="5BE881C7">
            <w:pPr>
              <w:spacing w:line="360" w:lineRule="auto"/>
              <w:outlineLvl w:val="9"/>
              <w:rPr>
                <w:rFonts w:ascii="Arial"/>
                <w:sz w:val="21"/>
              </w:rPr>
            </w:pPr>
          </w:p>
          <w:p w14:paraId="100050B3">
            <w:pPr>
              <w:pStyle w:val="14"/>
              <w:spacing w:before="78" w:line="360" w:lineRule="auto"/>
              <w:ind w:left="112"/>
              <w:outlineLvl w:val="9"/>
            </w:pPr>
            <w:r>
              <w:rPr>
                <w:spacing w:val="-3"/>
              </w:rPr>
              <w:t>采购内容</w:t>
            </w:r>
          </w:p>
        </w:tc>
        <w:tc>
          <w:tcPr>
            <w:tcW w:w="3629" w:type="pct"/>
            <w:vAlign w:val="top"/>
          </w:tcPr>
          <w:p w14:paraId="599002EC">
            <w:pPr>
              <w:pStyle w:val="14"/>
              <w:spacing w:before="165" w:line="360" w:lineRule="auto"/>
              <w:ind w:left="119"/>
              <w:outlineLvl w:val="9"/>
            </w:pPr>
            <w:r>
              <w:rPr>
                <w:spacing w:val="-1"/>
              </w:rPr>
              <w:t>具体见竞争性谈判文件第六部分采购内容及要求</w:t>
            </w:r>
          </w:p>
          <w:p w14:paraId="0531A745">
            <w:pPr>
              <w:pStyle w:val="14"/>
              <w:spacing w:before="184" w:line="360" w:lineRule="auto"/>
              <w:ind w:left="119" w:right="107" w:hanging="3"/>
              <w:outlineLvl w:val="9"/>
            </w:pPr>
            <w:r>
              <w:t>本次采购、报价、谈判、评审和合同授予均以项目为单位，供应</w:t>
            </w:r>
            <w:r>
              <w:rPr>
                <w:spacing w:val="-2"/>
              </w:rPr>
              <w:t>商必须就整个项目进行响应。</w:t>
            </w:r>
          </w:p>
        </w:tc>
      </w:tr>
      <w:tr w14:paraId="3156F8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392" w:type="pct"/>
            <w:vAlign w:val="top"/>
          </w:tcPr>
          <w:p w14:paraId="50F1732D">
            <w:pPr>
              <w:pStyle w:val="14"/>
              <w:spacing w:before="188" w:line="360" w:lineRule="auto"/>
              <w:ind w:left="281"/>
              <w:outlineLvl w:val="9"/>
            </w:pPr>
            <w:r>
              <w:rPr>
                <w:spacing w:val="-14"/>
              </w:rPr>
              <w:t>10</w:t>
            </w:r>
          </w:p>
        </w:tc>
        <w:tc>
          <w:tcPr>
            <w:tcW w:w="978" w:type="pct"/>
            <w:vAlign w:val="top"/>
          </w:tcPr>
          <w:p w14:paraId="5A754D84">
            <w:pPr>
              <w:pStyle w:val="14"/>
              <w:spacing w:before="189" w:line="360" w:lineRule="auto"/>
              <w:ind w:left="112"/>
              <w:outlineLvl w:val="9"/>
            </w:pPr>
            <w:r>
              <w:rPr>
                <w:spacing w:val="-3"/>
              </w:rPr>
              <w:t>谈判报价</w:t>
            </w:r>
          </w:p>
        </w:tc>
        <w:tc>
          <w:tcPr>
            <w:tcW w:w="3629" w:type="pct"/>
            <w:vAlign w:val="top"/>
          </w:tcPr>
          <w:p w14:paraId="5D9C6562">
            <w:pPr>
              <w:pStyle w:val="14"/>
              <w:spacing w:before="189" w:line="360" w:lineRule="auto"/>
              <w:ind w:left="113"/>
              <w:outlineLvl w:val="9"/>
            </w:pPr>
            <w:r>
              <w:rPr>
                <w:spacing w:val="-1"/>
              </w:rPr>
              <w:t>报价包含完成本次谈判项目所包含的一切相关费用。</w:t>
            </w:r>
          </w:p>
        </w:tc>
      </w:tr>
      <w:tr w14:paraId="2FFB3F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16" w:hRule="atLeast"/>
        </w:trPr>
        <w:tc>
          <w:tcPr>
            <w:tcW w:w="392" w:type="pct"/>
            <w:vAlign w:val="top"/>
          </w:tcPr>
          <w:p w14:paraId="36644400">
            <w:pPr>
              <w:spacing w:line="360" w:lineRule="auto"/>
              <w:outlineLvl w:val="9"/>
              <w:rPr>
                <w:rFonts w:ascii="Arial"/>
                <w:sz w:val="21"/>
              </w:rPr>
            </w:pPr>
          </w:p>
          <w:p w14:paraId="54569968">
            <w:pPr>
              <w:spacing w:line="360" w:lineRule="auto"/>
              <w:outlineLvl w:val="9"/>
              <w:rPr>
                <w:rFonts w:ascii="Arial"/>
                <w:sz w:val="21"/>
              </w:rPr>
            </w:pPr>
          </w:p>
          <w:p w14:paraId="43BD7E7E">
            <w:pPr>
              <w:spacing w:line="360" w:lineRule="auto"/>
              <w:outlineLvl w:val="9"/>
              <w:rPr>
                <w:rFonts w:ascii="Arial"/>
                <w:sz w:val="21"/>
              </w:rPr>
            </w:pPr>
          </w:p>
          <w:p w14:paraId="3A5DEF0A">
            <w:pPr>
              <w:spacing w:line="360" w:lineRule="auto"/>
              <w:outlineLvl w:val="9"/>
              <w:rPr>
                <w:rFonts w:ascii="Arial"/>
                <w:sz w:val="21"/>
              </w:rPr>
            </w:pPr>
          </w:p>
          <w:p w14:paraId="597B4EE3">
            <w:pPr>
              <w:pStyle w:val="14"/>
              <w:spacing w:before="78" w:line="360" w:lineRule="auto"/>
              <w:ind w:left="281"/>
              <w:outlineLvl w:val="9"/>
            </w:pPr>
            <w:r>
              <w:rPr>
                <w:spacing w:val="-14"/>
              </w:rPr>
              <w:t>11</w:t>
            </w:r>
          </w:p>
        </w:tc>
        <w:tc>
          <w:tcPr>
            <w:tcW w:w="978" w:type="pct"/>
            <w:vAlign w:val="top"/>
          </w:tcPr>
          <w:p w14:paraId="31078214">
            <w:pPr>
              <w:spacing w:line="360" w:lineRule="auto"/>
              <w:outlineLvl w:val="9"/>
              <w:rPr>
                <w:rFonts w:ascii="Arial"/>
                <w:sz w:val="21"/>
              </w:rPr>
            </w:pPr>
          </w:p>
          <w:p w14:paraId="45E693F7">
            <w:pPr>
              <w:pStyle w:val="14"/>
              <w:spacing w:before="78" w:line="360" w:lineRule="auto"/>
              <w:ind w:left="113" w:right="105" w:firstLine="2"/>
              <w:jc w:val="both"/>
              <w:outlineLvl w:val="9"/>
            </w:pPr>
            <w:r>
              <w:rPr>
                <w:spacing w:val="34"/>
              </w:rPr>
              <w:t>竞争性谈判响</w:t>
            </w:r>
            <w:r>
              <w:rPr>
                <w:spacing w:val="35"/>
              </w:rPr>
              <w:t>应文件递交截止时间及谈判</w:t>
            </w:r>
            <w:r>
              <w:rPr>
                <w:spacing w:val="-2"/>
              </w:rPr>
              <w:t>时间和地点</w:t>
            </w:r>
          </w:p>
        </w:tc>
        <w:tc>
          <w:tcPr>
            <w:tcW w:w="3629" w:type="pct"/>
            <w:vAlign w:val="top"/>
          </w:tcPr>
          <w:p w14:paraId="40EDE4A3">
            <w:pPr>
              <w:pStyle w:val="14"/>
              <w:spacing w:before="118" w:line="360" w:lineRule="auto"/>
              <w:ind w:left="126" w:right="107" w:hanging="8"/>
              <w:outlineLvl w:val="9"/>
              <w:rPr>
                <w:color w:val="auto"/>
                <w:spacing w:val="-1"/>
              </w:rPr>
            </w:pPr>
          </w:p>
          <w:p w14:paraId="3A96822A">
            <w:pPr>
              <w:pStyle w:val="14"/>
              <w:spacing w:before="118" w:line="360" w:lineRule="auto"/>
              <w:ind w:left="126" w:right="107" w:hanging="8"/>
              <w:outlineLvl w:val="9"/>
              <w:rPr>
                <w:color w:val="auto"/>
                <w:highlight w:val="none"/>
              </w:rPr>
            </w:pPr>
            <w:r>
              <w:rPr>
                <w:color w:val="auto"/>
                <w:spacing w:val="-1"/>
                <w:highlight w:val="none"/>
              </w:rPr>
              <w:t>竞争性谈判响应文件递交截止时间：202</w:t>
            </w:r>
            <w:r>
              <w:rPr>
                <w:rFonts w:hint="eastAsia"/>
                <w:color w:val="auto"/>
                <w:spacing w:val="-1"/>
                <w:highlight w:val="none"/>
                <w:lang w:val="en-US" w:eastAsia="zh-CN"/>
              </w:rPr>
              <w:t>6</w:t>
            </w:r>
            <w:r>
              <w:rPr>
                <w:color w:val="auto"/>
                <w:spacing w:val="-1"/>
                <w:highlight w:val="none"/>
              </w:rPr>
              <w:t>年</w:t>
            </w:r>
            <w:r>
              <w:rPr>
                <w:rFonts w:hint="eastAsia"/>
                <w:color w:val="auto"/>
                <w:spacing w:val="-1"/>
                <w:highlight w:val="none"/>
                <w:lang w:val="en-US" w:eastAsia="zh-CN"/>
              </w:rPr>
              <w:t>09</w:t>
            </w:r>
            <w:r>
              <w:rPr>
                <w:color w:val="auto"/>
                <w:spacing w:val="-1"/>
                <w:highlight w:val="none"/>
              </w:rPr>
              <w:t>月</w:t>
            </w:r>
            <w:r>
              <w:rPr>
                <w:rFonts w:hint="eastAsia"/>
                <w:color w:val="auto"/>
                <w:spacing w:val="-28"/>
                <w:highlight w:val="none"/>
                <w:lang w:val="en-US" w:eastAsia="zh-CN"/>
              </w:rPr>
              <w:t>11</w:t>
            </w:r>
            <w:r>
              <w:rPr>
                <w:color w:val="auto"/>
                <w:spacing w:val="-1"/>
                <w:highlight w:val="none"/>
              </w:rPr>
              <w:t>日</w:t>
            </w:r>
            <w:r>
              <w:rPr>
                <w:rFonts w:hint="eastAsia"/>
                <w:color w:val="auto"/>
                <w:spacing w:val="-1"/>
                <w:highlight w:val="none"/>
                <w:lang w:val="en-US" w:eastAsia="zh-CN"/>
              </w:rPr>
              <w:t>09：</w:t>
            </w:r>
            <w:r>
              <w:rPr>
                <w:color w:val="auto"/>
                <w:spacing w:val="-2"/>
                <w:highlight w:val="none"/>
              </w:rPr>
              <w:t>30</w:t>
            </w:r>
            <w:r>
              <w:rPr>
                <w:color w:val="auto"/>
                <w:highlight w:val="none"/>
              </w:rPr>
              <w:t>时</w:t>
            </w:r>
          </w:p>
          <w:p w14:paraId="4A91D0E0">
            <w:pPr>
              <w:pStyle w:val="14"/>
              <w:spacing w:before="118" w:line="360" w:lineRule="auto"/>
              <w:ind w:left="126" w:right="107" w:hanging="8"/>
              <w:outlineLvl w:val="9"/>
              <w:rPr>
                <w:color w:val="auto"/>
                <w:spacing w:val="-1"/>
                <w:highlight w:val="none"/>
              </w:rPr>
            </w:pPr>
            <w:r>
              <w:rPr>
                <w:color w:val="auto"/>
                <w:spacing w:val="-1"/>
                <w:highlight w:val="none"/>
              </w:rPr>
              <w:t>谈判时间：202</w:t>
            </w:r>
            <w:r>
              <w:rPr>
                <w:rFonts w:hint="eastAsia"/>
                <w:color w:val="auto"/>
                <w:spacing w:val="-1"/>
                <w:highlight w:val="none"/>
                <w:lang w:val="en-US" w:eastAsia="zh-CN"/>
              </w:rPr>
              <w:t>6</w:t>
            </w:r>
            <w:r>
              <w:rPr>
                <w:color w:val="auto"/>
                <w:spacing w:val="-1"/>
                <w:highlight w:val="none"/>
              </w:rPr>
              <w:t>年</w:t>
            </w:r>
            <w:r>
              <w:rPr>
                <w:rFonts w:hint="eastAsia"/>
                <w:color w:val="auto"/>
                <w:spacing w:val="-1"/>
                <w:highlight w:val="none"/>
                <w:lang w:val="en-US" w:eastAsia="zh-CN"/>
              </w:rPr>
              <w:t>09</w:t>
            </w:r>
            <w:r>
              <w:rPr>
                <w:color w:val="auto"/>
                <w:spacing w:val="-1"/>
                <w:highlight w:val="none"/>
              </w:rPr>
              <w:t>月</w:t>
            </w:r>
            <w:r>
              <w:rPr>
                <w:rFonts w:hint="eastAsia"/>
                <w:color w:val="auto"/>
                <w:spacing w:val="-1"/>
                <w:highlight w:val="none"/>
                <w:lang w:val="en-US" w:eastAsia="zh-CN"/>
              </w:rPr>
              <w:t>11</w:t>
            </w:r>
            <w:r>
              <w:rPr>
                <w:color w:val="auto"/>
                <w:spacing w:val="-1"/>
                <w:highlight w:val="none"/>
              </w:rPr>
              <w:t>日</w:t>
            </w:r>
            <w:r>
              <w:rPr>
                <w:rFonts w:hint="eastAsia"/>
                <w:color w:val="auto"/>
                <w:spacing w:val="-1"/>
                <w:highlight w:val="none"/>
                <w:lang w:val="en-US" w:eastAsia="zh-CN"/>
              </w:rPr>
              <w:t>09</w:t>
            </w:r>
            <w:r>
              <w:rPr>
                <w:color w:val="auto"/>
                <w:spacing w:val="-1"/>
                <w:highlight w:val="none"/>
              </w:rPr>
              <w:t>：30时</w:t>
            </w:r>
          </w:p>
          <w:p w14:paraId="7A2140E8">
            <w:pPr>
              <w:pStyle w:val="14"/>
              <w:spacing w:before="118" w:line="360" w:lineRule="auto"/>
              <w:ind w:left="126" w:right="107" w:hanging="8"/>
              <w:outlineLvl w:val="9"/>
              <w:rPr>
                <w:rFonts w:hint="eastAsia" w:eastAsia="宋体"/>
                <w:lang w:eastAsia="zh-CN"/>
              </w:rPr>
            </w:pPr>
            <w:r>
              <w:rPr>
                <w:spacing w:val="-1"/>
                <w:highlight w:val="none"/>
              </w:rPr>
              <w:t>谈判地点：</w:t>
            </w:r>
            <w:r>
              <w:rPr>
                <w:rFonts w:hint="eastAsia"/>
                <w:spacing w:val="-1"/>
                <w:highlight w:val="none"/>
                <w:lang w:eastAsia="zh-CN"/>
              </w:rPr>
              <w:t>绥德县世纪家美酒店</w:t>
            </w:r>
            <w:r>
              <w:rPr>
                <w:rFonts w:hint="eastAsia"/>
                <w:spacing w:val="-1"/>
                <w:highlight w:val="none"/>
                <w:lang w:val="en-US" w:eastAsia="zh-CN"/>
              </w:rPr>
              <w:t>华贵厅</w:t>
            </w:r>
            <w:r>
              <w:rPr>
                <w:rFonts w:hint="eastAsia"/>
                <w:spacing w:val="-1"/>
                <w:highlight w:val="none"/>
                <w:lang w:eastAsia="zh-CN"/>
              </w:rPr>
              <w:t>会议室</w:t>
            </w:r>
          </w:p>
        </w:tc>
      </w:tr>
      <w:tr w14:paraId="091B11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0" w:hRule="atLeast"/>
        </w:trPr>
        <w:tc>
          <w:tcPr>
            <w:tcW w:w="392" w:type="pct"/>
            <w:vAlign w:val="top"/>
          </w:tcPr>
          <w:p w14:paraId="1F50D71E">
            <w:pPr>
              <w:spacing w:line="360" w:lineRule="auto"/>
              <w:outlineLvl w:val="9"/>
              <w:rPr>
                <w:rFonts w:ascii="Arial"/>
                <w:sz w:val="21"/>
              </w:rPr>
            </w:pPr>
          </w:p>
          <w:p w14:paraId="797DBD87">
            <w:pPr>
              <w:pStyle w:val="14"/>
              <w:spacing w:before="78" w:line="360" w:lineRule="auto"/>
              <w:ind w:left="281"/>
              <w:outlineLvl w:val="9"/>
            </w:pPr>
            <w:r>
              <w:rPr>
                <w:spacing w:val="-14"/>
              </w:rPr>
              <w:t>12</w:t>
            </w:r>
          </w:p>
        </w:tc>
        <w:tc>
          <w:tcPr>
            <w:tcW w:w="978" w:type="pct"/>
            <w:vAlign w:val="top"/>
          </w:tcPr>
          <w:p w14:paraId="6E7E5584">
            <w:pPr>
              <w:pStyle w:val="14"/>
              <w:spacing w:before="118" w:line="360" w:lineRule="auto"/>
              <w:ind w:left="125" w:right="105" w:hanging="8"/>
              <w:outlineLvl w:val="9"/>
            </w:pPr>
            <w:r>
              <w:rPr>
                <w:spacing w:val="34"/>
              </w:rPr>
              <w:t>是否退还谈判</w:t>
            </w:r>
            <w:r>
              <w:rPr>
                <w:spacing w:val="-6"/>
              </w:rPr>
              <w:t>响应文件</w:t>
            </w:r>
          </w:p>
        </w:tc>
        <w:tc>
          <w:tcPr>
            <w:tcW w:w="3629" w:type="pct"/>
            <w:vAlign w:val="top"/>
          </w:tcPr>
          <w:p w14:paraId="61E4342C">
            <w:pPr>
              <w:spacing w:line="360" w:lineRule="auto"/>
              <w:outlineLvl w:val="9"/>
              <w:rPr>
                <w:rFonts w:ascii="Arial"/>
                <w:sz w:val="21"/>
              </w:rPr>
            </w:pPr>
          </w:p>
          <w:p w14:paraId="598A51BB">
            <w:pPr>
              <w:pStyle w:val="14"/>
              <w:spacing w:before="78" w:line="360" w:lineRule="auto"/>
              <w:ind w:left="139"/>
              <w:outlineLvl w:val="9"/>
            </w:pPr>
            <w:r>
              <w:rPr>
                <w:position w:val="-3"/>
              </w:rPr>
              <w:drawing>
                <wp:inline distT="0" distB="0" distL="0" distR="0">
                  <wp:extent cx="130810" cy="151765"/>
                  <wp:effectExtent l="0" t="0" r="0" b="0"/>
                  <wp:docPr id="4" name="IM 4"/>
                  <wp:cNvGraphicFramePr/>
                  <a:graphic xmlns:a="http://schemas.openxmlformats.org/drawingml/2006/main">
                    <a:graphicData uri="http://schemas.openxmlformats.org/drawingml/2006/picture">
                      <pic:pic xmlns:pic="http://schemas.openxmlformats.org/drawingml/2006/picture">
                        <pic:nvPicPr>
                          <pic:cNvPr id="4" name="IM 4"/>
                          <pic:cNvPicPr/>
                        </pic:nvPicPr>
                        <pic:blipFill>
                          <a:blip r:embed="rId39"/>
                          <a:stretch>
                            <a:fillRect/>
                          </a:stretch>
                        </pic:blipFill>
                        <pic:spPr>
                          <a:xfrm>
                            <a:off x="0" y="0"/>
                            <a:ext cx="130911" cy="152247"/>
                          </a:xfrm>
                          <a:prstGeom prst="rect">
                            <a:avLst/>
                          </a:prstGeom>
                        </pic:spPr>
                      </pic:pic>
                    </a:graphicData>
                  </a:graphic>
                </wp:inline>
              </w:drawing>
            </w:r>
            <w:r>
              <w:t>否□是</w:t>
            </w:r>
          </w:p>
        </w:tc>
      </w:tr>
      <w:tr w14:paraId="588553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3" w:hRule="atLeast"/>
        </w:trPr>
        <w:tc>
          <w:tcPr>
            <w:tcW w:w="392" w:type="pct"/>
            <w:vAlign w:val="top"/>
          </w:tcPr>
          <w:p w14:paraId="3AE38880">
            <w:pPr>
              <w:spacing w:line="360" w:lineRule="auto"/>
              <w:outlineLvl w:val="9"/>
              <w:rPr>
                <w:rFonts w:ascii="Arial"/>
                <w:sz w:val="21"/>
              </w:rPr>
            </w:pPr>
          </w:p>
          <w:p w14:paraId="21806CDC">
            <w:pPr>
              <w:pStyle w:val="14"/>
              <w:spacing w:before="78" w:line="360" w:lineRule="auto"/>
              <w:ind w:left="281"/>
              <w:outlineLvl w:val="9"/>
            </w:pPr>
            <w:r>
              <w:rPr>
                <w:spacing w:val="-14"/>
              </w:rPr>
              <w:t>13</w:t>
            </w:r>
          </w:p>
        </w:tc>
        <w:tc>
          <w:tcPr>
            <w:tcW w:w="978" w:type="pct"/>
            <w:vAlign w:val="top"/>
          </w:tcPr>
          <w:p w14:paraId="7DFF9A46">
            <w:pPr>
              <w:pStyle w:val="14"/>
              <w:spacing w:before="119" w:line="360" w:lineRule="auto"/>
              <w:ind w:left="116" w:right="105"/>
              <w:outlineLvl w:val="9"/>
            </w:pPr>
            <w:r>
              <w:rPr>
                <w:spacing w:val="34"/>
              </w:rPr>
              <w:t>是否允许递交</w:t>
            </w:r>
            <w:r>
              <w:rPr>
                <w:spacing w:val="-3"/>
              </w:rPr>
              <w:t>备选谈判方案</w:t>
            </w:r>
          </w:p>
        </w:tc>
        <w:tc>
          <w:tcPr>
            <w:tcW w:w="3629" w:type="pct"/>
            <w:vAlign w:val="top"/>
          </w:tcPr>
          <w:p w14:paraId="6F114A44">
            <w:pPr>
              <w:spacing w:line="360" w:lineRule="auto"/>
              <w:outlineLvl w:val="9"/>
              <w:rPr>
                <w:rFonts w:ascii="Arial"/>
                <w:sz w:val="21"/>
              </w:rPr>
            </w:pPr>
          </w:p>
          <w:p w14:paraId="1ECFAC7E">
            <w:pPr>
              <w:pStyle w:val="14"/>
              <w:spacing w:before="78" w:line="360" w:lineRule="auto"/>
              <w:ind w:left="139"/>
              <w:outlineLvl w:val="9"/>
            </w:pPr>
            <w:r>
              <w:rPr>
                <w:position w:val="-3"/>
              </w:rPr>
              <w:drawing>
                <wp:inline distT="0" distB="0" distL="0" distR="0">
                  <wp:extent cx="130810" cy="151765"/>
                  <wp:effectExtent l="0" t="0" r="0" b="0"/>
                  <wp:docPr id="6" name="IM 6"/>
                  <wp:cNvGraphicFramePr/>
                  <a:graphic xmlns:a="http://schemas.openxmlformats.org/drawingml/2006/main">
                    <a:graphicData uri="http://schemas.openxmlformats.org/drawingml/2006/picture">
                      <pic:pic xmlns:pic="http://schemas.openxmlformats.org/drawingml/2006/picture">
                        <pic:nvPicPr>
                          <pic:cNvPr id="6" name="IM 6"/>
                          <pic:cNvPicPr/>
                        </pic:nvPicPr>
                        <pic:blipFill>
                          <a:blip r:embed="rId39"/>
                          <a:stretch>
                            <a:fillRect/>
                          </a:stretch>
                        </pic:blipFill>
                        <pic:spPr>
                          <a:xfrm>
                            <a:off x="0" y="0"/>
                            <a:ext cx="130911" cy="152247"/>
                          </a:xfrm>
                          <a:prstGeom prst="rect">
                            <a:avLst/>
                          </a:prstGeom>
                        </pic:spPr>
                      </pic:pic>
                    </a:graphicData>
                  </a:graphic>
                </wp:inline>
              </w:drawing>
            </w:r>
            <w:r>
              <w:t>否□是</w:t>
            </w:r>
          </w:p>
        </w:tc>
      </w:tr>
    </w:tbl>
    <w:p w14:paraId="08AECE4C">
      <w:pPr>
        <w:spacing w:line="360" w:lineRule="auto"/>
        <w:outlineLvl w:val="9"/>
        <w:rPr>
          <w:rFonts w:ascii="Arial"/>
          <w:sz w:val="2"/>
        </w:rPr>
      </w:pPr>
    </w:p>
    <w:tbl>
      <w:tblPr>
        <w:tblStyle w:val="13"/>
        <w:tblW w:w="4998"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654"/>
        <w:gridCol w:w="1631"/>
        <w:gridCol w:w="6052"/>
      </w:tblGrid>
      <w:tr w14:paraId="6BD525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72" w:hRule="atLeast"/>
        </w:trPr>
        <w:tc>
          <w:tcPr>
            <w:tcW w:w="392" w:type="pct"/>
            <w:vAlign w:val="top"/>
          </w:tcPr>
          <w:p w14:paraId="5ACD6969">
            <w:pPr>
              <w:spacing w:line="360" w:lineRule="auto"/>
              <w:outlineLvl w:val="9"/>
              <w:rPr>
                <w:rFonts w:ascii="Arial"/>
                <w:sz w:val="21"/>
              </w:rPr>
            </w:pPr>
          </w:p>
          <w:p w14:paraId="1FC21C81">
            <w:pPr>
              <w:spacing w:line="360" w:lineRule="auto"/>
              <w:outlineLvl w:val="9"/>
              <w:rPr>
                <w:rFonts w:ascii="Arial"/>
                <w:sz w:val="21"/>
              </w:rPr>
            </w:pPr>
          </w:p>
          <w:p w14:paraId="5C8C986F">
            <w:pPr>
              <w:pStyle w:val="14"/>
              <w:spacing w:before="78" w:line="360" w:lineRule="auto"/>
              <w:ind w:left="281"/>
              <w:outlineLvl w:val="9"/>
            </w:pPr>
            <w:r>
              <w:rPr>
                <w:spacing w:val="-14"/>
              </w:rPr>
              <w:t>14</w:t>
            </w:r>
          </w:p>
        </w:tc>
        <w:tc>
          <w:tcPr>
            <w:tcW w:w="978" w:type="pct"/>
            <w:vAlign w:val="top"/>
          </w:tcPr>
          <w:p w14:paraId="1A57E3D2">
            <w:pPr>
              <w:spacing w:line="360" w:lineRule="auto"/>
              <w:outlineLvl w:val="9"/>
              <w:rPr>
                <w:rFonts w:ascii="Arial"/>
                <w:sz w:val="21"/>
              </w:rPr>
            </w:pPr>
          </w:p>
          <w:p w14:paraId="3BCB23B5">
            <w:pPr>
              <w:spacing w:line="360" w:lineRule="auto"/>
              <w:outlineLvl w:val="9"/>
              <w:rPr>
                <w:rFonts w:ascii="Arial"/>
                <w:sz w:val="21"/>
              </w:rPr>
            </w:pPr>
          </w:p>
          <w:p w14:paraId="769D976E">
            <w:pPr>
              <w:pStyle w:val="14"/>
              <w:spacing w:before="78" w:line="360" w:lineRule="auto"/>
              <w:ind w:left="114"/>
              <w:outlineLvl w:val="9"/>
            </w:pPr>
            <w:r>
              <w:rPr>
                <w:spacing w:val="-3"/>
              </w:rPr>
              <w:t>其他事项</w:t>
            </w:r>
          </w:p>
        </w:tc>
        <w:tc>
          <w:tcPr>
            <w:tcW w:w="3629" w:type="pct"/>
            <w:vAlign w:val="top"/>
          </w:tcPr>
          <w:p w14:paraId="1D6BB549">
            <w:pPr>
              <w:pStyle w:val="14"/>
              <w:spacing w:before="196" w:line="360" w:lineRule="auto"/>
              <w:ind w:left="116" w:right="107"/>
              <w:jc w:val="both"/>
              <w:outlineLvl w:val="9"/>
            </w:pPr>
            <w:r>
              <w:t>本次采购采用项目整体打包方式，供应商可根据自身的资质情况和经营范围进行投标，但不得将其自行分解或只对本次项目中的</w:t>
            </w:r>
            <w:r>
              <w:rPr>
                <w:spacing w:val="-1"/>
              </w:rPr>
              <w:t>品目进行不完全投标，任何不完全的投标将按无效投标处理。</w:t>
            </w:r>
          </w:p>
        </w:tc>
      </w:tr>
      <w:tr w14:paraId="7B688F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7" w:hRule="atLeast"/>
        </w:trPr>
        <w:tc>
          <w:tcPr>
            <w:tcW w:w="392" w:type="pct"/>
            <w:vAlign w:val="top"/>
          </w:tcPr>
          <w:p w14:paraId="52E31B6A">
            <w:pPr>
              <w:pStyle w:val="14"/>
              <w:spacing w:before="233" w:line="360" w:lineRule="auto"/>
              <w:ind w:left="281"/>
              <w:outlineLvl w:val="9"/>
            </w:pPr>
            <w:r>
              <w:rPr>
                <w:spacing w:val="-14"/>
              </w:rPr>
              <w:t>15</w:t>
            </w:r>
          </w:p>
        </w:tc>
        <w:tc>
          <w:tcPr>
            <w:tcW w:w="978" w:type="pct"/>
            <w:vAlign w:val="top"/>
          </w:tcPr>
          <w:p w14:paraId="16D89A99">
            <w:pPr>
              <w:pStyle w:val="14"/>
              <w:spacing w:before="233" w:line="360" w:lineRule="auto"/>
              <w:ind w:left="113"/>
              <w:outlineLvl w:val="9"/>
              <w:rPr>
                <w:color w:val="auto"/>
              </w:rPr>
            </w:pPr>
            <w:r>
              <w:rPr>
                <w:rFonts w:hint="eastAsia"/>
                <w:color w:val="auto"/>
                <w:spacing w:val="-4"/>
                <w:lang w:val="en-US" w:eastAsia="zh-CN"/>
              </w:rPr>
              <w:t>服务</w:t>
            </w:r>
            <w:r>
              <w:rPr>
                <w:color w:val="auto"/>
                <w:spacing w:val="-4"/>
              </w:rPr>
              <w:t>期</w:t>
            </w:r>
          </w:p>
        </w:tc>
        <w:tc>
          <w:tcPr>
            <w:tcW w:w="3629" w:type="pct"/>
            <w:vAlign w:val="top"/>
          </w:tcPr>
          <w:p w14:paraId="10A72663">
            <w:pPr>
              <w:pStyle w:val="14"/>
              <w:spacing w:before="233" w:line="360" w:lineRule="auto"/>
              <w:ind w:left="116"/>
              <w:outlineLvl w:val="9"/>
              <w:rPr>
                <w:rFonts w:hint="default" w:eastAsia="宋体"/>
                <w:color w:val="auto"/>
                <w:lang w:val="en-US" w:eastAsia="zh-CN"/>
              </w:rPr>
            </w:pPr>
            <w:r>
              <w:rPr>
                <w:rFonts w:hint="eastAsia"/>
                <w:color w:val="auto"/>
                <w:spacing w:val="-3"/>
                <w:highlight w:val="none"/>
                <w:lang w:val="en-US" w:eastAsia="zh-CN"/>
              </w:rPr>
              <w:t>自合同签订之日起一年</w:t>
            </w:r>
          </w:p>
        </w:tc>
      </w:tr>
      <w:tr w14:paraId="1C6AAD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8" w:hRule="atLeast"/>
        </w:trPr>
        <w:tc>
          <w:tcPr>
            <w:tcW w:w="392" w:type="pct"/>
            <w:vAlign w:val="top"/>
          </w:tcPr>
          <w:p w14:paraId="05B93E4E">
            <w:pPr>
              <w:pStyle w:val="14"/>
              <w:spacing w:before="220" w:line="360" w:lineRule="auto"/>
              <w:ind w:left="281"/>
              <w:outlineLvl w:val="9"/>
              <w:rPr>
                <w:rFonts w:hint="default" w:eastAsia="宋体"/>
                <w:lang w:val="en-US" w:eastAsia="zh-CN"/>
              </w:rPr>
            </w:pPr>
            <w:r>
              <w:rPr>
                <w:rFonts w:hint="eastAsia"/>
                <w:spacing w:val="-14"/>
                <w:lang w:val="en-US" w:eastAsia="zh-CN"/>
              </w:rPr>
              <w:t>16</w:t>
            </w:r>
          </w:p>
        </w:tc>
        <w:tc>
          <w:tcPr>
            <w:tcW w:w="978" w:type="pct"/>
            <w:vAlign w:val="top"/>
          </w:tcPr>
          <w:p w14:paraId="572988E6">
            <w:pPr>
              <w:pStyle w:val="14"/>
              <w:spacing w:before="144" w:line="360" w:lineRule="auto"/>
              <w:ind w:left="113"/>
              <w:outlineLvl w:val="9"/>
            </w:pPr>
            <w:r>
              <w:rPr>
                <w:spacing w:val="-3"/>
              </w:rPr>
              <w:t>付款方式</w:t>
            </w:r>
          </w:p>
        </w:tc>
        <w:tc>
          <w:tcPr>
            <w:tcW w:w="3629" w:type="pct"/>
            <w:vAlign w:val="top"/>
          </w:tcPr>
          <w:p w14:paraId="55C4FDF0">
            <w:pPr>
              <w:pStyle w:val="14"/>
              <w:spacing w:before="144" w:line="360" w:lineRule="auto"/>
              <w:ind w:left="116"/>
              <w:outlineLvl w:val="9"/>
            </w:pPr>
            <w:r>
              <w:rPr>
                <w:rFonts w:hint="eastAsia" w:ascii="宋体" w:hAnsi="宋体" w:eastAsia="宋体" w:cs="宋体"/>
                <w:spacing w:val="2"/>
                <w:sz w:val="24"/>
                <w:szCs w:val="24"/>
                <w:highlight w:val="none"/>
                <w:lang w:val="en-US" w:eastAsia="zh-CN"/>
              </w:rPr>
              <w:t>服务期满</w:t>
            </w:r>
            <w:r>
              <w:rPr>
                <w:rFonts w:hint="eastAsia" w:ascii="宋体" w:hAnsi="宋体" w:eastAsia="宋体" w:cs="宋体"/>
                <w:spacing w:val="2"/>
                <w:sz w:val="24"/>
                <w:szCs w:val="24"/>
                <w:highlight w:val="none"/>
              </w:rPr>
              <w:t>验收合格后</w:t>
            </w:r>
            <w:r>
              <w:rPr>
                <w:rFonts w:hint="eastAsia" w:ascii="宋体" w:hAnsi="宋体" w:eastAsia="宋体" w:cs="宋体"/>
                <w:spacing w:val="1"/>
                <w:sz w:val="24"/>
                <w:szCs w:val="24"/>
                <w:highlight w:val="none"/>
              </w:rPr>
              <w:t>一次性付清</w:t>
            </w:r>
          </w:p>
        </w:tc>
      </w:tr>
      <w:tr w14:paraId="0ADE5A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3" w:hRule="atLeast"/>
        </w:trPr>
        <w:tc>
          <w:tcPr>
            <w:tcW w:w="392" w:type="pct"/>
            <w:vAlign w:val="top"/>
          </w:tcPr>
          <w:p w14:paraId="58E2F45B">
            <w:pPr>
              <w:spacing w:line="360" w:lineRule="auto"/>
              <w:outlineLvl w:val="9"/>
              <w:rPr>
                <w:rFonts w:ascii="Arial"/>
                <w:sz w:val="21"/>
              </w:rPr>
            </w:pPr>
          </w:p>
          <w:p w14:paraId="30DDFEEA">
            <w:pPr>
              <w:pStyle w:val="14"/>
              <w:spacing w:before="78" w:line="360" w:lineRule="auto"/>
              <w:ind w:left="281"/>
              <w:outlineLvl w:val="9"/>
              <w:rPr>
                <w:rFonts w:hint="default" w:eastAsia="宋体"/>
                <w:lang w:val="en-US" w:eastAsia="zh-CN"/>
              </w:rPr>
            </w:pPr>
            <w:r>
              <w:rPr>
                <w:rFonts w:hint="eastAsia"/>
                <w:spacing w:val="-14"/>
                <w:lang w:val="en-US" w:eastAsia="zh-CN"/>
              </w:rPr>
              <w:t>17</w:t>
            </w:r>
          </w:p>
        </w:tc>
        <w:tc>
          <w:tcPr>
            <w:tcW w:w="978" w:type="pct"/>
            <w:vAlign w:val="top"/>
          </w:tcPr>
          <w:p w14:paraId="60D83B0D">
            <w:pPr>
              <w:spacing w:line="360" w:lineRule="auto"/>
              <w:outlineLvl w:val="9"/>
              <w:rPr>
                <w:rFonts w:ascii="Arial"/>
                <w:sz w:val="21"/>
              </w:rPr>
            </w:pPr>
          </w:p>
          <w:p w14:paraId="5A4A01C5">
            <w:pPr>
              <w:pStyle w:val="14"/>
              <w:spacing w:before="78" w:line="360" w:lineRule="auto"/>
              <w:ind w:left="112"/>
              <w:outlineLvl w:val="9"/>
            </w:pPr>
            <w:r>
              <w:rPr>
                <w:spacing w:val="-2"/>
              </w:rPr>
              <w:t>谈判保证金</w:t>
            </w:r>
          </w:p>
        </w:tc>
        <w:tc>
          <w:tcPr>
            <w:tcW w:w="3629" w:type="pct"/>
            <w:vAlign w:val="top"/>
          </w:tcPr>
          <w:p w14:paraId="4564C17A">
            <w:pPr>
              <w:spacing w:line="360" w:lineRule="auto"/>
              <w:outlineLvl w:val="9"/>
              <w:rPr>
                <w:rFonts w:ascii="Arial"/>
                <w:sz w:val="21"/>
              </w:rPr>
            </w:pPr>
          </w:p>
          <w:p w14:paraId="743796D9">
            <w:pPr>
              <w:pStyle w:val="14"/>
              <w:spacing w:before="78" w:line="360" w:lineRule="auto"/>
              <w:ind w:left="115"/>
              <w:outlineLvl w:val="9"/>
            </w:pPr>
            <w:r>
              <w:rPr>
                <w:spacing w:val="-2"/>
              </w:rPr>
              <w:t>信用承诺书代替</w:t>
            </w:r>
          </w:p>
        </w:tc>
      </w:tr>
      <w:tr w14:paraId="661320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8" w:hRule="atLeast"/>
        </w:trPr>
        <w:tc>
          <w:tcPr>
            <w:tcW w:w="392" w:type="pct"/>
            <w:vAlign w:val="top"/>
          </w:tcPr>
          <w:p w14:paraId="70BB4184">
            <w:pPr>
              <w:spacing w:line="360" w:lineRule="auto"/>
              <w:outlineLvl w:val="9"/>
              <w:rPr>
                <w:rFonts w:ascii="Arial"/>
                <w:sz w:val="21"/>
              </w:rPr>
            </w:pPr>
          </w:p>
          <w:p w14:paraId="3CFC8426">
            <w:pPr>
              <w:spacing w:line="360" w:lineRule="auto"/>
              <w:outlineLvl w:val="9"/>
              <w:rPr>
                <w:rFonts w:ascii="Arial"/>
                <w:sz w:val="21"/>
              </w:rPr>
            </w:pPr>
          </w:p>
          <w:p w14:paraId="2652E745">
            <w:pPr>
              <w:pStyle w:val="14"/>
              <w:spacing w:before="78" w:line="360" w:lineRule="auto"/>
              <w:ind w:left="281"/>
              <w:outlineLvl w:val="9"/>
              <w:rPr>
                <w:rFonts w:hint="default" w:eastAsia="宋体"/>
                <w:lang w:val="en-US" w:eastAsia="zh-CN"/>
              </w:rPr>
            </w:pPr>
            <w:r>
              <w:rPr>
                <w:rFonts w:hint="eastAsia"/>
                <w:spacing w:val="-14"/>
                <w:lang w:val="en-US" w:eastAsia="zh-CN"/>
              </w:rPr>
              <w:t>18</w:t>
            </w:r>
          </w:p>
        </w:tc>
        <w:tc>
          <w:tcPr>
            <w:tcW w:w="978" w:type="pct"/>
            <w:vAlign w:val="top"/>
          </w:tcPr>
          <w:p w14:paraId="59E6F909">
            <w:pPr>
              <w:spacing w:line="360" w:lineRule="auto"/>
              <w:outlineLvl w:val="9"/>
              <w:rPr>
                <w:rFonts w:ascii="Arial"/>
                <w:sz w:val="21"/>
              </w:rPr>
            </w:pPr>
          </w:p>
          <w:p w14:paraId="02AB60EF">
            <w:pPr>
              <w:spacing w:line="360" w:lineRule="auto"/>
              <w:outlineLvl w:val="9"/>
              <w:rPr>
                <w:rFonts w:ascii="Arial"/>
                <w:sz w:val="21"/>
              </w:rPr>
            </w:pPr>
          </w:p>
          <w:p w14:paraId="169E43F2">
            <w:pPr>
              <w:pStyle w:val="14"/>
              <w:spacing w:before="78" w:line="360" w:lineRule="auto"/>
              <w:ind w:left="112"/>
              <w:outlineLvl w:val="9"/>
            </w:pPr>
            <w:r>
              <w:rPr>
                <w:spacing w:val="-2"/>
              </w:rPr>
              <w:t>谈判有效期</w:t>
            </w:r>
          </w:p>
        </w:tc>
        <w:tc>
          <w:tcPr>
            <w:tcW w:w="3629" w:type="pct"/>
            <w:vAlign w:val="top"/>
          </w:tcPr>
          <w:p w14:paraId="29F1A0F9">
            <w:pPr>
              <w:pStyle w:val="14"/>
              <w:spacing w:before="118" w:line="360" w:lineRule="auto"/>
              <w:ind w:left="116" w:right="107" w:hanging="2"/>
              <w:jc w:val="both"/>
              <w:outlineLvl w:val="9"/>
            </w:pPr>
            <w:r>
              <w:rPr>
                <w:spacing w:val="-2"/>
              </w:rPr>
              <w:t>谈判响应文件从投标截止日起，</w:t>
            </w:r>
            <w:r>
              <w:rPr>
                <w:color w:val="auto"/>
                <w:spacing w:val="-2"/>
              </w:rPr>
              <w:t>投标有效期为</w:t>
            </w:r>
            <w:r>
              <w:rPr>
                <w:rFonts w:hint="eastAsia"/>
                <w:color w:val="auto"/>
                <w:spacing w:val="-3"/>
                <w:lang w:val="en-US" w:eastAsia="zh-CN"/>
              </w:rPr>
              <w:t>100</w:t>
            </w:r>
            <w:r>
              <w:rPr>
                <w:color w:val="auto"/>
                <w:spacing w:val="-3"/>
              </w:rPr>
              <w:t>天，投</w:t>
            </w:r>
            <w:r>
              <w:rPr>
                <w:spacing w:val="-3"/>
              </w:rPr>
              <w:t>标有效期</w:t>
            </w:r>
            <w:r>
              <w:t>短于此规定期限的响应文件，视为无效文件。成交供应商的响应</w:t>
            </w:r>
            <w:r>
              <w:rPr>
                <w:spacing w:val="-1"/>
              </w:rPr>
              <w:t>文件有效期延长至合同执行完毕。</w:t>
            </w:r>
          </w:p>
        </w:tc>
      </w:tr>
      <w:tr w14:paraId="2C3430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06" w:hRule="atLeast"/>
        </w:trPr>
        <w:tc>
          <w:tcPr>
            <w:tcW w:w="392" w:type="pct"/>
            <w:vAlign w:val="top"/>
          </w:tcPr>
          <w:p w14:paraId="781FF986">
            <w:pPr>
              <w:spacing w:line="360" w:lineRule="auto"/>
              <w:outlineLvl w:val="9"/>
              <w:rPr>
                <w:rFonts w:ascii="Arial"/>
                <w:sz w:val="21"/>
              </w:rPr>
            </w:pPr>
          </w:p>
          <w:p w14:paraId="34CC7843">
            <w:pPr>
              <w:spacing w:line="360" w:lineRule="auto"/>
              <w:outlineLvl w:val="9"/>
              <w:rPr>
                <w:rFonts w:ascii="Arial"/>
                <w:sz w:val="21"/>
              </w:rPr>
            </w:pPr>
          </w:p>
          <w:p w14:paraId="7AF95A0A">
            <w:pPr>
              <w:spacing w:line="360" w:lineRule="auto"/>
              <w:outlineLvl w:val="9"/>
              <w:rPr>
                <w:rFonts w:ascii="Arial"/>
                <w:sz w:val="21"/>
              </w:rPr>
            </w:pPr>
          </w:p>
          <w:p w14:paraId="5B1318F6">
            <w:pPr>
              <w:spacing w:line="360" w:lineRule="auto"/>
              <w:outlineLvl w:val="9"/>
              <w:rPr>
                <w:rFonts w:ascii="Arial"/>
                <w:sz w:val="21"/>
              </w:rPr>
            </w:pPr>
          </w:p>
          <w:p w14:paraId="6185D573">
            <w:pPr>
              <w:spacing w:line="360" w:lineRule="auto"/>
              <w:outlineLvl w:val="9"/>
              <w:rPr>
                <w:rFonts w:ascii="Arial"/>
                <w:sz w:val="21"/>
              </w:rPr>
            </w:pPr>
          </w:p>
          <w:p w14:paraId="7926450F">
            <w:pPr>
              <w:pStyle w:val="14"/>
              <w:spacing w:before="78" w:line="360" w:lineRule="auto"/>
              <w:ind w:left="266"/>
              <w:outlineLvl w:val="9"/>
              <w:rPr>
                <w:rFonts w:hint="default" w:eastAsia="宋体"/>
                <w:lang w:val="en-US" w:eastAsia="zh-CN"/>
              </w:rPr>
            </w:pPr>
            <w:r>
              <w:rPr>
                <w:rFonts w:hint="eastAsia"/>
                <w:spacing w:val="-7"/>
                <w:lang w:val="en-US" w:eastAsia="zh-CN"/>
              </w:rPr>
              <w:t>19</w:t>
            </w:r>
          </w:p>
        </w:tc>
        <w:tc>
          <w:tcPr>
            <w:tcW w:w="978" w:type="pct"/>
            <w:vAlign w:val="top"/>
          </w:tcPr>
          <w:p w14:paraId="56C40627">
            <w:pPr>
              <w:spacing w:line="360" w:lineRule="auto"/>
              <w:outlineLvl w:val="9"/>
              <w:rPr>
                <w:rFonts w:ascii="Arial"/>
                <w:sz w:val="21"/>
              </w:rPr>
            </w:pPr>
          </w:p>
          <w:p w14:paraId="286BD79A">
            <w:pPr>
              <w:spacing w:line="360" w:lineRule="auto"/>
              <w:outlineLvl w:val="9"/>
              <w:rPr>
                <w:rFonts w:ascii="Arial"/>
                <w:sz w:val="21"/>
              </w:rPr>
            </w:pPr>
          </w:p>
          <w:p w14:paraId="084568B5">
            <w:pPr>
              <w:spacing w:line="360" w:lineRule="auto"/>
              <w:outlineLvl w:val="9"/>
              <w:rPr>
                <w:rFonts w:ascii="Arial"/>
                <w:sz w:val="21"/>
              </w:rPr>
            </w:pPr>
          </w:p>
          <w:p w14:paraId="7ABE0D5E">
            <w:pPr>
              <w:spacing w:line="360" w:lineRule="auto"/>
              <w:outlineLvl w:val="9"/>
              <w:rPr>
                <w:rFonts w:ascii="Arial"/>
                <w:sz w:val="21"/>
              </w:rPr>
            </w:pPr>
          </w:p>
          <w:p w14:paraId="22488846">
            <w:pPr>
              <w:spacing w:line="360" w:lineRule="auto"/>
              <w:outlineLvl w:val="9"/>
              <w:rPr>
                <w:rFonts w:ascii="Arial"/>
                <w:sz w:val="21"/>
              </w:rPr>
            </w:pPr>
          </w:p>
          <w:p w14:paraId="41A80CC2">
            <w:pPr>
              <w:pStyle w:val="14"/>
              <w:spacing w:before="78" w:line="360" w:lineRule="auto"/>
              <w:ind w:left="112" w:right="105"/>
              <w:outlineLvl w:val="9"/>
            </w:pPr>
            <w:r>
              <w:rPr>
                <w:spacing w:val="35"/>
              </w:rPr>
              <w:t>供应商身份核</w:t>
            </w:r>
            <w:r>
              <w:t>验</w:t>
            </w:r>
          </w:p>
        </w:tc>
        <w:tc>
          <w:tcPr>
            <w:tcW w:w="3629" w:type="pct"/>
            <w:vAlign w:val="top"/>
          </w:tcPr>
          <w:p w14:paraId="4B77F18B">
            <w:pPr>
              <w:pStyle w:val="14"/>
              <w:spacing w:before="117" w:line="360" w:lineRule="auto"/>
              <w:ind w:left="116"/>
              <w:outlineLvl w:val="9"/>
            </w:pPr>
            <w:r>
              <w:rPr>
                <w:spacing w:val="-1"/>
              </w:rPr>
              <w:t>开标会议现场，由监标人对供应商代表进行身份核验：</w:t>
            </w:r>
          </w:p>
          <w:p w14:paraId="0A644B10">
            <w:pPr>
              <w:pStyle w:val="14"/>
              <w:spacing w:before="183" w:line="360" w:lineRule="auto"/>
              <w:ind w:left="116" w:right="147"/>
              <w:outlineLvl w:val="9"/>
            </w:pPr>
            <w:r>
              <w:rPr>
                <w:spacing w:val="-1"/>
              </w:rPr>
              <w:t>法定代表人/负责人到场的，须手持法定代表人/负</w:t>
            </w:r>
            <w:r>
              <w:rPr>
                <w:spacing w:val="-2"/>
              </w:rPr>
              <w:t>责人证明书、</w:t>
            </w:r>
            <w:r>
              <w:rPr>
                <w:spacing w:val="-1"/>
              </w:rPr>
              <w:t>合法有效的身份证原件及复印件；</w:t>
            </w:r>
          </w:p>
          <w:p w14:paraId="6AA4ED97">
            <w:pPr>
              <w:pStyle w:val="14"/>
              <w:spacing w:line="360" w:lineRule="auto"/>
              <w:ind w:left="114" w:right="107" w:firstLine="1"/>
              <w:outlineLvl w:val="9"/>
              <w:rPr>
                <w:rFonts w:hint="eastAsia" w:eastAsia="宋体"/>
                <w:lang w:eastAsia="zh-CN"/>
              </w:rPr>
            </w:pPr>
            <w:r>
              <w:t>法定代表人/负责人授权代表到场的，须手持法定代表人/负责人</w:t>
            </w:r>
            <w:r>
              <w:rPr>
                <w:spacing w:val="9"/>
              </w:rPr>
              <w:t>授权书、合法有效的身份证原件和复印件</w:t>
            </w:r>
            <w:r>
              <w:rPr>
                <w:rFonts w:hint="eastAsia"/>
                <w:spacing w:val="9"/>
                <w:lang w:eastAsia="zh-CN"/>
              </w:rPr>
              <w:t>。</w:t>
            </w:r>
          </w:p>
        </w:tc>
      </w:tr>
      <w:tr w14:paraId="4181B4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61" w:hRule="atLeast"/>
        </w:trPr>
        <w:tc>
          <w:tcPr>
            <w:tcW w:w="392" w:type="pct"/>
            <w:vAlign w:val="top"/>
          </w:tcPr>
          <w:p w14:paraId="0ED45CC0">
            <w:pPr>
              <w:spacing w:line="360" w:lineRule="auto"/>
              <w:outlineLvl w:val="9"/>
              <w:rPr>
                <w:rFonts w:ascii="Arial"/>
                <w:sz w:val="21"/>
              </w:rPr>
            </w:pPr>
          </w:p>
          <w:p w14:paraId="22229966">
            <w:pPr>
              <w:spacing w:line="360" w:lineRule="auto"/>
              <w:outlineLvl w:val="9"/>
              <w:rPr>
                <w:rFonts w:ascii="Arial"/>
                <w:sz w:val="21"/>
              </w:rPr>
            </w:pPr>
          </w:p>
          <w:p w14:paraId="2A8CD5AE">
            <w:pPr>
              <w:spacing w:line="360" w:lineRule="auto"/>
              <w:outlineLvl w:val="9"/>
              <w:rPr>
                <w:rFonts w:ascii="Arial"/>
                <w:sz w:val="21"/>
              </w:rPr>
            </w:pPr>
          </w:p>
          <w:p w14:paraId="0906DA06">
            <w:pPr>
              <w:pStyle w:val="14"/>
              <w:spacing w:before="78" w:line="360" w:lineRule="auto"/>
              <w:ind w:left="266"/>
              <w:outlineLvl w:val="9"/>
              <w:rPr>
                <w:rFonts w:hint="default" w:eastAsia="宋体"/>
                <w:lang w:val="en-US" w:eastAsia="zh-CN"/>
              </w:rPr>
            </w:pPr>
            <w:r>
              <w:rPr>
                <w:rFonts w:hint="eastAsia"/>
                <w:spacing w:val="-7"/>
                <w:lang w:val="en-US" w:eastAsia="zh-CN"/>
              </w:rPr>
              <w:t>20</w:t>
            </w:r>
          </w:p>
        </w:tc>
        <w:tc>
          <w:tcPr>
            <w:tcW w:w="978" w:type="pct"/>
            <w:vAlign w:val="top"/>
          </w:tcPr>
          <w:p w14:paraId="4820BC92">
            <w:pPr>
              <w:spacing w:line="360" w:lineRule="auto"/>
              <w:outlineLvl w:val="9"/>
              <w:rPr>
                <w:rFonts w:ascii="Arial"/>
                <w:sz w:val="21"/>
              </w:rPr>
            </w:pPr>
          </w:p>
          <w:p w14:paraId="7064CA9B">
            <w:pPr>
              <w:pStyle w:val="14"/>
              <w:spacing w:before="78" w:line="360" w:lineRule="auto"/>
              <w:ind w:left="115"/>
              <w:outlineLvl w:val="9"/>
            </w:pPr>
            <w:r>
              <w:rPr>
                <w:spacing w:val="10"/>
              </w:rPr>
              <w:t>竞争性谈判响应</w:t>
            </w:r>
            <w:r>
              <w:rPr>
                <w:spacing w:val="-7"/>
              </w:rPr>
              <w:t>文件递交方式</w:t>
            </w:r>
          </w:p>
        </w:tc>
        <w:tc>
          <w:tcPr>
            <w:tcW w:w="3629" w:type="pct"/>
            <w:vAlign w:val="top"/>
          </w:tcPr>
          <w:p w14:paraId="3337A753">
            <w:pPr>
              <w:pStyle w:val="14"/>
              <w:spacing w:before="118" w:line="360" w:lineRule="auto"/>
              <w:ind w:left="115" w:right="107" w:firstLine="2"/>
              <w:jc w:val="both"/>
              <w:outlineLvl w:val="9"/>
            </w:pPr>
            <w:r>
              <w:rPr>
                <w:spacing w:val="-9"/>
              </w:rPr>
              <w:t>竞争性谈判响应文件：正本壹份、副本贰份</w:t>
            </w:r>
            <w:r>
              <w:rPr>
                <w:spacing w:val="-7"/>
              </w:rPr>
              <w:t>。竞争性谈判响</w:t>
            </w:r>
            <w:r>
              <w:t>应文件正、副本须各自装订成册，统一编码（要求胶装、不得出</w:t>
            </w:r>
            <w:r>
              <w:rPr>
                <w:spacing w:val="-20"/>
              </w:rPr>
              <w:t>现活页）。</w:t>
            </w:r>
          </w:p>
        </w:tc>
      </w:tr>
      <w:tr w14:paraId="6DA2FC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44" w:hRule="atLeast"/>
        </w:trPr>
        <w:tc>
          <w:tcPr>
            <w:tcW w:w="392" w:type="pct"/>
            <w:vAlign w:val="top"/>
          </w:tcPr>
          <w:p w14:paraId="7D8C560B">
            <w:pPr>
              <w:spacing w:line="360" w:lineRule="auto"/>
              <w:outlineLvl w:val="9"/>
              <w:rPr>
                <w:rFonts w:ascii="Arial"/>
                <w:sz w:val="21"/>
              </w:rPr>
            </w:pPr>
          </w:p>
          <w:p w14:paraId="025C70E3">
            <w:pPr>
              <w:spacing w:line="360" w:lineRule="auto"/>
              <w:outlineLvl w:val="9"/>
              <w:rPr>
                <w:rFonts w:ascii="Arial"/>
                <w:sz w:val="21"/>
              </w:rPr>
            </w:pPr>
          </w:p>
          <w:p w14:paraId="42DE78E8">
            <w:pPr>
              <w:spacing w:line="360" w:lineRule="auto"/>
              <w:outlineLvl w:val="9"/>
              <w:rPr>
                <w:rFonts w:ascii="Arial"/>
                <w:sz w:val="21"/>
              </w:rPr>
            </w:pPr>
          </w:p>
          <w:p w14:paraId="77A3E3FC">
            <w:pPr>
              <w:spacing w:line="360" w:lineRule="auto"/>
              <w:outlineLvl w:val="9"/>
              <w:rPr>
                <w:rFonts w:ascii="Arial"/>
                <w:sz w:val="21"/>
              </w:rPr>
            </w:pPr>
          </w:p>
          <w:p w14:paraId="34A3B4D5">
            <w:pPr>
              <w:pStyle w:val="14"/>
              <w:spacing w:before="78" w:line="360" w:lineRule="auto"/>
              <w:ind w:left="266"/>
              <w:outlineLvl w:val="9"/>
              <w:rPr>
                <w:rFonts w:hint="default" w:eastAsia="宋体"/>
                <w:lang w:val="en-US" w:eastAsia="zh-CN"/>
              </w:rPr>
            </w:pPr>
            <w:r>
              <w:rPr>
                <w:rFonts w:hint="eastAsia"/>
                <w:spacing w:val="-7"/>
                <w:lang w:val="en-US" w:eastAsia="zh-CN"/>
              </w:rPr>
              <w:t>21</w:t>
            </w:r>
          </w:p>
        </w:tc>
        <w:tc>
          <w:tcPr>
            <w:tcW w:w="978" w:type="pct"/>
            <w:vAlign w:val="top"/>
          </w:tcPr>
          <w:p w14:paraId="71957702">
            <w:pPr>
              <w:spacing w:line="360" w:lineRule="auto"/>
              <w:outlineLvl w:val="9"/>
              <w:rPr>
                <w:rFonts w:ascii="Arial"/>
                <w:sz w:val="21"/>
              </w:rPr>
            </w:pPr>
          </w:p>
          <w:p w14:paraId="6A346A5B">
            <w:pPr>
              <w:spacing w:line="360" w:lineRule="auto"/>
              <w:outlineLvl w:val="9"/>
              <w:rPr>
                <w:rFonts w:ascii="Arial"/>
                <w:sz w:val="21"/>
              </w:rPr>
            </w:pPr>
          </w:p>
          <w:p w14:paraId="0BBB80C9">
            <w:pPr>
              <w:spacing w:line="360" w:lineRule="auto"/>
              <w:outlineLvl w:val="9"/>
              <w:rPr>
                <w:rFonts w:ascii="Arial"/>
                <w:sz w:val="21"/>
              </w:rPr>
            </w:pPr>
          </w:p>
          <w:p w14:paraId="6DDEB0E6">
            <w:pPr>
              <w:pStyle w:val="14"/>
              <w:spacing w:before="78" w:line="360" w:lineRule="auto"/>
              <w:ind w:left="114" w:right="105" w:hanging="1"/>
              <w:outlineLvl w:val="9"/>
            </w:pPr>
            <w:r>
              <w:rPr>
                <w:spacing w:val="35"/>
              </w:rPr>
              <w:t>供应商资格要</w:t>
            </w:r>
            <w:r>
              <w:t>求</w:t>
            </w:r>
          </w:p>
        </w:tc>
        <w:tc>
          <w:tcPr>
            <w:tcW w:w="3629" w:type="pct"/>
            <w:vAlign w:val="top"/>
          </w:tcPr>
          <w:p w14:paraId="68246904">
            <w:pPr>
              <w:pStyle w:val="14"/>
              <w:spacing w:before="118" w:line="360" w:lineRule="auto"/>
              <w:ind w:left="114" w:right="107"/>
              <w:outlineLvl w:val="9"/>
            </w:pPr>
            <w:r>
              <w:rPr>
                <w:b/>
                <w:bCs/>
                <w:spacing w:val="6"/>
              </w:rPr>
              <w:t>谈判响应文件中需提交以下资质及谈判文件要求的其他证明材</w:t>
            </w:r>
            <w:r>
              <w:rPr>
                <w:b/>
                <w:bCs/>
                <w:spacing w:val="-8"/>
              </w:rPr>
              <w:t>料：</w:t>
            </w:r>
          </w:p>
          <w:p w14:paraId="5371D8E5">
            <w:pPr>
              <w:pStyle w:val="14"/>
              <w:spacing w:before="1" w:line="360" w:lineRule="auto"/>
              <w:ind w:left="116" w:right="107" w:firstLine="10"/>
              <w:outlineLvl w:val="9"/>
            </w:pPr>
            <w:r>
              <w:t>（一）基本资格条件：符合《中华人民共和国政府</w:t>
            </w:r>
            <w:r>
              <w:rPr>
                <w:spacing w:val="-1"/>
              </w:rPr>
              <w:t>采购法》第二</w:t>
            </w:r>
            <w:r>
              <w:rPr>
                <w:spacing w:val="-2"/>
              </w:rPr>
              <w:t>十二条的规定。</w:t>
            </w:r>
          </w:p>
          <w:p w14:paraId="4800CA54">
            <w:pPr>
              <w:pStyle w:val="14"/>
              <w:spacing w:before="183" w:line="360" w:lineRule="auto"/>
              <w:ind w:left="126"/>
              <w:outlineLvl w:val="9"/>
            </w:pPr>
            <w:r>
              <w:rPr>
                <w:spacing w:val="-3"/>
              </w:rPr>
              <w:t>（二）特定资格条件：</w:t>
            </w:r>
          </w:p>
        </w:tc>
      </w:tr>
    </w:tbl>
    <w:p w14:paraId="63AACE02">
      <w:pPr>
        <w:spacing w:line="360" w:lineRule="auto"/>
        <w:outlineLvl w:val="9"/>
        <w:rPr>
          <w:rFonts w:ascii="Arial"/>
          <w:sz w:val="2"/>
        </w:rPr>
      </w:pPr>
    </w:p>
    <w:tbl>
      <w:tblPr>
        <w:tblStyle w:val="13"/>
        <w:tblW w:w="4998"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654"/>
        <w:gridCol w:w="1631"/>
        <w:gridCol w:w="6052"/>
      </w:tblGrid>
      <w:tr w14:paraId="3C562D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04" w:hRule="atLeast"/>
        </w:trPr>
        <w:tc>
          <w:tcPr>
            <w:tcW w:w="392" w:type="pct"/>
            <w:vAlign w:val="top"/>
          </w:tcPr>
          <w:p w14:paraId="1ACAAD34">
            <w:pPr>
              <w:spacing w:line="360" w:lineRule="auto"/>
              <w:outlineLvl w:val="9"/>
              <w:rPr>
                <w:rFonts w:ascii="Arial"/>
                <w:sz w:val="21"/>
              </w:rPr>
            </w:pPr>
          </w:p>
        </w:tc>
        <w:tc>
          <w:tcPr>
            <w:tcW w:w="978" w:type="pct"/>
            <w:vAlign w:val="top"/>
          </w:tcPr>
          <w:p w14:paraId="0D61E89C">
            <w:pPr>
              <w:spacing w:line="360" w:lineRule="auto"/>
              <w:outlineLvl w:val="9"/>
              <w:rPr>
                <w:rFonts w:ascii="Arial"/>
                <w:sz w:val="21"/>
              </w:rPr>
            </w:pPr>
          </w:p>
        </w:tc>
        <w:tc>
          <w:tcPr>
            <w:tcW w:w="3629" w:type="pct"/>
            <w:vAlign w:val="top"/>
          </w:tcPr>
          <w:p w14:paraId="16E47862">
            <w:pPr>
              <w:spacing w:before="121" w:line="360" w:lineRule="auto"/>
              <w:ind w:right="193" w:firstLine="262" w:firstLineChars="100"/>
              <w:jc w:val="both"/>
              <w:outlineLvl w:val="9"/>
              <w:rPr>
                <w:rFonts w:hint="eastAsia" w:ascii="宋体" w:hAnsi="宋体" w:eastAsia="宋体" w:cs="宋体"/>
                <w:spacing w:val="11"/>
                <w:sz w:val="24"/>
                <w:szCs w:val="24"/>
                <w:lang w:eastAsia="zh-CN"/>
              </w:rPr>
            </w:pPr>
            <w:r>
              <w:rPr>
                <w:rFonts w:hint="eastAsia" w:ascii="宋体" w:hAnsi="宋体" w:eastAsia="宋体" w:cs="宋体"/>
                <w:spacing w:val="11"/>
                <w:sz w:val="24"/>
                <w:szCs w:val="24"/>
                <w:lang w:eastAsia="zh-CN"/>
              </w:rPr>
              <w:t>1、供应商为具有独立承担民事责任能力的法人、事业法人、其他组织或自然人。企业法人应提供合法有效的标识有统一社会信用代码的营业执照副本及营业执照的2025年度企业年检报告书；事业法人应提供事业单位法人证书；其他组织应提供合法登记证明文件；自然人应提供身份证；</w:t>
            </w:r>
          </w:p>
          <w:p w14:paraId="2A22FE51">
            <w:pPr>
              <w:spacing w:before="121" w:line="360" w:lineRule="auto"/>
              <w:ind w:right="193" w:firstLine="262" w:firstLineChars="100"/>
              <w:jc w:val="both"/>
              <w:outlineLvl w:val="9"/>
              <w:rPr>
                <w:rFonts w:hint="eastAsia" w:ascii="宋体" w:hAnsi="宋体" w:eastAsia="宋体" w:cs="宋体"/>
                <w:spacing w:val="11"/>
                <w:sz w:val="24"/>
                <w:szCs w:val="24"/>
                <w:lang w:eastAsia="zh-CN"/>
              </w:rPr>
            </w:pPr>
            <w:r>
              <w:rPr>
                <w:rFonts w:hint="eastAsia" w:ascii="宋体" w:hAnsi="宋体" w:eastAsia="宋体" w:cs="宋体"/>
                <w:spacing w:val="11"/>
                <w:sz w:val="24"/>
                <w:szCs w:val="24"/>
                <w:lang w:eastAsia="zh-CN"/>
              </w:rPr>
              <w:t>2、财务状况：经会计事务所或审计机构出具的2025年财务审计报告；财务审计报告须有注册会计师签字盖章和公司盖章，并附通过注册会计师行业统一监管平台（http://acc.mof.gov.cn）报备并相应取得全国统一的验证码并提供网页查询截图，财务须状况良好，无资不抵债情况，具有有效履行合同资产能力。不足一年的提供成立以来的财务报表，至少包括资产负债表、利润表、现金流量表及基本账户银行出具的资信证明；并提供完整的有效的财务规章制度。</w:t>
            </w:r>
          </w:p>
          <w:p w14:paraId="7D86F135">
            <w:pPr>
              <w:spacing w:before="121" w:line="360" w:lineRule="auto"/>
              <w:ind w:right="193" w:firstLine="262" w:firstLineChars="100"/>
              <w:jc w:val="both"/>
              <w:outlineLvl w:val="9"/>
              <w:rPr>
                <w:rFonts w:hint="eastAsia" w:ascii="宋体" w:hAnsi="宋体" w:eastAsia="宋体" w:cs="宋体"/>
                <w:spacing w:val="11"/>
                <w:sz w:val="24"/>
                <w:szCs w:val="24"/>
                <w:lang w:eastAsia="zh-CN"/>
              </w:rPr>
            </w:pPr>
            <w:r>
              <w:rPr>
                <w:rFonts w:hint="eastAsia" w:ascii="宋体" w:hAnsi="宋体" w:eastAsia="宋体" w:cs="宋体"/>
                <w:spacing w:val="11"/>
                <w:sz w:val="24"/>
                <w:szCs w:val="24"/>
                <w:lang w:eastAsia="zh-CN"/>
              </w:rPr>
              <w:t>3、社会保障资金缴纳证明：提供截止开标前6个月已缴存至少1个月的社会保障资金缴存单据或社保机构开具的社会保险参保缴费情况证明，依法不需要缴纳社会保障资金的单位应提供相关证明材料；</w:t>
            </w:r>
          </w:p>
          <w:p w14:paraId="67A83E3F">
            <w:pPr>
              <w:spacing w:before="121" w:line="360" w:lineRule="auto"/>
              <w:ind w:right="193" w:firstLine="262" w:firstLineChars="100"/>
              <w:jc w:val="both"/>
              <w:outlineLvl w:val="9"/>
              <w:rPr>
                <w:rFonts w:hint="eastAsia" w:ascii="宋体" w:hAnsi="宋体" w:eastAsia="宋体" w:cs="宋体"/>
                <w:spacing w:val="11"/>
                <w:sz w:val="24"/>
                <w:szCs w:val="24"/>
                <w:lang w:eastAsia="zh-CN"/>
              </w:rPr>
            </w:pPr>
            <w:r>
              <w:rPr>
                <w:rFonts w:hint="eastAsia" w:ascii="宋体" w:hAnsi="宋体" w:eastAsia="宋体" w:cs="宋体"/>
                <w:spacing w:val="11"/>
                <w:sz w:val="24"/>
                <w:szCs w:val="24"/>
                <w:lang w:eastAsia="zh-CN"/>
              </w:rPr>
              <w:t>4、税收缴纳证明：提供截止开标前6个月已缴存至少一个月的纳税凭证或完税证明，依法免税的单位应提供相关证明材料；</w:t>
            </w:r>
          </w:p>
          <w:p w14:paraId="5CABA1C4">
            <w:pPr>
              <w:spacing w:before="121" w:line="360" w:lineRule="auto"/>
              <w:ind w:right="193" w:firstLine="262" w:firstLineChars="100"/>
              <w:jc w:val="both"/>
              <w:outlineLvl w:val="9"/>
              <w:rPr>
                <w:rFonts w:hint="eastAsia" w:ascii="宋体" w:hAnsi="宋体" w:eastAsia="宋体" w:cs="宋体"/>
                <w:spacing w:val="11"/>
                <w:sz w:val="24"/>
                <w:szCs w:val="24"/>
                <w:lang w:eastAsia="zh-CN"/>
              </w:rPr>
            </w:pPr>
            <w:r>
              <w:rPr>
                <w:rFonts w:hint="eastAsia" w:ascii="宋体" w:hAnsi="宋体" w:eastAsia="宋体" w:cs="宋体"/>
                <w:spacing w:val="11"/>
                <w:sz w:val="24"/>
                <w:szCs w:val="24"/>
                <w:lang w:eastAsia="zh-CN"/>
              </w:rPr>
              <w:t>5、参加政府采购活动前3年内经营活动中没有重大违法记录声明书；投标时限内“信用中国”(www.creditchina.gov.cn)网站生成的带水印信用报告，信用中国”网站(www.creditchina.gov.cn)“记录失信被执行人、重大税收违法失信主体、政府采购严重违法失信行为”记录名单查询截图（打印件加盖投标单位公章），不得为中国政府采购网（www.ccgp.gov.cn）政府采购严重违法失信行为记录名单中被财政部门禁止参加政府采购活动的供应商（提供查询结果网页截图并加盖供应商公章）；</w:t>
            </w:r>
          </w:p>
          <w:p w14:paraId="12142E82">
            <w:pPr>
              <w:spacing w:before="121" w:line="360" w:lineRule="auto"/>
              <w:ind w:right="193" w:firstLine="262" w:firstLineChars="100"/>
              <w:jc w:val="both"/>
              <w:outlineLvl w:val="9"/>
              <w:rPr>
                <w:rFonts w:hint="eastAsia" w:ascii="宋体" w:hAnsi="宋体" w:eastAsia="宋体" w:cs="宋体"/>
                <w:spacing w:val="11"/>
                <w:sz w:val="24"/>
                <w:szCs w:val="24"/>
                <w:lang w:eastAsia="zh-CN"/>
              </w:rPr>
            </w:pPr>
            <w:r>
              <w:rPr>
                <w:rFonts w:hint="eastAsia" w:ascii="宋体" w:hAnsi="宋体" w:eastAsia="宋体" w:cs="宋体"/>
                <w:spacing w:val="11"/>
                <w:sz w:val="24"/>
                <w:szCs w:val="24"/>
                <w:lang w:eastAsia="zh-CN"/>
              </w:rPr>
              <w:t>6、提供榆林市政府采购服务类项目供应商信用承诺书及投标人信用承诺及采购文件中其他必要承诺（以开标现场查验为主）；</w:t>
            </w:r>
          </w:p>
          <w:p w14:paraId="1249E746">
            <w:pPr>
              <w:spacing w:before="121" w:line="360" w:lineRule="auto"/>
              <w:ind w:right="193" w:firstLine="262" w:firstLineChars="100"/>
              <w:jc w:val="both"/>
              <w:outlineLvl w:val="9"/>
              <w:rPr>
                <w:rFonts w:hint="eastAsia" w:ascii="宋体" w:hAnsi="宋体" w:eastAsia="宋体" w:cs="宋体"/>
                <w:spacing w:val="11"/>
                <w:sz w:val="24"/>
                <w:szCs w:val="24"/>
                <w:lang w:eastAsia="zh-CN"/>
              </w:rPr>
            </w:pPr>
            <w:r>
              <w:rPr>
                <w:rFonts w:hint="eastAsia" w:ascii="宋体" w:hAnsi="宋体" w:eastAsia="宋体" w:cs="宋体"/>
                <w:spacing w:val="11"/>
                <w:sz w:val="24"/>
                <w:szCs w:val="24"/>
                <w:lang w:eastAsia="zh-CN"/>
              </w:rPr>
              <w:t>7、投标保证金：公示投标信用承诺书（保证金）（承诺书效力和作用等同投标保证金，以开标现场查验为主）；</w:t>
            </w:r>
          </w:p>
          <w:p w14:paraId="433131C9">
            <w:pPr>
              <w:spacing w:before="121" w:line="360" w:lineRule="auto"/>
              <w:ind w:right="193" w:firstLine="262" w:firstLineChars="100"/>
              <w:jc w:val="both"/>
              <w:outlineLvl w:val="9"/>
              <w:rPr>
                <w:rFonts w:hint="eastAsia" w:ascii="宋体" w:hAnsi="宋体" w:eastAsia="宋体" w:cs="宋体"/>
                <w:spacing w:val="11"/>
                <w:sz w:val="24"/>
                <w:szCs w:val="24"/>
                <w:lang w:eastAsia="zh-CN"/>
              </w:rPr>
            </w:pPr>
            <w:r>
              <w:rPr>
                <w:rFonts w:hint="eastAsia" w:ascii="宋体" w:hAnsi="宋体" w:eastAsia="宋体" w:cs="宋体"/>
                <w:spacing w:val="11"/>
                <w:sz w:val="24"/>
                <w:szCs w:val="24"/>
                <w:lang w:eastAsia="zh-CN"/>
              </w:rPr>
              <w:t>8、供应商须具有履行合同所必需的设备和专业技术能力（提供相应的证明资料或承诺函）；</w:t>
            </w:r>
          </w:p>
          <w:p w14:paraId="4142B5D7">
            <w:pPr>
              <w:spacing w:before="121" w:line="360" w:lineRule="auto"/>
              <w:ind w:right="193" w:firstLine="262" w:firstLineChars="100"/>
              <w:jc w:val="both"/>
              <w:outlineLvl w:val="9"/>
              <w:rPr>
                <w:rFonts w:hint="eastAsia" w:ascii="宋体" w:hAnsi="宋体" w:eastAsia="宋体" w:cs="宋体"/>
                <w:spacing w:val="11"/>
                <w:sz w:val="24"/>
                <w:szCs w:val="24"/>
                <w:lang w:eastAsia="zh-CN"/>
              </w:rPr>
            </w:pPr>
            <w:r>
              <w:rPr>
                <w:rFonts w:hint="eastAsia" w:ascii="宋体" w:hAnsi="宋体" w:eastAsia="宋体" w:cs="宋体"/>
                <w:spacing w:val="11"/>
                <w:sz w:val="24"/>
                <w:szCs w:val="24"/>
                <w:lang w:eastAsia="zh-CN"/>
              </w:rPr>
              <w:t>9、本项目不接受联合体投标，单位负责人为同一人或者存在直接控股、管理关系的不同投标人，不得参加同一合同项下的政府采购活动。</w:t>
            </w:r>
          </w:p>
          <w:p w14:paraId="2BB7B1C7">
            <w:pPr>
              <w:spacing w:before="121" w:line="360" w:lineRule="auto"/>
              <w:ind w:right="193" w:firstLine="262" w:firstLineChars="100"/>
              <w:jc w:val="both"/>
              <w:outlineLvl w:val="9"/>
              <w:rPr>
                <w:rFonts w:hint="eastAsia" w:ascii="宋体" w:hAnsi="宋体" w:eastAsia="宋体" w:cs="宋体"/>
                <w:spacing w:val="11"/>
                <w:sz w:val="24"/>
                <w:szCs w:val="24"/>
                <w:lang w:eastAsia="zh-CN"/>
              </w:rPr>
            </w:pPr>
            <w:r>
              <w:rPr>
                <w:rFonts w:hint="eastAsia" w:ascii="宋体" w:hAnsi="宋体" w:eastAsia="宋体" w:cs="宋体"/>
                <w:spacing w:val="11"/>
                <w:sz w:val="24"/>
                <w:szCs w:val="24"/>
                <w:lang w:eastAsia="zh-CN"/>
              </w:rPr>
              <w:t>1</w:t>
            </w:r>
            <w:r>
              <w:rPr>
                <w:rFonts w:hint="eastAsia" w:ascii="宋体" w:hAnsi="宋体" w:eastAsia="宋体" w:cs="宋体"/>
                <w:spacing w:val="11"/>
                <w:sz w:val="24"/>
                <w:szCs w:val="24"/>
                <w:lang w:val="en-US" w:eastAsia="zh-CN"/>
              </w:rPr>
              <w:t>0</w:t>
            </w:r>
            <w:r>
              <w:rPr>
                <w:rFonts w:hint="eastAsia" w:ascii="宋体" w:hAnsi="宋体" w:eastAsia="宋体" w:cs="宋体"/>
                <w:spacing w:val="11"/>
                <w:sz w:val="24"/>
                <w:szCs w:val="24"/>
                <w:lang w:eastAsia="zh-CN"/>
              </w:rPr>
              <w:t>、本项目专门面向中小企业采购，供应商须提供服务类中小企业声明函。（本项目专门面向中小企业采购，残疾人福利性单位、监狱企业投标视同为中小企业，不再单独享受价格扣除，大型企业不可参与。）</w:t>
            </w:r>
          </w:p>
          <w:p w14:paraId="59965158">
            <w:pPr>
              <w:spacing w:before="121" w:line="360" w:lineRule="auto"/>
              <w:ind w:right="193" w:firstLine="262" w:firstLineChars="100"/>
              <w:jc w:val="both"/>
              <w:outlineLvl w:val="9"/>
            </w:pPr>
            <w:r>
              <w:rPr>
                <w:rFonts w:hint="eastAsia" w:ascii="宋体" w:hAnsi="宋体" w:eastAsia="宋体" w:cs="宋体"/>
                <w:spacing w:val="11"/>
                <w:sz w:val="24"/>
                <w:szCs w:val="24"/>
                <w:lang w:eastAsia="zh-CN"/>
              </w:rPr>
              <w:t>1</w:t>
            </w:r>
            <w:r>
              <w:rPr>
                <w:rFonts w:hint="eastAsia" w:ascii="宋体" w:hAnsi="宋体" w:eastAsia="宋体" w:cs="宋体"/>
                <w:spacing w:val="11"/>
                <w:sz w:val="24"/>
                <w:szCs w:val="24"/>
                <w:lang w:val="en-US" w:eastAsia="zh-CN"/>
              </w:rPr>
              <w:t>1</w:t>
            </w:r>
            <w:r>
              <w:rPr>
                <w:rFonts w:hint="eastAsia" w:ascii="宋体" w:hAnsi="宋体" w:eastAsia="宋体" w:cs="宋体"/>
                <w:spacing w:val="11"/>
                <w:sz w:val="24"/>
                <w:szCs w:val="24"/>
                <w:lang w:eastAsia="zh-CN"/>
              </w:rPr>
              <w:t>、法定代表人授权委托书，法定代表人自行投标，需携带身份证原件，若法定代表人授权委托人前来投标，需携带法定代表人授权委托书并携带身份证原件现场核验。</w:t>
            </w:r>
          </w:p>
        </w:tc>
      </w:tr>
      <w:tr w14:paraId="1BF04F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04" w:hRule="atLeast"/>
        </w:trPr>
        <w:tc>
          <w:tcPr>
            <w:tcW w:w="392" w:type="pct"/>
            <w:shd w:val="clear" w:color="auto" w:fill="auto"/>
            <w:vAlign w:val="top"/>
          </w:tcPr>
          <w:p w14:paraId="36042FA8">
            <w:pPr>
              <w:spacing w:line="360" w:lineRule="auto"/>
              <w:outlineLvl w:val="9"/>
              <w:rPr>
                <w:rFonts w:ascii="Arial"/>
                <w:sz w:val="21"/>
              </w:rPr>
            </w:pPr>
          </w:p>
          <w:p w14:paraId="33699852">
            <w:pPr>
              <w:spacing w:line="360" w:lineRule="auto"/>
              <w:outlineLvl w:val="9"/>
              <w:rPr>
                <w:rFonts w:ascii="Arial"/>
                <w:sz w:val="21"/>
              </w:rPr>
            </w:pPr>
          </w:p>
          <w:p w14:paraId="69395104">
            <w:pPr>
              <w:spacing w:line="360" w:lineRule="auto"/>
              <w:outlineLvl w:val="9"/>
              <w:rPr>
                <w:rFonts w:ascii="Arial"/>
                <w:sz w:val="21"/>
              </w:rPr>
            </w:pPr>
          </w:p>
          <w:p w14:paraId="54F783E1">
            <w:pPr>
              <w:spacing w:line="360" w:lineRule="auto"/>
              <w:outlineLvl w:val="9"/>
              <w:rPr>
                <w:rFonts w:ascii="Arial"/>
                <w:sz w:val="21"/>
              </w:rPr>
            </w:pPr>
          </w:p>
          <w:p w14:paraId="70CF9AC0">
            <w:pPr>
              <w:spacing w:line="360" w:lineRule="auto"/>
              <w:outlineLvl w:val="9"/>
              <w:rPr>
                <w:rFonts w:ascii="Arial"/>
                <w:sz w:val="21"/>
              </w:rPr>
            </w:pPr>
          </w:p>
          <w:p w14:paraId="0C4770F0">
            <w:pPr>
              <w:spacing w:line="360" w:lineRule="auto"/>
              <w:outlineLvl w:val="9"/>
              <w:rPr>
                <w:rFonts w:ascii="Arial"/>
                <w:sz w:val="21"/>
              </w:rPr>
            </w:pPr>
          </w:p>
          <w:p w14:paraId="7A712D72">
            <w:pPr>
              <w:spacing w:line="360" w:lineRule="auto"/>
              <w:outlineLvl w:val="9"/>
              <w:rPr>
                <w:rFonts w:ascii="Arial"/>
                <w:sz w:val="21"/>
              </w:rPr>
            </w:pPr>
          </w:p>
          <w:p w14:paraId="000532A8">
            <w:pPr>
              <w:spacing w:line="360" w:lineRule="auto"/>
              <w:outlineLvl w:val="9"/>
              <w:rPr>
                <w:rFonts w:ascii="Arial"/>
                <w:sz w:val="21"/>
              </w:rPr>
            </w:pPr>
          </w:p>
          <w:p w14:paraId="6E843DAB">
            <w:pPr>
              <w:spacing w:line="360" w:lineRule="auto"/>
              <w:outlineLvl w:val="9"/>
              <w:rPr>
                <w:rFonts w:ascii="Arial"/>
                <w:sz w:val="21"/>
              </w:rPr>
            </w:pPr>
          </w:p>
          <w:p w14:paraId="12EEBD18">
            <w:pPr>
              <w:spacing w:line="360" w:lineRule="auto"/>
              <w:outlineLvl w:val="9"/>
              <w:rPr>
                <w:rFonts w:ascii="Arial"/>
                <w:sz w:val="21"/>
              </w:rPr>
            </w:pPr>
          </w:p>
          <w:p w14:paraId="61674842">
            <w:pPr>
              <w:spacing w:line="360" w:lineRule="auto"/>
              <w:outlineLvl w:val="9"/>
              <w:rPr>
                <w:rFonts w:ascii="Arial"/>
                <w:sz w:val="21"/>
              </w:rPr>
            </w:pPr>
          </w:p>
          <w:p w14:paraId="2DE835E3">
            <w:pPr>
              <w:pStyle w:val="14"/>
              <w:spacing w:before="78" w:line="360" w:lineRule="auto"/>
              <w:ind w:left="266" w:leftChars="0"/>
              <w:outlineLvl w:val="9"/>
              <w:rPr>
                <w:rFonts w:hint="eastAsia" w:ascii="宋体" w:hAnsi="宋体" w:eastAsia="宋体" w:cs="宋体"/>
                <w:snapToGrid w:val="0"/>
                <w:color w:val="000000"/>
                <w:kern w:val="0"/>
                <w:sz w:val="24"/>
                <w:szCs w:val="24"/>
                <w:lang w:val="en-US" w:eastAsia="zh-CN" w:bidi="ar-SA"/>
              </w:rPr>
            </w:pPr>
            <w:r>
              <w:rPr>
                <w:spacing w:val="-7"/>
              </w:rPr>
              <w:t>2</w:t>
            </w:r>
            <w:r>
              <w:rPr>
                <w:rFonts w:hint="eastAsia"/>
                <w:spacing w:val="-7"/>
                <w:lang w:val="en-US" w:eastAsia="zh-CN"/>
              </w:rPr>
              <w:t>2</w:t>
            </w:r>
          </w:p>
        </w:tc>
        <w:tc>
          <w:tcPr>
            <w:tcW w:w="978" w:type="pct"/>
            <w:shd w:val="clear" w:color="auto" w:fill="auto"/>
            <w:vAlign w:val="top"/>
          </w:tcPr>
          <w:p w14:paraId="2F3CBA44">
            <w:pPr>
              <w:spacing w:line="360" w:lineRule="auto"/>
              <w:outlineLvl w:val="9"/>
              <w:rPr>
                <w:rFonts w:ascii="Arial"/>
                <w:sz w:val="21"/>
              </w:rPr>
            </w:pPr>
          </w:p>
          <w:p w14:paraId="3AF1AFE0">
            <w:pPr>
              <w:spacing w:line="360" w:lineRule="auto"/>
              <w:outlineLvl w:val="9"/>
              <w:rPr>
                <w:rFonts w:ascii="Arial"/>
                <w:sz w:val="21"/>
              </w:rPr>
            </w:pPr>
          </w:p>
          <w:p w14:paraId="56F1479A">
            <w:pPr>
              <w:spacing w:line="360" w:lineRule="auto"/>
              <w:outlineLvl w:val="9"/>
              <w:rPr>
                <w:rFonts w:ascii="Arial"/>
                <w:sz w:val="21"/>
              </w:rPr>
            </w:pPr>
          </w:p>
          <w:p w14:paraId="721DE1DF">
            <w:pPr>
              <w:spacing w:line="360" w:lineRule="auto"/>
              <w:outlineLvl w:val="9"/>
              <w:rPr>
                <w:rFonts w:ascii="Arial"/>
                <w:sz w:val="21"/>
              </w:rPr>
            </w:pPr>
          </w:p>
          <w:p w14:paraId="7505FD20">
            <w:pPr>
              <w:spacing w:line="360" w:lineRule="auto"/>
              <w:outlineLvl w:val="9"/>
              <w:rPr>
                <w:rFonts w:ascii="Arial"/>
                <w:sz w:val="21"/>
              </w:rPr>
            </w:pPr>
          </w:p>
          <w:p w14:paraId="78CD5033">
            <w:pPr>
              <w:spacing w:line="360" w:lineRule="auto"/>
              <w:outlineLvl w:val="9"/>
              <w:rPr>
                <w:rFonts w:ascii="Arial"/>
                <w:sz w:val="21"/>
              </w:rPr>
            </w:pPr>
          </w:p>
          <w:p w14:paraId="21A57ED3">
            <w:pPr>
              <w:spacing w:line="360" w:lineRule="auto"/>
              <w:outlineLvl w:val="9"/>
              <w:rPr>
                <w:rFonts w:ascii="Arial"/>
                <w:sz w:val="21"/>
              </w:rPr>
            </w:pPr>
          </w:p>
          <w:p w14:paraId="4BE71BE5">
            <w:pPr>
              <w:spacing w:line="360" w:lineRule="auto"/>
              <w:outlineLvl w:val="9"/>
              <w:rPr>
                <w:rFonts w:ascii="Arial"/>
                <w:sz w:val="21"/>
              </w:rPr>
            </w:pPr>
          </w:p>
          <w:p w14:paraId="20F0E1FD">
            <w:pPr>
              <w:spacing w:line="360" w:lineRule="auto"/>
              <w:outlineLvl w:val="9"/>
              <w:rPr>
                <w:rFonts w:ascii="Arial"/>
                <w:sz w:val="21"/>
              </w:rPr>
            </w:pPr>
          </w:p>
          <w:p w14:paraId="1DF59201">
            <w:pPr>
              <w:pStyle w:val="14"/>
              <w:spacing w:before="78" w:line="360" w:lineRule="auto"/>
              <w:ind w:left="117" w:leftChars="0" w:right="105" w:rightChars="0"/>
              <w:jc w:val="both"/>
              <w:outlineLvl w:val="9"/>
              <w:rPr>
                <w:rFonts w:ascii="宋体" w:hAnsi="宋体" w:eastAsia="宋体" w:cs="宋体"/>
                <w:snapToGrid w:val="0"/>
                <w:color w:val="000000"/>
                <w:kern w:val="0"/>
                <w:sz w:val="24"/>
                <w:szCs w:val="24"/>
                <w:lang w:val="en-US" w:eastAsia="en-US" w:bidi="ar-SA"/>
              </w:rPr>
            </w:pPr>
            <w:r>
              <w:rPr>
                <w:spacing w:val="34"/>
              </w:rPr>
              <w:t>是否专门面向中小企业采购</w:t>
            </w:r>
            <w:r>
              <w:rPr>
                <w:spacing w:val="-7"/>
              </w:rPr>
              <w:t>项目</w:t>
            </w:r>
          </w:p>
        </w:tc>
        <w:tc>
          <w:tcPr>
            <w:tcW w:w="3629" w:type="pct"/>
            <w:shd w:val="clear" w:color="auto" w:fill="auto"/>
            <w:vAlign w:val="top"/>
          </w:tcPr>
          <w:p w14:paraId="54007A47">
            <w:pPr>
              <w:pStyle w:val="14"/>
              <w:spacing w:before="117" w:line="360" w:lineRule="auto"/>
              <w:ind w:left="116"/>
              <w:outlineLvl w:val="9"/>
            </w:pPr>
            <w:r>
              <w:rPr>
                <w:spacing w:val="-2"/>
              </w:rPr>
              <w:t>支持中小企业发展：</w:t>
            </w:r>
          </w:p>
          <w:p w14:paraId="36A8208E">
            <w:pPr>
              <w:pStyle w:val="14"/>
              <w:spacing w:before="101" w:line="360" w:lineRule="auto"/>
              <w:ind w:left="139"/>
              <w:outlineLvl w:val="9"/>
            </w:pPr>
            <w:r>
              <w:rPr>
                <w:position w:val="-3"/>
              </w:rPr>
              <w:drawing>
                <wp:inline distT="0" distB="0" distL="0" distR="0">
                  <wp:extent cx="130810" cy="151765"/>
                  <wp:effectExtent l="0" t="0" r="8890" b="635"/>
                  <wp:docPr id="86" name="IM 8"/>
                  <wp:cNvGraphicFramePr/>
                  <a:graphic xmlns:a="http://schemas.openxmlformats.org/drawingml/2006/main">
                    <a:graphicData uri="http://schemas.openxmlformats.org/drawingml/2006/picture">
                      <pic:pic xmlns:pic="http://schemas.openxmlformats.org/drawingml/2006/picture">
                        <pic:nvPicPr>
                          <pic:cNvPr id="86" name="IM 8"/>
                          <pic:cNvPicPr/>
                        </pic:nvPicPr>
                        <pic:blipFill>
                          <a:blip r:embed="rId40"/>
                          <a:stretch>
                            <a:fillRect/>
                          </a:stretch>
                        </pic:blipFill>
                        <pic:spPr>
                          <a:xfrm>
                            <a:off x="0" y="0"/>
                            <a:ext cx="130911" cy="152247"/>
                          </a:xfrm>
                          <a:prstGeom prst="rect">
                            <a:avLst/>
                          </a:prstGeom>
                        </pic:spPr>
                      </pic:pic>
                    </a:graphicData>
                  </a:graphic>
                </wp:inline>
              </w:drawing>
            </w:r>
            <w:r>
              <w:rPr>
                <w:spacing w:val="-1"/>
              </w:rPr>
              <w:t>专门面向中小企业采购项目</w:t>
            </w:r>
          </w:p>
          <w:p w14:paraId="4D604491">
            <w:pPr>
              <w:pStyle w:val="14"/>
              <w:spacing w:before="183" w:line="360" w:lineRule="auto"/>
              <w:ind w:left="139"/>
              <w:outlineLvl w:val="9"/>
            </w:pPr>
            <w:r>
              <w:rPr>
                <w:spacing w:val="-2"/>
              </w:rPr>
              <w:t>□非专门面向中小企业采购项目（价格扣除</w:t>
            </w:r>
            <w:r>
              <w:rPr>
                <w:spacing w:val="-63"/>
                <w:w w:val="98"/>
              </w:rPr>
              <w:t>）：</w:t>
            </w:r>
          </w:p>
          <w:p w14:paraId="17A1B937">
            <w:pPr>
              <w:pStyle w:val="14"/>
              <w:spacing w:before="182" w:line="360" w:lineRule="auto"/>
              <w:ind w:left="122" w:right="107" w:firstLine="3"/>
              <w:outlineLvl w:val="9"/>
            </w:pPr>
            <w:r>
              <w:drawing>
                <wp:inline distT="0" distB="0" distL="0" distR="0">
                  <wp:extent cx="122555" cy="111760"/>
                  <wp:effectExtent l="0" t="0" r="4445" b="2540"/>
                  <wp:docPr id="87" name="IM 10"/>
                  <wp:cNvGraphicFramePr/>
                  <a:graphic xmlns:a="http://schemas.openxmlformats.org/drawingml/2006/main">
                    <a:graphicData uri="http://schemas.openxmlformats.org/drawingml/2006/picture">
                      <pic:pic xmlns:pic="http://schemas.openxmlformats.org/drawingml/2006/picture">
                        <pic:nvPicPr>
                          <pic:cNvPr id="87" name="IM 10"/>
                          <pic:cNvPicPr/>
                        </pic:nvPicPr>
                        <pic:blipFill>
                          <a:blip r:embed="rId41"/>
                          <a:stretch>
                            <a:fillRect/>
                          </a:stretch>
                        </pic:blipFill>
                        <pic:spPr>
                          <a:xfrm>
                            <a:off x="0" y="0"/>
                            <a:ext cx="122986" cy="111861"/>
                          </a:xfrm>
                          <a:prstGeom prst="rect">
                            <a:avLst/>
                          </a:prstGeom>
                        </pic:spPr>
                      </pic:pic>
                    </a:graphicData>
                  </a:graphic>
                </wp:inline>
              </w:drawing>
            </w:r>
            <w:r>
              <w:rPr>
                <w:spacing w:val="2"/>
              </w:rPr>
              <w:t>对小型和微型企业产品的价格给与10%~20%的扣除，用扣除后</w:t>
            </w:r>
            <w:r>
              <w:rPr>
                <w:spacing w:val="1"/>
              </w:rPr>
              <w:t>的价格参与评审。本项目的扣除比例为：小型企业扣除20%，微</w:t>
            </w:r>
            <w:r>
              <w:rPr>
                <w:spacing w:val="-4"/>
              </w:rPr>
              <w:t>型企业扣除20%。</w:t>
            </w:r>
          </w:p>
          <w:p w14:paraId="5E499AC5">
            <w:pPr>
              <w:pStyle w:val="14"/>
              <w:spacing w:before="180" w:line="360" w:lineRule="auto"/>
              <w:ind w:left="128" w:right="107" w:hanging="3"/>
              <w:outlineLvl w:val="9"/>
            </w:pPr>
            <w:r>
              <w:drawing>
                <wp:inline distT="0" distB="0" distL="0" distR="0">
                  <wp:extent cx="122555" cy="111760"/>
                  <wp:effectExtent l="0" t="0" r="4445" b="2540"/>
                  <wp:docPr id="88" name="IM 12"/>
                  <wp:cNvGraphicFramePr/>
                  <a:graphic xmlns:a="http://schemas.openxmlformats.org/drawingml/2006/main">
                    <a:graphicData uri="http://schemas.openxmlformats.org/drawingml/2006/picture">
                      <pic:pic xmlns:pic="http://schemas.openxmlformats.org/drawingml/2006/picture">
                        <pic:nvPicPr>
                          <pic:cNvPr id="88" name="IM 12"/>
                          <pic:cNvPicPr/>
                        </pic:nvPicPr>
                        <pic:blipFill>
                          <a:blip r:embed="rId42"/>
                          <a:stretch>
                            <a:fillRect/>
                          </a:stretch>
                        </pic:blipFill>
                        <pic:spPr>
                          <a:xfrm>
                            <a:off x="0" y="0"/>
                            <a:ext cx="122986" cy="111861"/>
                          </a:xfrm>
                          <a:prstGeom prst="rect">
                            <a:avLst/>
                          </a:prstGeom>
                        </pic:spPr>
                      </pic:pic>
                    </a:graphicData>
                  </a:graphic>
                </wp:inline>
              </w:drawing>
            </w:r>
            <w:r>
              <w:rPr>
                <w:spacing w:val="1"/>
              </w:rPr>
              <w:t>本项目接收联合体投标的，若小型和微型企业的协议合同金额</w:t>
            </w:r>
            <w:r>
              <w:rPr>
                <w:spacing w:val="-2"/>
              </w:rPr>
              <w:t>占到联合体协议合同金额30%以上的，可给予联合体2%~3%的扣</w:t>
            </w:r>
            <w:r>
              <w:rPr>
                <w:spacing w:val="-1"/>
              </w:rPr>
              <w:t>除，用扣除后的价格参与评审。本项目的扣除比例为：6%。</w:t>
            </w:r>
          </w:p>
          <w:p w14:paraId="0CAB6E34">
            <w:pPr>
              <w:pStyle w:val="14"/>
              <w:spacing w:before="184" w:line="360" w:lineRule="auto"/>
              <w:ind w:left="139"/>
              <w:outlineLvl w:val="9"/>
            </w:pPr>
            <w:r>
              <w:rPr>
                <w:position w:val="-3"/>
              </w:rPr>
              <w:drawing>
                <wp:inline distT="0" distB="0" distL="0" distR="0">
                  <wp:extent cx="130810" cy="151765"/>
                  <wp:effectExtent l="0" t="0" r="8890" b="635"/>
                  <wp:docPr id="89" name="IM 14"/>
                  <wp:cNvGraphicFramePr/>
                  <a:graphic xmlns:a="http://schemas.openxmlformats.org/drawingml/2006/main">
                    <a:graphicData uri="http://schemas.openxmlformats.org/drawingml/2006/picture">
                      <pic:pic xmlns:pic="http://schemas.openxmlformats.org/drawingml/2006/picture">
                        <pic:nvPicPr>
                          <pic:cNvPr id="89" name="IM 14"/>
                          <pic:cNvPicPr/>
                        </pic:nvPicPr>
                        <pic:blipFill>
                          <a:blip r:embed="rId43"/>
                          <a:stretch>
                            <a:fillRect/>
                          </a:stretch>
                        </pic:blipFill>
                        <pic:spPr>
                          <a:xfrm>
                            <a:off x="0" y="0"/>
                            <a:ext cx="130911" cy="152247"/>
                          </a:xfrm>
                          <a:prstGeom prst="rect">
                            <a:avLst/>
                          </a:prstGeom>
                        </pic:spPr>
                      </pic:pic>
                    </a:graphicData>
                  </a:graphic>
                </wp:inline>
              </w:drawing>
            </w:r>
            <w:r>
              <w:rPr>
                <w:spacing w:val="-1"/>
              </w:rPr>
              <w:t>非专门面向中小企业采购项目</w:t>
            </w:r>
          </w:p>
          <w:p w14:paraId="4BDDB7D4">
            <w:pPr>
              <w:pStyle w:val="14"/>
              <w:spacing w:before="188" w:line="360" w:lineRule="auto"/>
              <w:ind w:left="120" w:leftChars="0" w:right="107" w:rightChars="0" w:firstLine="5" w:firstLineChars="0"/>
              <w:jc w:val="both"/>
              <w:outlineLvl w:val="9"/>
              <w:rPr>
                <w:rFonts w:hint="eastAsia" w:ascii="宋体" w:hAnsi="宋体" w:eastAsia="宋体" w:cs="宋体"/>
                <w:snapToGrid w:val="0"/>
                <w:color w:val="000000"/>
                <w:kern w:val="0"/>
                <w:sz w:val="24"/>
                <w:szCs w:val="24"/>
                <w:lang w:val="en-US" w:eastAsia="zh-CN" w:bidi="ar-SA"/>
              </w:rPr>
            </w:pPr>
            <w:r>
              <w:drawing>
                <wp:inline distT="0" distB="0" distL="0" distR="0">
                  <wp:extent cx="122555" cy="111760"/>
                  <wp:effectExtent l="0" t="0" r="4445" b="2540"/>
                  <wp:docPr id="90" name="IM 16"/>
                  <wp:cNvGraphicFramePr/>
                  <a:graphic xmlns:a="http://schemas.openxmlformats.org/drawingml/2006/main">
                    <a:graphicData uri="http://schemas.openxmlformats.org/drawingml/2006/picture">
                      <pic:pic xmlns:pic="http://schemas.openxmlformats.org/drawingml/2006/picture">
                        <pic:nvPicPr>
                          <pic:cNvPr id="90" name="IM 16"/>
                          <pic:cNvPicPr/>
                        </pic:nvPicPr>
                        <pic:blipFill>
                          <a:blip r:embed="rId44"/>
                          <a:stretch>
                            <a:fillRect/>
                          </a:stretch>
                        </pic:blipFill>
                        <pic:spPr>
                          <a:xfrm>
                            <a:off x="0" y="0"/>
                            <a:ext cx="122986" cy="111861"/>
                          </a:xfrm>
                          <a:prstGeom prst="rect">
                            <a:avLst/>
                          </a:prstGeom>
                        </pic:spPr>
                      </pic:pic>
                    </a:graphicData>
                  </a:graphic>
                </wp:inline>
              </w:drawing>
            </w:r>
            <w:r>
              <w:rPr>
                <w:spacing w:val="1"/>
              </w:rPr>
              <w:t>供应商提供的货物既有中小企业制造货物，也有大型企业制造</w:t>
            </w:r>
            <w:r>
              <w:t>货物的，不享受《政府采购促进中小企业发展管理办法》规定的</w:t>
            </w:r>
            <w:r>
              <w:rPr>
                <w:spacing w:val="-2"/>
              </w:rPr>
              <w:t>中小企业扶持政策。</w:t>
            </w:r>
          </w:p>
        </w:tc>
      </w:tr>
    </w:tbl>
    <w:p w14:paraId="04612F02">
      <w:pPr>
        <w:spacing w:line="360" w:lineRule="auto"/>
        <w:outlineLvl w:val="9"/>
        <w:rPr>
          <w:rFonts w:ascii="Arial"/>
          <w:sz w:val="2"/>
        </w:rPr>
      </w:pPr>
    </w:p>
    <w:tbl>
      <w:tblPr>
        <w:tblStyle w:val="13"/>
        <w:tblW w:w="4998"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654"/>
        <w:gridCol w:w="1631"/>
        <w:gridCol w:w="6052"/>
      </w:tblGrid>
      <w:tr w14:paraId="4C7878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70" w:hRule="atLeast"/>
        </w:trPr>
        <w:tc>
          <w:tcPr>
            <w:tcW w:w="392" w:type="pct"/>
            <w:vAlign w:val="top"/>
          </w:tcPr>
          <w:p w14:paraId="33D253A4">
            <w:pPr>
              <w:spacing w:line="360" w:lineRule="auto"/>
              <w:outlineLvl w:val="9"/>
              <w:rPr>
                <w:rFonts w:ascii="Arial"/>
                <w:sz w:val="21"/>
              </w:rPr>
            </w:pPr>
          </w:p>
          <w:p w14:paraId="26FEBAFC">
            <w:pPr>
              <w:spacing w:line="360" w:lineRule="auto"/>
              <w:outlineLvl w:val="9"/>
              <w:rPr>
                <w:rFonts w:ascii="Arial"/>
                <w:sz w:val="21"/>
              </w:rPr>
            </w:pPr>
          </w:p>
          <w:p w14:paraId="43757ECA">
            <w:pPr>
              <w:spacing w:line="360" w:lineRule="auto"/>
              <w:outlineLvl w:val="9"/>
              <w:rPr>
                <w:rFonts w:ascii="Arial"/>
                <w:sz w:val="21"/>
              </w:rPr>
            </w:pPr>
          </w:p>
          <w:p w14:paraId="149531FE">
            <w:pPr>
              <w:spacing w:line="360" w:lineRule="auto"/>
              <w:outlineLvl w:val="9"/>
              <w:rPr>
                <w:rFonts w:ascii="Arial"/>
                <w:sz w:val="21"/>
              </w:rPr>
            </w:pPr>
          </w:p>
          <w:p w14:paraId="5BE4C6D4">
            <w:pPr>
              <w:spacing w:line="360" w:lineRule="auto"/>
              <w:outlineLvl w:val="9"/>
              <w:rPr>
                <w:rFonts w:ascii="Arial"/>
                <w:sz w:val="21"/>
              </w:rPr>
            </w:pPr>
          </w:p>
          <w:p w14:paraId="35A0822F">
            <w:pPr>
              <w:pStyle w:val="14"/>
              <w:spacing w:before="78" w:line="360" w:lineRule="auto"/>
              <w:ind w:left="266"/>
              <w:outlineLvl w:val="9"/>
              <w:rPr>
                <w:rFonts w:hint="eastAsia" w:eastAsia="宋体"/>
                <w:lang w:eastAsia="zh-CN"/>
              </w:rPr>
            </w:pPr>
            <w:r>
              <w:rPr>
                <w:spacing w:val="-7"/>
              </w:rPr>
              <w:t>2</w:t>
            </w:r>
            <w:r>
              <w:rPr>
                <w:rFonts w:hint="eastAsia"/>
                <w:spacing w:val="-7"/>
                <w:lang w:val="en-US" w:eastAsia="zh-CN"/>
              </w:rPr>
              <w:t>3</w:t>
            </w:r>
          </w:p>
        </w:tc>
        <w:tc>
          <w:tcPr>
            <w:tcW w:w="978" w:type="pct"/>
            <w:vAlign w:val="top"/>
          </w:tcPr>
          <w:p w14:paraId="474C5C7B">
            <w:pPr>
              <w:spacing w:line="360" w:lineRule="auto"/>
              <w:outlineLvl w:val="9"/>
              <w:rPr>
                <w:rFonts w:ascii="Arial"/>
                <w:sz w:val="21"/>
              </w:rPr>
            </w:pPr>
          </w:p>
          <w:p w14:paraId="68610763">
            <w:pPr>
              <w:spacing w:line="360" w:lineRule="auto"/>
              <w:outlineLvl w:val="9"/>
              <w:rPr>
                <w:rFonts w:ascii="Arial"/>
                <w:sz w:val="21"/>
              </w:rPr>
            </w:pPr>
          </w:p>
          <w:p w14:paraId="3E5A963C">
            <w:pPr>
              <w:spacing w:line="360" w:lineRule="auto"/>
              <w:outlineLvl w:val="9"/>
              <w:rPr>
                <w:rFonts w:ascii="Arial"/>
                <w:sz w:val="21"/>
              </w:rPr>
            </w:pPr>
          </w:p>
          <w:p w14:paraId="5359B310">
            <w:pPr>
              <w:pStyle w:val="14"/>
              <w:spacing w:before="78" w:line="360" w:lineRule="auto"/>
              <w:ind w:left="114" w:right="105" w:firstLine="2"/>
              <w:jc w:val="both"/>
              <w:outlineLvl w:val="9"/>
            </w:pPr>
            <w:r>
              <w:rPr>
                <w:spacing w:val="34"/>
              </w:rPr>
              <w:t>是否专门面向</w:t>
            </w:r>
            <w:r>
              <w:rPr>
                <w:spacing w:val="35"/>
              </w:rPr>
              <w:t>监狱企业采购</w:t>
            </w:r>
            <w:r>
              <w:rPr>
                <w:spacing w:val="-6"/>
              </w:rPr>
              <w:t>项目</w:t>
            </w:r>
          </w:p>
        </w:tc>
        <w:tc>
          <w:tcPr>
            <w:tcW w:w="3629" w:type="pct"/>
            <w:vAlign w:val="top"/>
          </w:tcPr>
          <w:p w14:paraId="52125124">
            <w:pPr>
              <w:pStyle w:val="14"/>
              <w:spacing w:before="117" w:line="360" w:lineRule="auto"/>
              <w:ind w:left="116"/>
              <w:outlineLvl w:val="9"/>
            </w:pPr>
            <w:r>
              <w:rPr>
                <w:spacing w:val="-2"/>
              </w:rPr>
              <w:t>支持监狱企业发展：</w:t>
            </w:r>
          </w:p>
          <w:p w14:paraId="2C16CC91">
            <w:pPr>
              <w:pStyle w:val="14"/>
              <w:spacing w:before="120" w:line="360" w:lineRule="auto"/>
              <w:ind w:left="156"/>
              <w:outlineLvl w:val="9"/>
            </w:pPr>
            <w:r>
              <w:rPr>
                <w:spacing w:val="-4"/>
                <w:position w:val="1"/>
                <w:sz w:val="35"/>
                <w:szCs w:val="35"/>
              </w:rPr>
              <w:t>□</w:t>
            </w:r>
            <w:r>
              <w:rPr>
                <w:spacing w:val="-4"/>
                <w:position w:val="4"/>
              </w:rPr>
              <w:t>专门面向监狱企业采购项目</w:t>
            </w:r>
          </w:p>
          <w:p w14:paraId="7CFAFB9B">
            <w:pPr>
              <w:pStyle w:val="14"/>
              <w:spacing w:before="157" w:line="360" w:lineRule="auto"/>
              <w:ind w:left="114" w:right="107" w:firstLine="42"/>
              <w:outlineLvl w:val="9"/>
            </w:pPr>
            <w:r>
              <w:rPr>
                <w:position w:val="-8"/>
              </w:rPr>
              <w:drawing>
                <wp:inline distT="0" distB="0" distL="0" distR="0">
                  <wp:extent cx="196215" cy="227965"/>
                  <wp:effectExtent l="0" t="0" r="0" b="0"/>
                  <wp:docPr id="18" name="IM 18"/>
                  <wp:cNvGraphicFramePr/>
                  <a:graphic xmlns:a="http://schemas.openxmlformats.org/drawingml/2006/main">
                    <a:graphicData uri="http://schemas.openxmlformats.org/drawingml/2006/picture">
                      <pic:pic xmlns:pic="http://schemas.openxmlformats.org/drawingml/2006/picture">
                        <pic:nvPicPr>
                          <pic:cNvPr id="18" name="IM 18"/>
                          <pic:cNvPicPr/>
                        </pic:nvPicPr>
                        <pic:blipFill>
                          <a:blip r:embed="rId45"/>
                          <a:stretch>
                            <a:fillRect/>
                          </a:stretch>
                        </pic:blipFill>
                        <pic:spPr>
                          <a:xfrm>
                            <a:off x="0" y="0"/>
                            <a:ext cx="196367" cy="228371"/>
                          </a:xfrm>
                          <a:prstGeom prst="rect">
                            <a:avLst/>
                          </a:prstGeom>
                        </pic:spPr>
                      </pic:pic>
                    </a:graphicData>
                  </a:graphic>
                </wp:inline>
              </w:drawing>
            </w:r>
            <w:r>
              <w:t>非专门面向监狱企业采购项目（价格扣除</w:t>
            </w:r>
            <w:r>
              <w:rPr>
                <w:spacing w:val="-53"/>
              </w:rPr>
              <w:t>）：</w:t>
            </w:r>
            <w:r>
              <w:t>监狱企业可视同</w:t>
            </w:r>
            <w:r>
              <w:rPr>
                <w:spacing w:val="-2"/>
              </w:rPr>
              <w:t>小微企业在价格评审时给予6%~10%的扣除，用扣除后的价格</w:t>
            </w:r>
            <w:r>
              <w:rPr>
                <w:spacing w:val="-3"/>
              </w:rPr>
              <w:t>参与</w:t>
            </w:r>
            <w:r>
              <w:rPr>
                <w:spacing w:val="2"/>
              </w:rPr>
              <w:t>评审。本项目的扣除比例为：扣除6%。</w:t>
            </w:r>
          </w:p>
          <w:p w14:paraId="2FB953C5">
            <w:pPr>
              <w:pStyle w:val="14"/>
              <w:spacing w:before="15" w:line="360" w:lineRule="auto"/>
              <w:ind w:left="156"/>
              <w:outlineLvl w:val="9"/>
            </w:pPr>
            <w:r>
              <w:rPr>
                <w:position w:val="-8"/>
              </w:rPr>
              <w:drawing>
                <wp:inline distT="0" distB="0" distL="0" distR="0">
                  <wp:extent cx="196215" cy="227965"/>
                  <wp:effectExtent l="0" t="0" r="0" b="0"/>
                  <wp:docPr id="20" name="IM 20"/>
                  <wp:cNvGraphicFramePr/>
                  <a:graphic xmlns:a="http://schemas.openxmlformats.org/drawingml/2006/main">
                    <a:graphicData uri="http://schemas.openxmlformats.org/drawingml/2006/picture">
                      <pic:pic xmlns:pic="http://schemas.openxmlformats.org/drawingml/2006/picture">
                        <pic:nvPicPr>
                          <pic:cNvPr id="20" name="IM 20"/>
                          <pic:cNvPicPr/>
                        </pic:nvPicPr>
                        <pic:blipFill>
                          <a:blip r:embed="rId46"/>
                          <a:stretch>
                            <a:fillRect/>
                          </a:stretch>
                        </pic:blipFill>
                        <pic:spPr>
                          <a:xfrm>
                            <a:off x="0" y="0"/>
                            <a:ext cx="196367" cy="228371"/>
                          </a:xfrm>
                          <a:prstGeom prst="rect">
                            <a:avLst/>
                          </a:prstGeom>
                        </pic:spPr>
                      </pic:pic>
                    </a:graphicData>
                  </a:graphic>
                </wp:inline>
              </w:drawing>
            </w:r>
            <w:r>
              <w:rPr>
                <w:spacing w:val="-1"/>
              </w:rPr>
              <w:t>非专门面向监狱企业采购项目</w:t>
            </w:r>
          </w:p>
        </w:tc>
      </w:tr>
      <w:tr w14:paraId="1A21AA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trPr>
        <w:tc>
          <w:tcPr>
            <w:tcW w:w="392" w:type="pct"/>
            <w:vAlign w:val="top"/>
          </w:tcPr>
          <w:p w14:paraId="2893EDC7">
            <w:pPr>
              <w:pStyle w:val="14"/>
              <w:spacing w:before="244" w:line="360" w:lineRule="auto"/>
              <w:ind w:left="266"/>
              <w:outlineLvl w:val="9"/>
              <w:rPr>
                <w:rFonts w:hint="eastAsia" w:eastAsia="宋体"/>
                <w:lang w:eastAsia="zh-CN"/>
              </w:rPr>
            </w:pPr>
            <w:r>
              <w:rPr>
                <w:spacing w:val="-7"/>
              </w:rPr>
              <w:t>2</w:t>
            </w:r>
            <w:r>
              <w:rPr>
                <w:rFonts w:hint="eastAsia"/>
                <w:spacing w:val="-7"/>
                <w:lang w:val="en-US" w:eastAsia="zh-CN"/>
              </w:rPr>
              <w:t>4</w:t>
            </w:r>
          </w:p>
        </w:tc>
        <w:tc>
          <w:tcPr>
            <w:tcW w:w="978" w:type="pct"/>
            <w:vAlign w:val="top"/>
          </w:tcPr>
          <w:p w14:paraId="751A9478">
            <w:pPr>
              <w:pStyle w:val="14"/>
              <w:spacing w:before="245" w:line="360" w:lineRule="auto"/>
              <w:ind w:left="114"/>
              <w:outlineLvl w:val="9"/>
            </w:pPr>
            <w:r>
              <w:rPr>
                <w:spacing w:val="-2"/>
              </w:rPr>
              <w:t>标的所属行业</w:t>
            </w:r>
          </w:p>
        </w:tc>
        <w:tc>
          <w:tcPr>
            <w:tcW w:w="3629" w:type="pct"/>
            <w:vAlign w:val="top"/>
          </w:tcPr>
          <w:p w14:paraId="132D39CA">
            <w:pPr>
              <w:pStyle w:val="14"/>
              <w:spacing w:before="245" w:line="360" w:lineRule="auto"/>
              <w:ind w:left="116"/>
              <w:outlineLvl w:val="9"/>
              <w:rPr>
                <w:rFonts w:hint="eastAsia" w:eastAsia="宋体"/>
                <w:lang w:val="en-US" w:eastAsia="zh-CN"/>
              </w:rPr>
            </w:pPr>
            <w:r>
              <w:rPr>
                <w:rFonts w:hint="eastAsia" w:ascii="宋体" w:hAnsi="宋体" w:eastAsia="宋体" w:cs="宋体"/>
                <w:b w:val="0"/>
                <w:bCs w:val="0"/>
                <w:color w:val="auto"/>
                <w:sz w:val="24"/>
                <w:szCs w:val="24"/>
                <w:highlight w:val="none"/>
                <w:lang w:eastAsia="zh-CN"/>
              </w:rPr>
              <w:t>其他未列明行业</w:t>
            </w:r>
          </w:p>
        </w:tc>
      </w:tr>
      <w:tr w14:paraId="11EA6A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9" w:hRule="atLeast"/>
        </w:trPr>
        <w:tc>
          <w:tcPr>
            <w:tcW w:w="392" w:type="pct"/>
            <w:vAlign w:val="top"/>
          </w:tcPr>
          <w:p w14:paraId="283483DC">
            <w:pPr>
              <w:spacing w:line="360" w:lineRule="auto"/>
              <w:outlineLvl w:val="9"/>
              <w:rPr>
                <w:rFonts w:ascii="Arial"/>
                <w:sz w:val="21"/>
              </w:rPr>
            </w:pPr>
          </w:p>
          <w:p w14:paraId="37F38475">
            <w:pPr>
              <w:spacing w:line="360" w:lineRule="auto"/>
              <w:outlineLvl w:val="9"/>
              <w:rPr>
                <w:rFonts w:ascii="Arial"/>
                <w:sz w:val="21"/>
              </w:rPr>
            </w:pPr>
          </w:p>
          <w:p w14:paraId="070C2EE8">
            <w:pPr>
              <w:spacing w:line="360" w:lineRule="auto"/>
              <w:outlineLvl w:val="9"/>
              <w:rPr>
                <w:rFonts w:ascii="Arial"/>
                <w:sz w:val="21"/>
              </w:rPr>
            </w:pPr>
          </w:p>
          <w:p w14:paraId="4C3029EA">
            <w:pPr>
              <w:pStyle w:val="14"/>
              <w:spacing w:before="78" w:line="360" w:lineRule="auto"/>
              <w:ind w:left="266"/>
              <w:outlineLvl w:val="9"/>
              <w:rPr>
                <w:rFonts w:hint="eastAsia" w:eastAsia="宋体"/>
                <w:lang w:eastAsia="zh-CN"/>
              </w:rPr>
            </w:pPr>
            <w:r>
              <w:rPr>
                <w:spacing w:val="-7"/>
              </w:rPr>
              <w:t>2</w:t>
            </w:r>
            <w:r>
              <w:rPr>
                <w:rFonts w:hint="eastAsia"/>
                <w:spacing w:val="-7"/>
                <w:lang w:val="en-US" w:eastAsia="zh-CN"/>
              </w:rPr>
              <w:t>5</w:t>
            </w:r>
          </w:p>
        </w:tc>
        <w:tc>
          <w:tcPr>
            <w:tcW w:w="978" w:type="pct"/>
            <w:vAlign w:val="top"/>
          </w:tcPr>
          <w:p w14:paraId="4C6501F6">
            <w:pPr>
              <w:spacing w:line="360" w:lineRule="auto"/>
              <w:outlineLvl w:val="9"/>
              <w:rPr>
                <w:rFonts w:ascii="Arial"/>
                <w:sz w:val="21"/>
              </w:rPr>
            </w:pPr>
          </w:p>
          <w:p w14:paraId="37874065">
            <w:pPr>
              <w:spacing w:line="360" w:lineRule="auto"/>
              <w:outlineLvl w:val="9"/>
              <w:rPr>
                <w:rFonts w:ascii="Arial"/>
                <w:sz w:val="21"/>
              </w:rPr>
            </w:pPr>
          </w:p>
          <w:p w14:paraId="72948A6D">
            <w:pPr>
              <w:pStyle w:val="14"/>
              <w:spacing w:before="78" w:line="360" w:lineRule="auto"/>
              <w:ind w:left="115" w:right="107" w:firstLine="1"/>
              <w:outlineLvl w:val="9"/>
            </w:pPr>
            <w:r>
              <w:rPr>
                <w:spacing w:val="34"/>
              </w:rPr>
              <w:t>是否组织踏勘</w:t>
            </w:r>
            <w:r>
              <w:rPr>
                <w:spacing w:val="-6"/>
              </w:rPr>
              <w:t>现场</w:t>
            </w:r>
          </w:p>
        </w:tc>
        <w:tc>
          <w:tcPr>
            <w:tcW w:w="3629" w:type="pct"/>
            <w:vAlign w:val="top"/>
          </w:tcPr>
          <w:p w14:paraId="4E40EC15">
            <w:pPr>
              <w:pStyle w:val="14"/>
              <w:spacing w:before="121" w:line="360" w:lineRule="auto"/>
              <w:ind w:left="113" w:right="107" w:firstLine="26"/>
              <w:jc w:val="both"/>
              <w:outlineLvl w:val="9"/>
            </w:pPr>
            <w:r>
              <w:rPr>
                <w:position w:val="-3"/>
              </w:rPr>
              <w:drawing>
                <wp:inline distT="0" distB="0" distL="0" distR="0">
                  <wp:extent cx="130810" cy="151765"/>
                  <wp:effectExtent l="0" t="0" r="0" b="0"/>
                  <wp:docPr id="22" name="IM 22"/>
                  <wp:cNvGraphicFramePr/>
                  <a:graphic xmlns:a="http://schemas.openxmlformats.org/drawingml/2006/main">
                    <a:graphicData uri="http://schemas.openxmlformats.org/drawingml/2006/picture">
                      <pic:pic xmlns:pic="http://schemas.openxmlformats.org/drawingml/2006/picture">
                        <pic:nvPicPr>
                          <pic:cNvPr id="22" name="IM 22"/>
                          <pic:cNvPicPr/>
                        </pic:nvPicPr>
                        <pic:blipFill>
                          <a:blip r:embed="rId47"/>
                          <a:stretch>
                            <a:fillRect/>
                          </a:stretch>
                        </pic:blipFill>
                        <pic:spPr>
                          <a:xfrm>
                            <a:off x="0" y="0"/>
                            <a:ext cx="130911" cy="152247"/>
                          </a:xfrm>
                          <a:prstGeom prst="rect">
                            <a:avLst/>
                          </a:prstGeom>
                        </pic:spPr>
                      </pic:pic>
                    </a:graphicData>
                  </a:graphic>
                </wp:inline>
              </w:drawing>
            </w:r>
            <w:r>
              <w:t>不组织□组织，本项目采购人及采购代理机构不集中组织踏勘现场；需要现场踏勘的，由供应商自行踏勘，安全责任由供应商自负，费用自理。如需踏勘，请按采购公告中的联系方式联系采</w:t>
            </w:r>
            <w:r>
              <w:rPr>
                <w:spacing w:val="-3"/>
              </w:rPr>
              <w:t>购人。</w:t>
            </w:r>
          </w:p>
        </w:tc>
      </w:tr>
    </w:tbl>
    <w:p w14:paraId="1EE61DD9">
      <w:pPr>
        <w:spacing w:line="360" w:lineRule="auto"/>
        <w:outlineLvl w:val="9"/>
        <w:rPr>
          <w:rFonts w:ascii="Arial"/>
          <w:sz w:val="2"/>
        </w:rPr>
      </w:pPr>
    </w:p>
    <w:tbl>
      <w:tblPr>
        <w:tblStyle w:val="13"/>
        <w:tblW w:w="4998"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654"/>
        <w:gridCol w:w="685"/>
        <w:gridCol w:w="946"/>
        <w:gridCol w:w="6052"/>
      </w:tblGrid>
      <w:tr w14:paraId="47FFB4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13" w:hRule="atLeast"/>
        </w:trPr>
        <w:tc>
          <w:tcPr>
            <w:tcW w:w="392" w:type="pct"/>
            <w:vAlign w:val="top"/>
          </w:tcPr>
          <w:p w14:paraId="559D9639">
            <w:pPr>
              <w:spacing w:line="360" w:lineRule="auto"/>
              <w:outlineLvl w:val="9"/>
              <w:rPr>
                <w:rFonts w:ascii="Arial"/>
                <w:sz w:val="21"/>
              </w:rPr>
            </w:pPr>
          </w:p>
          <w:p w14:paraId="0CDB0032">
            <w:pPr>
              <w:spacing w:line="360" w:lineRule="auto"/>
              <w:outlineLvl w:val="9"/>
              <w:rPr>
                <w:rFonts w:ascii="Arial"/>
                <w:sz w:val="21"/>
              </w:rPr>
            </w:pPr>
          </w:p>
          <w:p w14:paraId="1D64FDBF">
            <w:pPr>
              <w:pStyle w:val="14"/>
              <w:spacing w:before="78" w:line="360" w:lineRule="auto"/>
              <w:ind w:left="266"/>
              <w:outlineLvl w:val="9"/>
              <w:rPr>
                <w:rFonts w:hint="default" w:eastAsia="宋体"/>
                <w:lang w:val="en-US" w:eastAsia="zh-CN"/>
              </w:rPr>
            </w:pPr>
            <w:r>
              <w:rPr>
                <w:rFonts w:hint="eastAsia"/>
                <w:spacing w:val="-7"/>
                <w:lang w:val="en-US" w:eastAsia="zh-CN"/>
              </w:rPr>
              <w:t>26</w:t>
            </w:r>
          </w:p>
        </w:tc>
        <w:tc>
          <w:tcPr>
            <w:tcW w:w="978" w:type="pct"/>
            <w:gridSpan w:val="2"/>
            <w:vAlign w:val="top"/>
          </w:tcPr>
          <w:p w14:paraId="208149DE">
            <w:pPr>
              <w:spacing w:line="360" w:lineRule="auto"/>
              <w:outlineLvl w:val="9"/>
              <w:rPr>
                <w:rFonts w:ascii="Arial"/>
                <w:sz w:val="21"/>
              </w:rPr>
            </w:pPr>
          </w:p>
          <w:p w14:paraId="7A6C448D">
            <w:pPr>
              <w:spacing w:line="360" w:lineRule="auto"/>
              <w:outlineLvl w:val="9"/>
              <w:rPr>
                <w:rFonts w:ascii="Arial"/>
                <w:sz w:val="21"/>
              </w:rPr>
            </w:pPr>
          </w:p>
          <w:p w14:paraId="7AA51530">
            <w:pPr>
              <w:pStyle w:val="14"/>
              <w:spacing w:before="78" w:line="360" w:lineRule="auto"/>
              <w:ind w:left="116"/>
              <w:outlineLvl w:val="9"/>
            </w:pPr>
            <w:r>
              <w:rPr>
                <w:spacing w:val="-3"/>
              </w:rPr>
              <w:t>投标答疑会</w:t>
            </w:r>
          </w:p>
        </w:tc>
        <w:tc>
          <w:tcPr>
            <w:tcW w:w="3629" w:type="pct"/>
            <w:vAlign w:val="top"/>
          </w:tcPr>
          <w:p w14:paraId="1E2A624B">
            <w:pPr>
              <w:pStyle w:val="14"/>
              <w:spacing w:before="119" w:line="360" w:lineRule="auto"/>
              <w:ind w:left="114" w:right="107" w:firstLine="25"/>
              <w:jc w:val="both"/>
              <w:outlineLvl w:val="9"/>
            </w:pPr>
            <w:r>
              <w:rPr>
                <w:position w:val="-3"/>
              </w:rPr>
              <w:drawing>
                <wp:inline distT="0" distB="0" distL="0" distR="0">
                  <wp:extent cx="130810" cy="151765"/>
                  <wp:effectExtent l="0" t="0" r="0" b="0"/>
                  <wp:docPr id="24" name="IM 24"/>
                  <wp:cNvGraphicFramePr/>
                  <a:graphic xmlns:a="http://schemas.openxmlformats.org/drawingml/2006/main">
                    <a:graphicData uri="http://schemas.openxmlformats.org/drawingml/2006/picture">
                      <pic:pic xmlns:pic="http://schemas.openxmlformats.org/drawingml/2006/picture">
                        <pic:nvPicPr>
                          <pic:cNvPr id="24" name="IM 24"/>
                          <pic:cNvPicPr/>
                        </pic:nvPicPr>
                        <pic:blipFill>
                          <a:blip r:embed="rId39"/>
                          <a:stretch>
                            <a:fillRect/>
                          </a:stretch>
                        </pic:blipFill>
                        <pic:spPr>
                          <a:xfrm>
                            <a:off x="0" y="0"/>
                            <a:ext cx="130911" cy="152247"/>
                          </a:xfrm>
                          <a:prstGeom prst="rect">
                            <a:avLst/>
                          </a:prstGeom>
                        </pic:spPr>
                      </pic:pic>
                    </a:graphicData>
                  </a:graphic>
                </wp:inline>
              </w:drawing>
            </w:r>
            <w:r>
              <w:t>不召开□召开，采购代理机构将对供应商所提出的问题予以解答，并出具书面答疑纪要。答疑纪要为采购文件的组成部分，与</w:t>
            </w:r>
            <w:r>
              <w:rPr>
                <w:spacing w:val="-1"/>
              </w:rPr>
              <w:t>采购文件具有同等法律效力。</w:t>
            </w:r>
          </w:p>
        </w:tc>
      </w:tr>
      <w:tr w14:paraId="6EFEFB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8" w:hRule="atLeast"/>
        </w:trPr>
        <w:tc>
          <w:tcPr>
            <w:tcW w:w="392" w:type="pct"/>
            <w:vAlign w:val="top"/>
          </w:tcPr>
          <w:p w14:paraId="7D846318">
            <w:pPr>
              <w:spacing w:line="360" w:lineRule="auto"/>
              <w:outlineLvl w:val="9"/>
              <w:rPr>
                <w:rFonts w:ascii="Arial"/>
                <w:sz w:val="21"/>
              </w:rPr>
            </w:pPr>
          </w:p>
          <w:p w14:paraId="36D86B3D">
            <w:pPr>
              <w:spacing w:line="360" w:lineRule="auto"/>
              <w:outlineLvl w:val="9"/>
              <w:rPr>
                <w:rFonts w:ascii="Arial"/>
                <w:sz w:val="21"/>
              </w:rPr>
            </w:pPr>
          </w:p>
          <w:p w14:paraId="507A381C">
            <w:pPr>
              <w:pStyle w:val="14"/>
              <w:spacing w:before="78" w:line="360" w:lineRule="auto"/>
              <w:ind w:left="266"/>
              <w:outlineLvl w:val="9"/>
              <w:rPr>
                <w:rFonts w:hint="eastAsia" w:eastAsia="宋体"/>
                <w:lang w:eastAsia="zh-CN"/>
              </w:rPr>
            </w:pPr>
            <w:r>
              <w:rPr>
                <w:spacing w:val="-7"/>
              </w:rPr>
              <w:t>2</w:t>
            </w:r>
            <w:r>
              <w:rPr>
                <w:rFonts w:hint="eastAsia"/>
                <w:spacing w:val="-7"/>
                <w:lang w:val="en-US" w:eastAsia="zh-CN"/>
              </w:rPr>
              <w:t>7</w:t>
            </w:r>
          </w:p>
        </w:tc>
        <w:tc>
          <w:tcPr>
            <w:tcW w:w="978" w:type="pct"/>
            <w:gridSpan w:val="2"/>
            <w:vAlign w:val="top"/>
          </w:tcPr>
          <w:p w14:paraId="17E6EF02">
            <w:pPr>
              <w:spacing w:line="360" w:lineRule="auto"/>
              <w:outlineLvl w:val="9"/>
              <w:rPr>
                <w:rFonts w:ascii="Arial"/>
                <w:sz w:val="21"/>
              </w:rPr>
            </w:pPr>
          </w:p>
          <w:p w14:paraId="5DF173A8">
            <w:pPr>
              <w:spacing w:line="360" w:lineRule="auto"/>
              <w:outlineLvl w:val="9"/>
              <w:rPr>
                <w:rFonts w:ascii="Arial"/>
                <w:sz w:val="21"/>
              </w:rPr>
            </w:pPr>
          </w:p>
          <w:p w14:paraId="147E738F">
            <w:pPr>
              <w:pStyle w:val="14"/>
              <w:spacing w:before="78" w:line="360" w:lineRule="auto"/>
              <w:ind w:left="116"/>
              <w:outlineLvl w:val="9"/>
            </w:pPr>
            <w:r>
              <w:rPr>
                <w:spacing w:val="-7"/>
              </w:rPr>
              <w:t>分包</w:t>
            </w:r>
          </w:p>
        </w:tc>
        <w:tc>
          <w:tcPr>
            <w:tcW w:w="3629" w:type="pct"/>
            <w:vAlign w:val="top"/>
          </w:tcPr>
          <w:p w14:paraId="5828F0FB">
            <w:pPr>
              <w:pStyle w:val="14"/>
              <w:spacing w:before="184" w:line="360" w:lineRule="auto"/>
              <w:ind w:left="115" w:right="27" w:firstLine="24"/>
              <w:jc w:val="both"/>
              <w:outlineLvl w:val="9"/>
            </w:pPr>
            <w:r>
              <w:rPr>
                <w:position w:val="-3"/>
              </w:rPr>
              <w:drawing>
                <wp:inline distT="0" distB="0" distL="0" distR="0">
                  <wp:extent cx="130810" cy="151765"/>
                  <wp:effectExtent l="0" t="0" r="0" b="0"/>
                  <wp:docPr id="26" name="IM 26"/>
                  <wp:cNvGraphicFramePr/>
                  <a:graphic xmlns:a="http://schemas.openxmlformats.org/drawingml/2006/main">
                    <a:graphicData uri="http://schemas.openxmlformats.org/drawingml/2006/picture">
                      <pic:pic xmlns:pic="http://schemas.openxmlformats.org/drawingml/2006/picture">
                        <pic:nvPicPr>
                          <pic:cNvPr id="26" name="IM 26"/>
                          <pic:cNvPicPr/>
                        </pic:nvPicPr>
                        <pic:blipFill>
                          <a:blip r:embed="rId39"/>
                          <a:stretch>
                            <a:fillRect/>
                          </a:stretch>
                        </pic:blipFill>
                        <pic:spPr>
                          <a:xfrm>
                            <a:off x="0" y="0"/>
                            <a:ext cx="130911" cy="152247"/>
                          </a:xfrm>
                          <a:prstGeom prst="rect">
                            <a:avLst/>
                          </a:prstGeom>
                        </pic:spPr>
                      </pic:pic>
                    </a:graphicData>
                  </a:graphic>
                </wp:inline>
              </w:drawing>
            </w:r>
            <w:r>
              <w:t>不允许□允许，分包内容要求：在征得采购人同意后，承包人可以将本项目的专业工程进行分包。分包金额要求：接受分包的</w:t>
            </w:r>
            <w:r>
              <w:rPr>
                <w:spacing w:val="-5"/>
              </w:rPr>
              <w:t>第三人资质要求；符合施工拟分包的专业工程</w:t>
            </w:r>
            <w:r>
              <w:rPr>
                <w:spacing w:val="-6"/>
              </w:rPr>
              <w:t>国家相关强制规定。</w:t>
            </w:r>
          </w:p>
        </w:tc>
      </w:tr>
      <w:tr w14:paraId="1ACBDA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9" w:hRule="atLeast"/>
        </w:trPr>
        <w:tc>
          <w:tcPr>
            <w:tcW w:w="392" w:type="pct"/>
            <w:vAlign w:val="top"/>
          </w:tcPr>
          <w:p w14:paraId="54F1547E">
            <w:pPr>
              <w:spacing w:line="360" w:lineRule="auto"/>
              <w:outlineLvl w:val="9"/>
              <w:rPr>
                <w:rFonts w:ascii="Arial"/>
                <w:sz w:val="21"/>
              </w:rPr>
            </w:pPr>
          </w:p>
          <w:p w14:paraId="617900A6">
            <w:pPr>
              <w:spacing w:line="360" w:lineRule="auto"/>
              <w:outlineLvl w:val="9"/>
              <w:rPr>
                <w:rFonts w:ascii="Arial"/>
                <w:sz w:val="21"/>
              </w:rPr>
            </w:pPr>
          </w:p>
          <w:p w14:paraId="326ED67A">
            <w:pPr>
              <w:pStyle w:val="14"/>
              <w:spacing w:before="78" w:line="360" w:lineRule="auto"/>
              <w:ind w:left="266"/>
              <w:outlineLvl w:val="9"/>
              <w:rPr>
                <w:rFonts w:hint="eastAsia" w:eastAsia="宋体"/>
                <w:lang w:eastAsia="zh-CN"/>
              </w:rPr>
            </w:pPr>
            <w:r>
              <w:rPr>
                <w:spacing w:val="-7"/>
              </w:rPr>
              <w:t>2</w:t>
            </w:r>
            <w:r>
              <w:rPr>
                <w:rFonts w:hint="eastAsia"/>
                <w:spacing w:val="-7"/>
                <w:lang w:val="en-US" w:eastAsia="zh-CN"/>
              </w:rPr>
              <w:t>8</w:t>
            </w:r>
          </w:p>
        </w:tc>
        <w:tc>
          <w:tcPr>
            <w:tcW w:w="978" w:type="pct"/>
            <w:gridSpan w:val="2"/>
            <w:vAlign w:val="top"/>
          </w:tcPr>
          <w:p w14:paraId="44113756">
            <w:pPr>
              <w:pStyle w:val="14"/>
              <w:spacing w:before="115" w:line="360" w:lineRule="auto"/>
              <w:ind w:left="113" w:right="105" w:firstLine="2"/>
              <w:jc w:val="both"/>
              <w:outlineLvl w:val="9"/>
            </w:pPr>
            <w:r>
              <w:rPr>
                <w:spacing w:val="34"/>
              </w:rPr>
              <w:t>构成竞争性谈</w:t>
            </w:r>
            <w:r>
              <w:rPr>
                <w:spacing w:val="35"/>
              </w:rPr>
              <w:t>判文件的其他</w:t>
            </w:r>
            <w:r>
              <w:rPr>
                <w:spacing w:val="-5"/>
              </w:rPr>
              <w:t>文件</w:t>
            </w:r>
          </w:p>
        </w:tc>
        <w:tc>
          <w:tcPr>
            <w:tcW w:w="3629" w:type="pct"/>
            <w:vAlign w:val="top"/>
          </w:tcPr>
          <w:p w14:paraId="56BF728D">
            <w:pPr>
              <w:pStyle w:val="14"/>
              <w:spacing w:before="115" w:line="360" w:lineRule="auto"/>
              <w:ind w:left="123" w:right="27" w:hanging="9"/>
              <w:jc w:val="both"/>
              <w:outlineLvl w:val="9"/>
            </w:pPr>
            <w:r>
              <w:t>谈判响应文件中的复印件（含扫描件）必须加盖供应商公章（鲜</w:t>
            </w:r>
            <w:r>
              <w:rPr>
                <w:spacing w:val="-1"/>
              </w:rPr>
              <w:t>章），否</w:t>
            </w:r>
            <w:r>
              <w:rPr>
                <w:spacing w:val="-9"/>
              </w:rPr>
              <w:t>则按无效文件处理。所有复印件应是最新、有效、清晰的。</w:t>
            </w:r>
            <w:r>
              <w:rPr>
                <w:spacing w:val="-1"/>
              </w:rPr>
              <w:t>因复印件不清晰而可能导致资料无效，由谈判供应商自行负责。</w:t>
            </w:r>
          </w:p>
        </w:tc>
      </w:tr>
      <w:tr w14:paraId="54627B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392" w:type="pct"/>
            <w:vAlign w:val="top"/>
          </w:tcPr>
          <w:p w14:paraId="26A0F824">
            <w:pPr>
              <w:pStyle w:val="14"/>
              <w:spacing w:before="115" w:line="360" w:lineRule="auto"/>
              <w:ind w:left="268"/>
              <w:outlineLvl w:val="9"/>
              <w:rPr>
                <w:rFonts w:hint="default" w:eastAsia="宋体"/>
                <w:lang w:val="en-US" w:eastAsia="zh-CN"/>
              </w:rPr>
            </w:pPr>
            <w:r>
              <w:rPr>
                <w:rFonts w:hint="eastAsia"/>
                <w:spacing w:val="-8"/>
                <w:lang w:val="en-US" w:eastAsia="zh-CN"/>
              </w:rPr>
              <w:t>29</w:t>
            </w:r>
          </w:p>
        </w:tc>
        <w:tc>
          <w:tcPr>
            <w:tcW w:w="978" w:type="pct"/>
            <w:gridSpan w:val="2"/>
            <w:vAlign w:val="top"/>
          </w:tcPr>
          <w:p w14:paraId="183329BE">
            <w:pPr>
              <w:pStyle w:val="14"/>
              <w:spacing w:before="116" w:line="360" w:lineRule="auto"/>
              <w:ind w:left="114"/>
              <w:outlineLvl w:val="9"/>
            </w:pPr>
            <w:r>
              <w:rPr>
                <w:spacing w:val="-3"/>
              </w:rPr>
              <w:t>合同签订</w:t>
            </w:r>
          </w:p>
        </w:tc>
        <w:tc>
          <w:tcPr>
            <w:tcW w:w="3629" w:type="pct"/>
            <w:vAlign w:val="top"/>
          </w:tcPr>
          <w:p w14:paraId="5C4B9E51">
            <w:pPr>
              <w:pStyle w:val="14"/>
              <w:spacing w:before="115" w:line="360" w:lineRule="auto"/>
              <w:ind w:left="117"/>
              <w:outlineLvl w:val="9"/>
            </w:pPr>
            <w:r>
              <w:rPr>
                <w:spacing w:val="-1"/>
              </w:rPr>
              <w:t>成交供应商和采购人签订合同。</w:t>
            </w:r>
          </w:p>
        </w:tc>
      </w:tr>
      <w:tr w14:paraId="702C18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19" w:hRule="atLeast"/>
        </w:trPr>
        <w:tc>
          <w:tcPr>
            <w:tcW w:w="392" w:type="pct"/>
            <w:vAlign w:val="top"/>
          </w:tcPr>
          <w:p w14:paraId="537B1F32">
            <w:pPr>
              <w:spacing w:line="360" w:lineRule="auto"/>
              <w:outlineLvl w:val="9"/>
              <w:rPr>
                <w:rFonts w:ascii="Arial"/>
                <w:sz w:val="21"/>
              </w:rPr>
            </w:pPr>
          </w:p>
          <w:p w14:paraId="5C70B7C9">
            <w:pPr>
              <w:spacing w:line="360" w:lineRule="auto"/>
              <w:outlineLvl w:val="9"/>
              <w:rPr>
                <w:rFonts w:ascii="Arial"/>
                <w:sz w:val="21"/>
              </w:rPr>
            </w:pPr>
          </w:p>
          <w:p w14:paraId="11962CDC">
            <w:pPr>
              <w:pStyle w:val="14"/>
              <w:spacing w:before="78" w:line="360" w:lineRule="auto"/>
              <w:ind w:left="268"/>
              <w:outlineLvl w:val="9"/>
              <w:rPr>
                <w:rFonts w:hint="eastAsia" w:eastAsia="宋体"/>
                <w:lang w:eastAsia="zh-CN"/>
              </w:rPr>
            </w:pPr>
            <w:r>
              <w:rPr>
                <w:spacing w:val="-8"/>
              </w:rPr>
              <w:t>3</w:t>
            </w:r>
            <w:r>
              <w:rPr>
                <w:rFonts w:hint="eastAsia"/>
                <w:spacing w:val="-8"/>
                <w:lang w:val="en-US" w:eastAsia="zh-CN"/>
              </w:rPr>
              <w:t>0</w:t>
            </w:r>
          </w:p>
        </w:tc>
        <w:tc>
          <w:tcPr>
            <w:tcW w:w="978" w:type="pct"/>
            <w:gridSpan w:val="2"/>
            <w:vAlign w:val="top"/>
          </w:tcPr>
          <w:p w14:paraId="1B6C4131">
            <w:pPr>
              <w:spacing w:line="360" w:lineRule="auto"/>
              <w:outlineLvl w:val="9"/>
              <w:rPr>
                <w:rFonts w:ascii="Arial"/>
                <w:sz w:val="21"/>
              </w:rPr>
            </w:pPr>
          </w:p>
          <w:p w14:paraId="40FEF1A5">
            <w:pPr>
              <w:spacing w:line="360" w:lineRule="auto"/>
              <w:outlineLvl w:val="9"/>
              <w:rPr>
                <w:rFonts w:ascii="Arial"/>
                <w:sz w:val="21"/>
              </w:rPr>
            </w:pPr>
          </w:p>
          <w:p w14:paraId="242A44D9">
            <w:pPr>
              <w:pStyle w:val="14"/>
              <w:spacing w:before="78" w:line="360" w:lineRule="auto"/>
              <w:ind w:left="114"/>
              <w:outlineLvl w:val="9"/>
            </w:pPr>
            <w:r>
              <w:rPr>
                <w:spacing w:val="-6"/>
              </w:rPr>
              <w:t>其他</w:t>
            </w:r>
          </w:p>
        </w:tc>
        <w:tc>
          <w:tcPr>
            <w:tcW w:w="3629" w:type="pct"/>
            <w:vAlign w:val="top"/>
          </w:tcPr>
          <w:p w14:paraId="6E727475">
            <w:pPr>
              <w:pStyle w:val="14"/>
              <w:spacing w:before="117" w:line="360" w:lineRule="auto"/>
              <w:ind w:left="117" w:right="107" w:firstLine="15"/>
              <w:outlineLvl w:val="9"/>
            </w:pPr>
            <w:r>
              <w:rPr>
                <w:spacing w:val="-5"/>
              </w:rPr>
              <w:t>1、供应商若对采购文件有质疑的，应当在获取采购文件或者采购</w:t>
            </w:r>
            <w:r>
              <w:rPr>
                <w:spacing w:val="-1"/>
              </w:rPr>
              <w:t>文件公告期限届满之日起7个工作日内提出。在此之后提出的质</w:t>
            </w:r>
            <w:r>
              <w:rPr>
                <w:spacing w:val="-3"/>
              </w:rPr>
              <w:t>疑无效。</w:t>
            </w:r>
          </w:p>
          <w:p w14:paraId="766D1887">
            <w:pPr>
              <w:pStyle w:val="14"/>
              <w:spacing w:before="104" w:line="360" w:lineRule="auto"/>
              <w:ind w:left="118"/>
              <w:outlineLvl w:val="9"/>
            </w:pPr>
            <w:r>
              <w:rPr>
                <w:spacing w:val="-1"/>
              </w:rPr>
              <w:t>2、当供应商不足三家时，按相关文件执行。</w:t>
            </w:r>
          </w:p>
        </w:tc>
      </w:tr>
      <w:tr w14:paraId="0F0BA9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5" w:hRule="atLeast"/>
        </w:trPr>
        <w:tc>
          <w:tcPr>
            <w:tcW w:w="392" w:type="pct"/>
            <w:vAlign w:val="top"/>
          </w:tcPr>
          <w:p w14:paraId="486765FB">
            <w:pPr>
              <w:spacing w:line="360" w:lineRule="auto"/>
              <w:outlineLvl w:val="9"/>
              <w:rPr>
                <w:rFonts w:ascii="Arial"/>
                <w:sz w:val="21"/>
              </w:rPr>
            </w:pPr>
          </w:p>
          <w:p w14:paraId="0B6BB49F">
            <w:pPr>
              <w:spacing w:line="360" w:lineRule="auto"/>
              <w:outlineLvl w:val="9"/>
              <w:rPr>
                <w:rFonts w:ascii="Arial"/>
                <w:sz w:val="21"/>
              </w:rPr>
            </w:pPr>
          </w:p>
          <w:p w14:paraId="0E018412">
            <w:pPr>
              <w:spacing w:line="360" w:lineRule="auto"/>
              <w:outlineLvl w:val="9"/>
              <w:rPr>
                <w:rFonts w:ascii="Arial"/>
                <w:sz w:val="21"/>
              </w:rPr>
            </w:pPr>
          </w:p>
          <w:p w14:paraId="182F979A">
            <w:pPr>
              <w:spacing w:line="360" w:lineRule="auto"/>
              <w:outlineLvl w:val="9"/>
              <w:rPr>
                <w:rFonts w:ascii="Arial"/>
                <w:sz w:val="21"/>
              </w:rPr>
            </w:pPr>
          </w:p>
          <w:p w14:paraId="3BDBD918">
            <w:pPr>
              <w:spacing w:line="360" w:lineRule="auto"/>
              <w:outlineLvl w:val="9"/>
              <w:rPr>
                <w:rFonts w:ascii="Arial"/>
                <w:sz w:val="21"/>
              </w:rPr>
            </w:pPr>
          </w:p>
          <w:p w14:paraId="20D9F075">
            <w:pPr>
              <w:spacing w:line="360" w:lineRule="auto"/>
              <w:outlineLvl w:val="9"/>
              <w:rPr>
                <w:rFonts w:ascii="Arial"/>
                <w:sz w:val="21"/>
              </w:rPr>
            </w:pPr>
          </w:p>
          <w:p w14:paraId="61E356AF">
            <w:pPr>
              <w:spacing w:line="360" w:lineRule="auto"/>
              <w:outlineLvl w:val="9"/>
              <w:rPr>
                <w:rFonts w:ascii="Arial"/>
                <w:sz w:val="21"/>
              </w:rPr>
            </w:pPr>
          </w:p>
          <w:p w14:paraId="7F890E5E">
            <w:pPr>
              <w:spacing w:line="360" w:lineRule="auto"/>
              <w:outlineLvl w:val="9"/>
              <w:rPr>
                <w:rFonts w:ascii="Arial"/>
                <w:sz w:val="21"/>
              </w:rPr>
            </w:pPr>
          </w:p>
          <w:p w14:paraId="1A135096">
            <w:pPr>
              <w:spacing w:line="360" w:lineRule="auto"/>
              <w:outlineLvl w:val="9"/>
              <w:rPr>
                <w:rFonts w:ascii="Arial"/>
                <w:sz w:val="21"/>
              </w:rPr>
            </w:pPr>
          </w:p>
          <w:p w14:paraId="0EF157AE">
            <w:pPr>
              <w:spacing w:line="360" w:lineRule="auto"/>
              <w:outlineLvl w:val="9"/>
              <w:rPr>
                <w:rFonts w:ascii="Arial"/>
                <w:sz w:val="21"/>
              </w:rPr>
            </w:pPr>
          </w:p>
          <w:p w14:paraId="6CE46537">
            <w:pPr>
              <w:spacing w:line="360" w:lineRule="auto"/>
              <w:outlineLvl w:val="9"/>
              <w:rPr>
                <w:rFonts w:ascii="Arial"/>
                <w:sz w:val="21"/>
              </w:rPr>
            </w:pPr>
          </w:p>
          <w:p w14:paraId="7DBC28D6">
            <w:pPr>
              <w:spacing w:line="360" w:lineRule="auto"/>
              <w:outlineLvl w:val="9"/>
              <w:rPr>
                <w:rFonts w:ascii="Arial"/>
                <w:sz w:val="21"/>
              </w:rPr>
            </w:pPr>
          </w:p>
          <w:p w14:paraId="079B2A4B">
            <w:pPr>
              <w:spacing w:line="360" w:lineRule="auto"/>
              <w:outlineLvl w:val="9"/>
              <w:rPr>
                <w:rFonts w:ascii="Arial"/>
                <w:sz w:val="21"/>
              </w:rPr>
            </w:pPr>
          </w:p>
          <w:p w14:paraId="710FED97">
            <w:pPr>
              <w:pStyle w:val="14"/>
              <w:spacing w:before="78" w:line="360" w:lineRule="auto"/>
              <w:ind w:left="268"/>
              <w:outlineLvl w:val="9"/>
              <w:rPr>
                <w:rFonts w:hint="eastAsia" w:eastAsia="宋体"/>
                <w:lang w:eastAsia="zh-CN"/>
              </w:rPr>
            </w:pPr>
            <w:r>
              <w:rPr>
                <w:spacing w:val="-8"/>
              </w:rPr>
              <w:t>3</w:t>
            </w:r>
            <w:r>
              <w:rPr>
                <w:rFonts w:hint="eastAsia"/>
                <w:spacing w:val="-8"/>
                <w:lang w:val="en-US" w:eastAsia="zh-CN"/>
              </w:rPr>
              <w:t>1</w:t>
            </w:r>
          </w:p>
        </w:tc>
        <w:tc>
          <w:tcPr>
            <w:tcW w:w="411" w:type="pct"/>
            <w:vAlign w:val="top"/>
          </w:tcPr>
          <w:p w14:paraId="79F51E6B">
            <w:pPr>
              <w:spacing w:line="360" w:lineRule="auto"/>
              <w:outlineLvl w:val="9"/>
              <w:rPr>
                <w:rFonts w:ascii="Arial"/>
                <w:sz w:val="21"/>
              </w:rPr>
            </w:pPr>
          </w:p>
          <w:p w14:paraId="7B1D46C0">
            <w:pPr>
              <w:spacing w:line="360" w:lineRule="auto"/>
              <w:outlineLvl w:val="9"/>
              <w:rPr>
                <w:rFonts w:ascii="Arial"/>
                <w:sz w:val="21"/>
              </w:rPr>
            </w:pPr>
          </w:p>
          <w:p w14:paraId="39864BD0">
            <w:pPr>
              <w:spacing w:line="360" w:lineRule="auto"/>
              <w:outlineLvl w:val="9"/>
              <w:rPr>
                <w:rFonts w:ascii="Arial"/>
                <w:sz w:val="21"/>
              </w:rPr>
            </w:pPr>
          </w:p>
          <w:p w14:paraId="0052CC8E">
            <w:pPr>
              <w:spacing w:line="360" w:lineRule="auto"/>
              <w:outlineLvl w:val="9"/>
              <w:rPr>
                <w:rFonts w:ascii="Arial"/>
                <w:sz w:val="21"/>
              </w:rPr>
            </w:pPr>
          </w:p>
          <w:p w14:paraId="79724702">
            <w:pPr>
              <w:spacing w:line="360" w:lineRule="auto"/>
              <w:outlineLvl w:val="9"/>
              <w:rPr>
                <w:rFonts w:ascii="Arial"/>
                <w:sz w:val="21"/>
              </w:rPr>
            </w:pPr>
          </w:p>
          <w:p w14:paraId="7C19D81D">
            <w:pPr>
              <w:spacing w:line="360" w:lineRule="auto"/>
              <w:outlineLvl w:val="9"/>
              <w:rPr>
                <w:rFonts w:ascii="Arial"/>
                <w:sz w:val="21"/>
              </w:rPr>
            </w:pPr>
          </w:p>
          <w:p w14:paraId="58CE5C1A">
            <w:pPr>
              <w:spacing w:line="360" w:lineRule="auto"/>
              <w:outlineLvl w:val="9"/>
              <w:rPr>
                <w:rFonts w:ascii="Arial"/>
                <w:sz w:val="21"/>
              </w:rPr>
            </w:pPr>
          </w:p>
          <w:p w14:paraId="7153FF52">
            <w:pPr>
              <w:spacing w:line="360" w:lineRule="auto"/>
              <w:outlineLvl w:val="9"/>
              <w:rPr>
                <w:rFonts w:ascii="Arial"/>
                <w:sz w:val="21"/>
              </w:rPr>
            </w:pPr>
          </w:p>
          <w:p w14:paraId="42CA5FF8">
            <w:pPr>
              <w:spacing w:line="360" w:lineRule="auto"/>
              <w:outlineLvl w:val="9"/>
              <w:rPr>
                <w:rFonts w:ascii="Arial"/>
                <w:sz w:val="21"/>
              </w:rPr>
            </w:pPr>
          </w:p>
          <w:p w14:paraId="7108142E">
            <w:pPr>
              <w:spacing w:line="360" w:lineRule="auto"/>
              <w:outlineLvl w:val="9"/>
              <w:rPr>
                <w:rFonts w:ascii="Arial"/>
                <w:sz w:val="21"/>
              </w:rPr>
            </w:pPr>
          </w:p>
          <w:p w14:paraId="5A822B1E">
            <w:pPr>
              <w:spacing w:line="360" w:lineRule="auto"/>
              <w:outlineLvl w:val="9"/>
              <w:rPr>
                <w:rFonts w:ascii="Arial"/>
                <w:sz w:val="21"/>
              </w:rPr>
            </w:pPr>
          </w:p>
          <w:p w14:paraId="7D781122">
            <w:pPr>
              <w:pStyle w:val="14"/>
              <w:spacing w:before="78" w:line="360" w:lineRule="auto"/>
              <w:ind w:left="112"/>
              <w:outlineLvl w:val="9"/>
            </w:pPr>
            <w:r>
              <w:rPr>
                <w:spacing w:val="-5"/>
              </w:rPr>
              <w:t>政采</w:t>
            </w:r>
          </w:p>
          <w:p w14:paraId="17A4E8E2">
            <w:pPr>
              <w:pStyle w:val="14"/>
              <w:spacing w:before="184" w:line="360" w:lineRule="auto"/>
              <w:ind w:left="114" w:right="200" w:hanging="4"/>
              <w:outlineLvl w:val="9"/>
            </w:pPr>
            <w:r>
              <w:rPr>
                <w:spacing w:val="-4"/>
              </w:rPr>
              <w:t>贷业</w:t>
            </w:r>
            <w:r>
              <w:t>务</w:t>
            </w:r>
          </w:p>
        </w:tc>
        <w:tc>
          <w:tcPr>
            <w:tcW w:w="4195" w:type="pct"/>
            <w:gridSpan w:val="2"/>
            <w:vAlign w:val="top"/>
          </w:tcPr>
          <w:p w14:paraId="2484071D">
            <w:pPr>
              <w:pStyle w:val="14"/>
              <w:spacing w:before="117" w:line="360" w:lineRule="auto"/>
              <w:ind w:left="112" w:right="31" w:firstLine="3"/>
              <w:outlineLvl w:val="9"/>
            </w:pPr>
            <w:r>
              <w:rPr>
                <w:spacing w:val="-3"/>
              </w:rPr>
              <w:t>为了进一步推动金融支持政策更好适应市场主体的</w:t>
            </w:r>
            <w:r>
              <w:rPr>
                <w:spacing w:val="-4"/>
              </w:rPr>
              <w:t>需要，扎实落实国务院关</w:t>
            </w:r>
            <w:r>
              <w:rPr>
                <w:spacing w:val="-3"/>
              </w:rPr>
              <w:t>于支持中小企业发展的政策措施，积极发挥政府采购政策功</w:t>
            </w:r>
            <w:r>
              <w:rPr>
                <w:spacing w:val="-4"/>
              </w:rPr>
              <w:t>能，有效缓解中</w:t>
            </w:r>
            <w:r>
              <w:rPr>
                <w:spacing w:val="-1"/>
              </w:rPr>
              <w:t>小企业融资难、融资贵问题，根据中办国办《关</w:t>
            </w:r>
            <w:r>
              <w:rPr>
                <w:spacing w:val="-2"/>
              </w:rPr>
              <w:t>于促进中小企业健康发展</w:t>
            </w:r>
            <w:r>
              <w:rPr>
                <w:spacing w:val="-7"/>
              </w:rPr>
              <w:t>的指导意见》、财政部工信部《政府采购促进中</w:t>
            </w:r>
            <w:r>
              <w:rPr>
                <w:spacing w:val="-8"/>
              </w:rPr>
              <w:t>小企业发展管理办法》（财</w:t>
            </w:r>
            <w:r>
              <w:rPr>
                <w:spacing w:val="-11"/>
              </w:rPr>
              <w:t>库〔2020〕46号）、《陕西省中小企业政府采购信用融资办法》（陕财办采</w:t>
            </w:r>
            <w:r>
              <w:rPr>
                <w:spacing w:val="-7"/>
              </w:rPr>
              <w:t>〔2018〕23号）、《陕西省财政厅关于加快推</w:t>
            </w:r>
            <w:r>
              <w:rPr>
                <w:spacing w:val="-8"/>
              </w:rPr>
              <w:t>进我省中小企业政府采购信用</w:t>
            </w:r>
            <w:r>
              <w:rPr>
                <w:spacing w:val="-12"/>
              </w:rPr>
              <w:t>融资工作的通知》（陕财办采〔2020〕15号）、《陕西省财政厅中国人民银</w:t>
            </w:r>
            <w:r>
              <w:rPr>
                <w:spacing w:val="-8"/>
              </w:rPr>
              <w:t>行西安分行关于深入推进政府采购信用融资业务的通知》（陕财办采〔2023〕</w:t>
            </w:r>
            <w:r>
              <w:rPr>
                <w:spacing w:val="-7"/>
              </w:rPr>
              <w:t>5号）等有关规定，按照政府引导、市场运作、银企自愿、风险自担的原则，</w:t>
            </w:r>
            <w:r>
              <w:rPr>
                <w:spacing w:val="-3"/>
              </w:rPr>
              <w:t>中标（成交）供应商可根据自身资金需求，登录陕西省政府</w:t>
            </w:r>
            <w:r>
              <w:rPr>
                <w:spacing w:val="-4"/>
              </w:rPr>
              <w:t>采购信用融资平</w:t>
            </w:r>
            <w:r>
              <w:t>台（</w:t>
            </w:r>
            <w:r>
              <w:fldChar w:fldCharType="begin"/>
            </w:r>
            <w:r>
              <w:instrText xml:space="preserve"> HYPERLINK "http://www.ccgp-shaanxi.gov.cn/zcdservice/zcd/shanxi/" </w:instrText>
            </w:r>
            <w:r>
              <w:fldChar w:fldCharType="separate"/>
            </w:r>
            <w:r>
              <w:t>http://www.ccgp-shaanxi.gov.cn/zcdservice/zcd/s</w:t>
            </w:r>
            <w:r>
              <w:rPr>
                <w:spacing w:val="-1"/>
              </w:rPr>
              <w:t>hanxi/</w:t>
            </w:r>
            <w:r>
              <w:rPr>
                <w:spacing w:val="-1"/>
              </w:rPr>
              <w:fldChar w:fldCharType="end"/>
            </w:r>
            <w:r>
              <w:rPr>
                <w:spacing w:val="-1"/>
              </w:rPr>
              <w:t>）或中征</w:t>
            </w:r>
            <w:r>
              <w:t>平台（</w:t>
            </w:r>
            <w:r>
              <w:fldChar w:fldCharType="begin"/>
            </w:r>
            <w:r>
              <w:instrText xml:space="preserve"> HYPERLINK "https://www.crcrfsp.com" </w:instrText>
            </w:r>
            <w:r>
              <w:fldChar w:fldCharType="separate"/>
            </w:r>
            <w:r>
              <w:t>https://www.crcrfsp.com</w:t>
            </w:r>
            <w:r>
              <w:fldChar w:fldCharType="end"/>
            </w:r>
            <w:r>
              <w:t>）在线申请，依法</w:t>
            </w:r>
            <w:r>
              <w:rPr>
                <w:spacing w:val="-1"/>
              </w:rPr>
              <w:t>参加政府采购信用融资</w:t>
            </w:r>
            <w:r>
              <w:rPr>
                <w:spacing w:val="-3"/>
              </w:rPr>
              <w:t>活动。</w:t>
            </w:r>
          </w:p>
        </w:tc>
      </w:tr>
    </w:tbl>
    <w:p w14:paraId="288BCB30">
      <w:pPr>
        <w:spacing w:line="360" w:lineRule="auto"/>
        <w:outlineLvl w:val="9"/>
        <w:rPr>
          <w:rFonts w:ascii="Arial"/>
          <w:sz w:val="2"/>
        </w:rPr>
      </w:pPr>
    </w:p>
    <w:tbl>
      <w:tblPr>
        <w:tblStyle w:val="13"/>
        <w:tblW w:w="4998"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653"/>
        <w:gridCol w:w="685"/>
        <w:gridCol w:w="416"/>
        <w:gridCol w:w="928"/>
        <w:gridCol w:w="783"/>
        <w:gridCol w:w="925"/>
        <w:gridCol w:w="868"/>
        <w:gridCol w:w="1083"/>
        <w:gridCol w:w="859"/>
        <w:gridCol w:w="1141"/>
      </w:tblGrid>
      <w:tr w14:paraId="1AA314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392" w:type="pct"/>
            <w:vMerge w:val="restart"/>
            <w:tcBorders>
              <w:top w:val="single" w:color="auto" w:sz="4" w:space="0"/>
              <w:left w:val="single" w:color="auto" w:sz="4" w:space="0"/>
              <w:bottom w:val="nil"/>
            </w:tcBorders>
            <w:vAlign w:val="top"/>
          </w:tcPr>
          <w:p w14:paraId="0EB12E50">
            <w:pPr>
              <w:spacing w:line="360" w:lineRule="auto"/>
              <w:outlineLvl w:val="9"/>
              <w:rPr>
                <w:rFonts w:ascii="Arial"/>
                <w:sz w:val="21"/>
              </w:rPr>
            </w:pPr>
          </w:p>
        </w:tc>
        <w:tc>
          <w:tcPr>
            <w:tcW w:w="411" w:type="pct"/>
            <w:vMerge w:val="restart"/>
            <w:tcBorders>
              <w:top w:val="single" w:color="auto" w:sz="4" w:space="0"/>
              <w:bottom w:val="nil"/>
            </w:tcBorders>
            <w:vAlign w:val="top"/>
          </w:tcPr>
          <w:p w14:paraId="5EAB9D61">
            <w:pPr>
              <w:spacing w:line="360" w:lineRule="auto"/>
              <w:outlineLvl w:val="9"/>
              <w:rPr>
                <w:rFonts w:ascii="Arial"/>
                <w:sz w:val="21"/>
              </w:rPr>
            </w:pPr>
          </w:p>
        </w:tc>
        <w:tc>
          <w:tcPr>
            <w:tcW w:w="4195" w:type="pct"/>
            <w:gridSpan w:val="8"/>
            <w:tcBorders>
              <w:top w:val="single" w:color="auto" w:sz="4" w:space="0"/>
              <w:right w:val="single" w:color="auto" w:sz="4" w:space="0"/>
            </w:tcBorders>
            <w:vAlign w:val="top"/>
          </w:tcPr>
          <w:p w14:paraId="51231EC1">
            <w:pPr>
              <w:spacing w:before="98" w:line="360" w:lineRule="auto"/>
              <w:jc w:val="center"/>
              <w:outlineLvl w:val="9"/>
              <w:rPr>
                <w:rFonts w:ascii="楷体" w:hAnsi="楷体" w:eastAsia="楷体" w:cs="楷体"/>
                <w:sz w:val="30"/>
                <w:szCs w:val="30"/>
              </w:rPr>
            </w:pPr>
            <w:r>
              <w:rPr>
                <w:rFonts w:ascii="楷体" w:hAnsi="楷体" w:eastAsia="楷体" w:cs="楷体"/>
                <w:spacing w:val="-3"/>
                <w:sz w:val="30"/>
                <w:szCs w:val="30"/>
              </w:rPr>
              <w:t>榆林市“政采贷”业务办理银行联系表</w:t>
            </w:r>
          </w:p>
        </w:tc>
      </w:tr>
      <w:tr w14:paraId="427C40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392" w:type="pct"/>
            <w:vMerge w:val="continue"/>
            <w:tcBorders>
              <w:top w:val="nil"/>
              <w:left w:val="single" w:color="auto" w:sz="4" w:space="0"/>
              <w:bottom w:val="nil"/>
            </w:tcBorders>
            <w:vAlign w:val="top"/>
          </w:tcPr>
          <w:p w14:paraId="5B000FB1">
            <w:pPr>
              <w:spacing w:line="360" w:lineRule="auto"/>
              <w:outlineLvl w:val="9"/>
              <w:rPr>
                <w:rFonts w:ascii="Arial"/>
                <w:sz w:val="21"/>
              </w:rPr>
            </w:pPr>
          </w:p>
        </w:tc>
        <w:tc>
          <w:tcPr>
            <w:tcW w:w="411" w:type="pct"/>
            <w:vMerge w:val="continue"/>
            <w:tcBorders>
              <w:top w:val="nil"/>
              <w:bottom w:val="nil"/>
            </w:tcBorders>
            <w:vAlign w:val="top"/>
          </w:tcPr>
          <w:p w14:paraId="28B9CF55">
            <w:pPr>
              <w:spacing w:line="360" w:lineRule="auto"/>
              <w:outlineLvl w:val="9"/>
              <w:rPr>
                <w:rFonts w:ascii="Arial"/>
                <w:sz w:val="21"/>
              </w:rPr>
            </w:pPr>
          </w:p>
        </w:tc>
        <w:tc>
          <w:tcPr>
            <w:tcW w:w="249" w:type="pct"/>
            <w:textDirection w:val="tbRlV"/>
            <w:vAlign w:val="top"/>
          </w:tcPr>
          <w:p w14:paraId="41416383">
            <w:pPr>
              <w:spacing w:before="159" w:line="360" w:lineRule="auto"/>
              <w:ind w:left="53"/>
              <w:outlineLvl w:val="9"/>
              <w:rPr>
                <w:rFonts w:ascii="楷体" w:hAnsi="楷体" w:eastAsia="楷体" w:cs="楷体"/>
                <w:sz w:val="20"/>
                <w:szCs w:val="20"/>
              </w:rPr>
            </w:pPr>
            <w:r>
              <w:rPr>
                <w:rFonts w:ascii="楷体" w:hAnsi="楷体" w:eastAsia="楷体" w:cs="楷体"/>
                <w:spacing w:val="17"/>
                <w:sz w:val="20"/>
                <w:szCs w:val="20"/>
              </w:rPr>
              <w:t>序号</w:t>
            </w:r>
          </w:p>
        </w:tc>
        <w:tc>
          <w:tcPr>
            <w:tcW w:w="556" w:type="pct"/>
            <w:vAlign w:val="top"/>
          </w:tcPr>
          <w:p w14:paraId="0175B46F">
            <w:pPr>
              <w:spacing w:before="209" w:line="360" w:lineRule="auto"/>
              <w:ind w:left="120"/>
              <w:outlineLvl w:val="9"/>
              <w:rPr>
                <w:rFonts w:ascii="楷体" w:hAnsi="楷体" w:eastAsia="楷体" w:cs="楷体"/>
                <w:sz w:val="20"/>
                <w:szCs w:val="20"/>
              </w:rPr>
            </w:pPr>
            <w:r>
              <w:rPr>
                <w:rFonts w:ascii="楷体" w:hAnsi="楷体" w:eastAsia="楷体" w:cs="楷体"/>
                <w:spacing w:val="7"/>
                <w:sz w:val="20"/>
                <w:szCs w:val="20"/>
              </w:rPr>
              <w:t>银行名称</w:t>
            </w:r>
          </w:p>
        </w:tc>
        <w:tc>
          <w:tcPr>
            <w:tcW w:w="469" w:type="pct"/>
            <w:vAlign w:val="top"/>
          </w:tcPr>
          <w:p w14:paraId="12441A7A">
            <w:pPr>
              <w:spacing w:before="52" w:line="360" w:lineRule="auto"/>
              <w:ind w:left="349" w:right="133" w:hanging="212"/>
              <w:outlineLvl w:val="9"/>
              <w:rPr>
                <w:rFonts w:ascii="楷体" w:hAnsi="楷体" w:eastAsia="楷体" w:cs="楷体"/>
                <w:sz w:val="20"/>
                <w:szCs w:val="20"/>
              </w:rPr>
            </w:pPr>
            <w:r>
              <w:rPr>
                <w:rFonts w:ascii="楷体" w:hAnsi="楷体" w:eastAsia="楷体" w:cs="楷体"/>
                <w:spacing w:val="8"/>
                <w:sz w:val="20"/>
                <w:szCs w:val="20"/>
              </w:rPr>
              <w:t>产品名</w:t>
            </w:r>
            <w:r>
              <w:rPr>
                <w:rFonts w:ascii="楷体" w:hAnsi="楷体" w:eastAsia="楷体" w:cs="楷体"/>
                <w:spacing w:val="3"/>
                <w:sz w:val="20"/>
                <w:szCs w:val="20"/>
              </w:rPr>
              <w:t>称</w:t>
            </w:r>
          </w:p>
        </w:tc>
        <w:tc>
          <w:tcPr>
            <w:tcW w:w="554" w:type="pct"/>
            <w:vAlign w:val="top"/>
          </w:tcPr>
          <w:p w14:paraId="22929AFB">
            <w:pPr>
              <w:spacing w:before="208" w:line="360" w:lineRule="auto"/>
              <w:ind w:left="109"/>
              <w:outlineLvl w:val="9"/>
              <w:rPr>
                <w:rFonts w:ascii="楷体" w:hAnsi="楷体" w:eastAsia="楷体" w:cs="楷体"/>
                <w:sz w:val="20"/>
                <w:szCs w:val="20"/>
              </w:rPr>
            </w:pPr>
            <w:r>
              <w:rPr>
                <w:rFonts w:ascii="楷体" w:hAnsi="楷体" w:eastAsia="楷体" w:cs="楷体"/>
                <w:spacing w:val="9"/>
                <w:sz w:val="20"/>
                <w:szCs w:val="20"/>
              </w:rPr>
              <w:t>贷款额度</w:t>
            </w:r>
          </w:p>
        </w:tc>
        <w:tc>
          <w:tcPr>
            <w:tcW w:w="520" w:type="pct"/>
            <w:vAlign w:val="top"/>
          </w:tcPr>
          <w:p w14:paraId="21C4598F">
            <w:pPr>
              <w:spacing w:before="53" w:line="360" w:lineRule="auto"/>
              <w:ind w:left="184"/>
              <w:outlineLvl w:val="9"/>
              <w:rPr>
                <w:rFonts w:ascii="楷体" w:hAnsi="楷体" w:eastAsia="楷体" w:cs="楷体"/>
                <w:sz w:val="20"/>
                <w:szCs w:val="20"/>
              </w:rPr>
            </w:pPr>
            <w:r>
              <w:rPr>
                <w:rFonts w:ascii="楷体" w:hAnsi="楷体" w:eastAsia="楷体" w:cs="楷体"/>
                <w:spacing w:val="9"/>
                <w:sz w:val="20"/>
                <w:szCs w:val="20"/>
              </w:rPr>
              <w:t>贷款期</w:t>
            </w:r>
          </w:p>
          <w:p w14:paraId="1B31602C">
            <w:pPr>
              <w:spacing w:before="59" w:line="360" w:lineRule="auto"/>
              <w:ind w:left="414"/>
              <w:outlineLvl w:val="9"/>
              <w:rPr>
                <w:rFonts w:ascii="楷体" w:hAnsi="楷体" w:eastAsia="楷体" w:cs="楷体"/>
                <w:sz w:val="20"/>
                <w:szCs w:val="20"/>
              </w:rPr>
            </w:pPr>
            <w:r>
              <w:rPr>
                <w:rFonts w:ascii="楷体" w:hAnsi="楷体" w:eastAsia="楷体" w:cs="楷体"/>
                <w:sz w:val="20"/>
                <w:szCs w:val="20"/>
              </w:rPr>
              <w:t>限</w:t>
            </w:r>
          </w:p>
        </w:tc>
        <w:tc>
          <w:tcPr>
            <w:tcW w:w="649" w:type="pct"/>
            <w:vAlign w:val="top"/>
          </w:tcPr>
          <w:p w14:paraId="1CB8569C">
            <w:pPr>
              <w:spacing w:before="209" w:line="360" w:lineRule="auto"/>
              <w:ind w:left="202"/>
              <w:outlineLvl w:val="9"/>
              <w:rPr>
                <w:rFonts w:ascii="楷体" w:hAnsi="楷体" w:eastAsia="楷体" w:cs="楷体"/>
                <w:sz w:val="20"/>
                <w:szCs w:val="20"/>
              </w:rPr>
            </w:pPr>
            <w:r>
              <w:rPr>
                <w:rFonts w:ascii="楷体" w:hAnsi="楷体" w:eastAsia="楷体" w:cs="楷体"/>
                <w:spacing w:val="9"/>
                <w:sz w:val="20"/>
                <w:szCs w:val="20"/>
              </w:rPr>
              <w:t>贷款利率</w:t>
            </w:r>
          </w:p>
        </w:tc>
        <w:tc>
          <w:tcPr>
            <w:tcW w:w="515" w:type="pct"/>
            <w:vAlign w:val="top"/>
          </w:tcPr>
          <w:p w14:paraId="66A0B6B8">
            <w:pPr>
              <w:spacing w:before="52" w:line="360" w:lineRule="auto"/>
              <w:ind w:left="407" w:right="174" w:hanging="207"/>
              <w:outlineLvl w:val="9"/>
              <w:rPr>
                <w:rFonts w:ascii="楷体" w:hAnsi="楷体" w:eastAsia="楷体" w:cs="楷体"/>
                <w:sz w:val="20"/>
                <w:szCs w:val="20"/>
              </w:rPr>
            </w:pPr>
            <w:r>
              <w:rPr>
                <w:rFonts w:ascii="楷体" w:hAnsi="楷体" w:eastAsia="楷体" w:cs="楷体"/>
                <w:spacing w:val="2"/>
                <w:sz w:val="20"/>
                <w:szCs w:val="20"/>
              </w:rPr>
              <w:t>办理时</w:t>
            </w:r>
            <w:r>
              <w:rPr>
                <w:rFonts w:ascii="楷体" w:hAnsi="楷体" w:eastAsia="楷体" w:cs="楷体"/>
                <w:sz w:val="20"/>
                <w:szCs w:val="20"/>
              </w:rPr>
              <w:t>效</w:t>
            </w:r>
          </w:p>
        </w:tc>
        <w:tc>
          <w:tcPr>
            <w:tcW w:w="680" w:type="pct"/>
            <w:tcBorders>
              <w:right w:val="single" w:color="auto" w:sz="4" w:space="0"/>
            </w:tcBorders>
            <w:vAlign w:val="top"/>
          </w:tcPr>
          <w:p w14:paraId="0E4A1974">
            <w:pPr>
              <w:spacing w:before="208" w:line="360" w:lineRule="auto"/>
              <w:ind w:left="410"/>
              <w:outlineLvl w:val="9"/>
              <w:rPr>
                <w:rFonts w:ascii="楷体" w:hAnsi="楷体" w:eastAsia="楷体" w:cs="楷体"/>
                <w:sz w:val="20"/>
                <w:szCs w:val="20"/>
              </w:rPr>
            </w:pPr>
            <w:r>
              <w:rPr>
                <w:rFonts w:ascii="楷体" w:hAnsi="楷体" w:eastAsia="楷体" w:cs="楷体"/>
                <w:spacing w:val="8"/>
                <w:sz w:val="20"/>
                <w:szCs w:val="20"/>
              </w:rPr>
              <w:t>联系人</w:t>
            </w:r>
          </w:p>
        </w:tc>
      </w:tr>
      <w:tr w14:paraId="707693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392" w:type="pct"/>
            <w:vMerge w:val="continue"/>
            <w:tcBorders>
              <w:top w:val="nil"/>
              <w:left w:val="single" w:color="auto" w:sz="4" w:space="0"/>
              <w:bottom w:val="single" w:color="auto" w:sz="4" w:space="0"/>
            </w:tcBorders>
            <w:vAlign w:val="top"/>
          </w:tcPr>
          <w:p w14:paraId="14F7B23F">
            <w:pPr>
              <w:spacing w:line="360" w:lineRule="auto"/>
              <w:outlineLvl w:val="9"/>
              <w:rPr>
                <w:rFonts w:ascii="Arial"/>
                <w:sz w:val="21"/>
              </w:rPr>
            </w:pPr>
          </w:p>
        </w:tc>
        <w:tc>
          <w:tcPr>
            <w:tcW w:w="411" w:type="pct"/>
            <w:vMerge w:val="continue"/>
            <w:tcBorders>
              <w:top w:val="nil"/>
              <w:bottom w:val="single" w:color="auto" w:sz="4" w:space="0"/>
            </w:tcBorders>
            <w:vAlign w:val="top"/>
          </w:tcPr>
          <w:p w14:paraId="019C8D93">
            <w:pPr>
              <w:spacing w:line="360" w:lineRule="auto"/>
              <w:outlineLvl w:val="9"/>
              <w:rPr>
                <w:rFonts w:ascii="Arial"/>
                <w:sz w:val="21"/>
              </w:rPr>
            </w:pPr>
          </w:p>
        </w:tc>
        <w:tc>
          <w:tcPr>
            <w:tcW w:w="249" w:type="pct"/>
            <w:tcBorders>
              <w:bottom w:val="single" w:color="auto" w:sz="4" w:space="0"/>
            </w:tcBorders>
            <w:vAlign w:val="top"/>
          </w:tcPr>
          <w:p w14:paraId="1F3C4AD8">
            <w:pPr>
              <w:spacing w:before="212" w:line="360" w:lineRule="auto"/>
              <w:ind w:left="202"/>
              <w:outlineLvl w:val="9"/>
              <w:rPr>
                <w:rFonts w:ascii="楷体" w:hAnsi="楷体" w:eastAsia="楷体" w:cs="楷体"/>
                <w:sz w:val="20"/>
                <w:szCs w:val="20"/>
              </w:rPr>
            </w:pPr>
            <w:r>
              <w:rPr>
                <w:rFonts w:ascii="楷体" w:hAnsi="楷体" w:eastAsia="楷体" w:cs="楷体"/>
                <w:position w:val="1"/>
                <w:sz w:val="20"/>
                <w:szCs w:val="20"/>
              </w:rPr>
              <w:t>1</w:t>
            </w:r>
          </w:p>
        </w:tc>
        <w:tc>
          <w:tcPr>
            <w:tcW w:w="556" w:type="pct"/>
            <w:tcBorders>
              <w:bottom w:val="single" w:color="auto" w:sz="4" w:space="0"/>
            </w:tcBorders>
            <w:vAlign w:val="top"/>
          </w:tcPr>
          <w:p w14:paraId="01FA840A">
            <w:pPr>
              <w:spacing w:before="212" w:line="360" w:lineRule="auto"/>
              <w:ind w:left="127"/>
              <w:outlineLvl w:val="9"/>
              <w:rPr>
                <w:rFonts w:ascii="楷体" w:hAnsi="楷体" w:eastAsia="楷体" w:cs="楷体"/>
                <w:sz w:val="20"/>
                <w:szCs w:val="20"/>
              </w:rPr>
            </w:pPr>
            <w:r>
              <w:rPr>
                <w:rFonts w:ascii="楷体" w:hAnsi="楷体" w:eastAsia="楷体" w:cs="楷体"/>
                <w:spacing w:val="5"/>
                <w:sz w:val="20"/>
                <w:szCs w:val="20"/>
              </w:rPr>
              <w:t>长安银行</w:t>
            </w:r>
          </w:p>
        </w:tc>
        <w:tc>
          <w:tcPr>
            <w:tcW w:w="469" w:type="pct"/>
            <w:tcBorders>
              <w:bottom w:val="single" w:color="auto" w:sz="4" w:space="0"/>
            </w:tcBorders>
            <w:vAlign w:val="top"/>
          </w:tcPr>
          <w:p w14:paraId="1B1A3EC3">
            <w:pPr>
              <w:spacing w:before="212" w:line="360" w:lineRule="auto"/>
              <w:ind w:left="139"/>
              <w:outlineLvl w:val="9"/>
              <w:rPr>
                <w:rFonts w:ascii="楷体" w:hAnsi="楷体" w:eastAsia="楷体" w:cs="楷体"/>
                <w:sz w:val="20"/>
                <w:szCs w:val="20"/>
              </w:rPr>
            </w:pPr>
            <w:r>
              <w:rPr>
                <w:rFonts w:ascii="楷体" w:hAnsi="楷体" w:eastAsia="楷体" w:cs="楷体"/>
                <w:spacing w:val="7"/>
                <w:sz w:val="20"/>
                <w:szCs w:val="20"/>
              </w:rPr>
              <w:t>政采贷</w:t>
            </w:r>
          </w:p>
        </w:tc>
        <w:tc>
          <w:tcPr>
            <w:tcW w:w="554" w:type="pct"/>
            <w:tcBorders>
              <w:bottom w:val="single" w:color="auto" w:sz="4" w:space="0"/>
            </w:tcBorders>
            <w:vAlign w:val="top"/>
          </w:tcPr>
          <w:p w14:paraId="7D531C9E">
            <w:pPr>
              <w:spacing w:before="56" w:line="360" w:lineRule="auto"/>
              <w:ind w:left="206"/>
              <w:outlineLvl w:val="9"/>
              <w:rPr>
                <w:rFonts w:ascii="楷体" w:hAnsi="楷体" w:eastAsia="楷体" w:cs="楷体"/>
                <w:sz w:val="20"/>
                <w:szCs w:val="20"/>
              </w:rPr>
            </w:pPr>
            <w:r>
              <w:rPr>
                <w:rFonts w:ascii="楷体" w:hAnsi="楷体" w:eastAsia="楷体" w:cs="楷体"/>
                <w:position w:val="1"/>
                <w:sz w:val="20"/>
                <w:szCs w:val="20"/>
              </w:rPr>
              <w:t>1000万</w:t>
            </w:r>
          </w:p>
          <w:p w14:paraId="27F356D9">
            <w:pPr>
              <w:spacing w:before="69" w:line="360" w:lineRule="auto"/>
              <w:ind w:left="444"/>
              <w:outlineLvl w:val="9"/>
              <w:rPr>
                <w:rFonts w:ascii="楷体" w:hAnsi="楷体" w:eastAsia="楷体" w:cs="楷体"/>
                <w:sz w:val="20"/>
                <w:szCs w:val="20"/>
              </w:rPr>
            </w:pPr>
            <w:r>
              <w:rPr>
                <w:rFonts w:ascii="楷体" w:hAnsi="楷体" w:eastAsia="楷体" w:cs="楷体"/>
                <w:sz w:val="20"/>
                <w:szCs w:val="20"/>
              </w:rPr>
              <w:t>元</w:t>
            </w:r>
          </w:p>
        </w:tc>
        <w:tc>
          <w:tcPr>
            <w:tcW w:w="520" w:type="pct"/>
            <w:tcBorders>
              <w:bottom w:val="single" w:color="auto" w:sz="4" w:space="0"/>
            </w:tcBorders>
            <w:vAlign w:val="top"/>
          </w:tcPr>
          <w:p w14:paraId="0104F9C6">
            <w:pPr>
              <w:spacing w:before="212" w:line="360" w:lineRule="auto"/>
              <w:ind w:left="228"/>
              <w:outlineLvl w:val="9"/>
              <w:rPr>
                <w:rFonts w:ascii="楷体" w:hAnsi="楷体" w:eastAsia="楷体" w:cs="楷体"/>
                <w:sz w:val="20"/>
                <w:szCs w:val="20"/>
              </w:rPr>
            </w:pPr>
            <w:r>
              <w:rPr>
                <w:rFonts w:ascii="楷体" w:hAnsi="楷体" w:eastAsia="楷体" w:cs="楷体"/>
                <w:spacing w:val="-1"/>
                <w:sz w:val="20"/>
                <w:szCs w:val="20"/>
              </w:rPr>
              <w:t>1-3年</w:t>
            </w:r>
          </w:p>
        </w:tc>
        <w:tc>
          <w:tcPr>
            <w:tcW w:w="649" w:type="pct"/>
            <w:tcBorders>
              <w:bottom w:val="single" w:color="auto" w:sz="4" w:space="0"/>
            </w:tcBorders>
            <w:vAlign w:val="top"/>
          </w:tcPr>
          <w:p w14:paraId="61C06457">
            <w:pPr>
              <w:spacing w:before="212" w:line="360" w:lineRule="auto"/>
              <w:ind w:left="368"/>
              <w:outlineLvl w:val="9"/>
              <w:rPr>
                <w:rFonts w:ascii="楷体" w:hAnsi="楷体" w:eastAsia="楷体" w:cs="楷体"/>
                <w:sz w:val="20"/>
                <w:szCs w:val="20"/>
              </w:rPr>
            </w:pPr>
            <w:r>
              <w:rPr>
                <w:rFonts w:ascii="楷体" w:hAnsi="楷体" w:eastAsia="楷体" w:cs="楷体"/>
                <w:spacing w:val="3"/>
                <w:position w:val="1"/>
                <w:sz w:val="20"/>
                <w:szCs w:val="20"/>
              </w:rPr>
              <w:t>3.45%</w:t>
            </w:r>
          </w:p>
        </w:tc>
        <w:tc>
          <w:tcPr>
            <w:tcW w:w="515" w:type="pct"/>
            <w:tcBorders>
              <w:bottom w:val="single" w:color="auto" w:sz="4" w:space="0"/>
            </w:tcBorders>
            <w:vAlign w:val="top"/>
          </w:tcPr>
          <w:p w14:paraId="13338C37">
            <w:pPr>
              <w:spacing w:before="212" w:line="360" w:lineRule="auto"/>
              <w:ind w:left="159"/>
              <w:outlineLvl w:val="9"/>
              <w:rPr>
                <w:rFonts w:ascii="楷体" w:hAnsi="楷体" w:eastAsia="楷体" w:cs="楷体"/>
                <w:sz w:val="20"/>
                <w:szCs w:val="20"/>
              </w:rPr>
            </w:pPr>
            <w:r>
              <w:rPr>
                <w:rFonts w:ascii="楷体" w:hAnsi="楷体" w:eastAsia="楷体" w:cs="楷体"/>
                <w:spacing w:val="-2"/>
                <w:sz w:val="20"/>
                <w:szCs w:val="20"/>
              </w:rPr>
              <w:t>72小时</w:t>
            </w:r>
          </w:p>
        </w:tc>
        <w:tc>
          <w:tcPr>
            <w:tcW w:w="680" w:type="pct"/>
            <w:tcBorders>
              <w:bottom w:val="single" w:color="auto" w:sz="4" w:space="0"/>
              <w:right w:val="single" w:color="auto" w:sz="4" w:space="0"/>
            </w:tcBorders>
            <w:vAlign w:val="top"/>
          </w:tcPr>
          <w:p w14:paraId="7258B6CB">
            <w:pPr>
              <w:spacing w:before="56" w:line="360" w:lineRule="auto"/>
              <w:ind w:left="411"/>
              <w:outlineLvl w:val="9"/>
              <w:rPr>
                <w:rFonts w:ascii="楷体" w:hAnsi="楷体" w:eastAsia="楷体" w:cs="楷体"/>
                <w:sz w:val="20"/>
                <w:szCs w:val="20"/>
              </w:rPr>
            </w:pPr>
            <w:r>
              <w:rPr>
                <w:rFonts w:ascii="楷体" w:hAnsi="楷体" w:eastAsia="楷体" w:cs="楷体"/>
                <w:position w:val="1"/>
                <w:sz w:val="20"/>
                <w:szCs w:val="20"/>
              </w:rPr>
              <w:t>魏众</w:t>
            </w:r>
          </w:p>
          <w:p w14:paraId="04B9E773">
            <w:pPr>
              <w:spacing w:before="45" w:line="360" w:lineRule="auto"/>
              <w:jc w:val="right"/>
              <w:outlineLvl w:val="9"/>
              <w:rPr>
                <w:rFonts w:ascii="楷体" w:hAnsi="楷体" w:eastAsia="楷体" w:cs="楷体"/>
                <w:sz w:val="20"/>
                <w:szCs w:val="20"/>
              </w:rPr>
            </w:pPr>
            <w:r>
              <w:rPr>
                <w:rFonts w:ascii="楷体" w:hAnsi="楷体" w:eastAsia="楷体" w:cs="楷体"/>
                <w:spacing w:val="3"/>
                <w:sz w:val="20"/>
                <w:szCs w:val="20"/>
              </w:rPr>
              <w:t>15109123951</w:t>
            </w:r>
          </w:p>
        </w:tc>
      </w:tr>
      <w:tr w14:paraId="268074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392" w:type="pct"/>
            <w:vMerge w:val="continue"/>
            <w:tcBorders>
              <w:top w:val="single" w:color="auto" w:sz="4" w:space="0"/>
              <w:left w:val="single" w:color="auto" w:sz="4" w:space="0"/>
              <w:bottom w:val="nil"/>
            </w:tcBorders>
            <w:vAlign w:val="top"/>
          </w:tcPr>
          <w:p w14:paraId="7A1579DD">
            <w:pPr>
              <w:spacing w:line="360" w:lineRule="auto"/>
              <w:outlineLvl w:val="9"/>
              <w:rPr>
                <w:rFonts w:ascii="Arial"/>
                <w:sz w:val="21"/>
              </w:rPr>
            </w:pPr>
          </w:p>
        </w:tc>
        <w:tc>
          <w:tcPr>
            <w:tcW w:w="411" w:type="pct"/>
            <w:vMerge w:val="continue"/>
            <w:tcBorders>
              <w:top w:val="single" w:color="auto" w:sz="4" w:space="0"/>
              <w:bottom w:val="nil"/>
            </w:tcBorders>
            <w:vAlign w:val="top"/>
          </w:tcPr>
          <w:p w14:paraId="5A418C9E">
            <w:pPr>
              <w:spacing w:line="360" w:lineRule="auto"/>
              <w:outlineLvl w:val="9"/>
              <w:rPr>
                <w:rFonts w:ascii="Arial"/>
                <w:sz w:val="21"/>
              </w:rPr>
            </w:pPr>
          </w:p>
        </w:tc>
        <w:tc>
          <w:tcPr>
            <w:tcW w:w="249" w:type="pct"/>
            <w:tcBorders>
              <w:top w:val="single" w:color="auto" w:sz="4" w:space="0"/>
            </w:tcBorders>
            <w:vAlign w:val="top"/>
          </w:tcPr>
          <w:p w14:paraId="0139D2C6">
            <w:pPr>
              <w:spacing w:before="211" w:line="360" w:lineRule="auto"/>
              <w:ind w:left="190"/>
              <w:outlineLvl w:val="9"/>
              <w:rPr>
                <w:rFonts w:ascii="楷体" w:hAnsi="楷体" w:eastAsia="楷体" w:cs="楷体"/>
                <w:sz w:val="20"/>
                <w:szCs w:val="20"/>
              </w:rPr>
            </w:pPr>
            <w:r>
              <w:rPr>
                <w:rFonts w:ascii="楷体" w:hAnsi="楷体" w:eastAsia="楷体" w:cs="楷体"/>
                <w:position w:val="1"/>
                <w:sz w:val="20"/>
                <w:szCs w:val="20"/>
              </w:rPr>
              <w:t>2</w:t>
            </w:r>
          </w:p>
        </w:tc>
        <w:tc>
          <w:tcPr>
            <w:tcW w:w="556" w:type="pct"/>
            <w:tcBorders>
              <w:top w:val="single" w:color="auto" w:sz="4" w:space="0"/>
            </w:tcBorders>
            <w:vAlign w:val="top"/>
          </w:tcPr>
          <w:p w14:paraId="08A4DDFF">
            <w:pPr>
              <w:spacing w:before="211" w:line="360" w:lineRule="auto"/>
              <w:ind w:left="144"/>
              <w:outlineLvl w:val="9"/>
              <w:rPr>
                <w:rFonts w:ascii="楷体" w:hAnsi="楷体" w:eastAsia="楷体" w:cs="楷体"/>
                <w:sz w:val="20"/>
                <w:szCs w:val="20"/>
              </w:rPr>
            </w:pPr>
            <w:r>
              <w:rPr>
                <w:rFonts w:ascii="楷体" w:hAnsi="楷体" w:eastAsia="楷体" w:cs="楷体"/>
                <w:spacing w:val="1"/>
                <w:sz w:val="20"/>
                <w:szCs w:val="20"/>
              </w:rPr>
              <w:t>中信银行</w:t>
            </w:r>
          </w:p>
        </w:tc>
        <w:tc>
          <w:tcPr>
            <w:tcW w:w="469" w:type="pct"/>
            <w:tcBorders>
              <w:top w:val="single" w:color="auto" w:sz="4" w:space="0"/>
            </w:tcBorders>
            <w:vAlign w:val="top"/>
          </w:tcPr>
          <w:p w14:paraId="2CFE0AAA">
            <w:pPr>
              <w:spacing w:before="55" w:line="360" w:lineRule="auto"/>
              <w:ind w:left="344" w:right="158" w:hanging="179"/>
              <w:outlineLvl w:val="9"/>
              <w:rPr>
                <w:rFonts w:ascii="楷体" w:hAnsi="楷体" w:eastAsia="楷体" w:cs="楷体"/>
                <w:sz w:val="20"/>
                <w:szCs w:val="20"/>
              </w:rPr>
            </w:pPr>
            <w:r>
              <w:rPr>
                <w:rFonts w:ascii="楷体" w:hAnsi="楷体" w:eastAsia="楷体" w:cs="楷体"/>
                <w:spacing w:val="1"/>
                <w:sz w:val="20"/>
                <w:szCs w:val="20"/>
              </w:rPr>
              <w:t>政采E</w:t>
            </w:r>
            <w:r>
              <w:rPr>
                <w:rFonts w:ascii="楷体" w:hAnsi="楷体" w:eastAsia="楷体" w:cs="楷体"/>
                <w:spacing w:val="8"/>
                <w:sz w:val="20"/>
                <w:szCs w:val="20"/>
              </w:rPr>
              <w:t>贷</w:t>
            </w:r>
          </w:p>
        </w:tc>
        <w:tc>
          <w:tcPr>
            <w:tcW w:w="554" w:type="pct"/>
            <w:tcBorders>
              <w:top w:val="single" w:color="auto" w:sz="4" w:space="0"/>
            </w:tcBorders>
            <w:vAlign w:val="top"/>
          </w:tcPr>
          <w:p w14:paraId="4AC89CAA">
            <w:pPr>
              <w:spacing w:before="55" w:line="360" w:lineRule="auto"/>
              <w:ind w:left="206"/>
              <w:outlineLvl w:val="9"/>
              <w:rPr>
                <w:rFonts w:ascii="楷体" w:hAnsi="楷体" w:eastAsia="楷体" w:cs="楷体"/>
                <w:sz w:val="20"/>
                <w:szCs w:val="20"/>
              </w:rPr>
            </w:pPr>
            <w:r>
              <w:rPr>
                <w:rFonts w:ascii="楷体" w:hAnsi="楷体" w:eastAsia="楷体" w:cs="楷体"/>
                <w:position w:val="1"/>
                <w:sz w:val="20"/>
                <w:szCs w:val="20"/>
              </w:rPr>
              <w:t>1000万</w:t>
            </w:r>
          </w:p>
          <w:p w14:paraId="02D5852E">
            <w:pPr>
              <w:spacing w:before="69" w:line="360" w:lineRule="auto"/>
              <w:ind w:left="444"/>
              <w:outlineLvl w:val="9"/>
              <w:rPr>
                <w:rFonts w:ascii="楷体" w:hAnsi="楷体" w:eastAsia="楷体" w:cs="楷体"/>
                <w:sz w:val="20"/>
                <w:szCs w:val="20"/>
              </w:rPr>
            </w:pPr>
            <w:r>
              <w:rPr>
                <w:rFonts w:ascii="楷体" w:hAnsi="楷体" w:eastAsia="楷体" w:cs="楷体"/>
                <w:sz w:val="20"/>
                <w:szCs w:val="20"/>
              </w:rPr>
              <w:t>元</w:t>
            </w:r>
          </w:p>
        </w:tc>
        <w:tc>
          <w:tcPr>
            <w:tcW w:w="520" w:type="pct"/>
            <w:tcBorders>
              <w:top w:val="single" w:color="auto" w:sz="4" w:space="0"/>
            </w:tcBorders>
            <w:vAlign w:val="top"/>
          </w:tcPr>
          <w:p w14:paraId="71E97555">
            <w:pPr>
              <w:spacing w:before="211" w:line="360" w:lineRule="auto"/>
              <w:ind w:left="228"/>
              <w:outlineLvl w:val="9"/>
              <w:rPr>
                <w:rFonts w:ascii="楷体" w:hAnsi="楷体" w:eastAsia="楷体" w:cs="楷体"/>
                <w:sz w:val="20"/>
                <w:szCs w:val="20"/>
              </w:rPr>
            </w:pPr>
            <w:r>
              <w:rPr>
                <w:rFonts w:ascii="楷体" w:hAnsi="楷体" w:eastAsia="楷体" w:cs="楷体"/>
                <w:spacing w:val="-1"/>
                <w:sz w:val="20"/>
                <w:szCs w:val="20"/>
              </w:rPr>
              <w:t>1-3年</w:t>
            </w:r>
          </w:p>
        </w:tc>
        <w:tc>
          <w:tcPr>
            <w:tcW w:w="649" w:type="pct"/>
            <w:tcBorders>
              <w:top w:val="single" w:color="auto" w:sz="4" w:space="0"/>
            </w:tcBorders>
            <w:vAlign w:val="top"/>
          </w:tcPr>
          <w:p w14:paraId="02F17EC5">
            <w:pPr>
              <w:spacing w:before="211" w:line="360" w:lineRule="auto"/>
              <w:ind w:left="262"/>
              <w:outlineLvl w:val="9"/>
              <w:rPr>
                <w:rFonts w:ascii="楷体" w:hAnsi="楷体" w:eastAsia="楷体" w:cs="楷体"/>
                <w:sz w:val="20"/>
                <w:szCs w:val="20"/>
              </w:rPr>
            </w:pPr>
            <w:r>
              <w:rPr>
                <w:rFonts w:ascii="楷体" w:hAnsi="楷体" w:eastAsia="楷体" w:cs="楷体"/>
                <w:spacing w:val="4"/>
                <w:position w:val="1"/>
                <w:sz w:val="20"/>
                <w:szCs w:val="20"/>
              </w:rPr>
              <w:t>3.45%起</w:t>
            </w:r>
          </w:p>
        </w:tc>
        <w:tc>
          <w:tcPr>
            <w:tcW w:w="515" w:type="pct"/>
            <w:tcBorders>
              <w:top w:val="single" w:color="auto" w:sz="4" w:space="0"/>
            </w:tcBorders>
            <w:vAlign w:val="top"/>
          </w:tcPr>
          <w:p w14:paraId="492F8C28">
            <w:pPr>
              <w:spacing w:before="212" w:line="360" w:lineRule="auto"/>
              <w:ind w:left="157"/>
              <w:outlineLvl w:val="9"/>
              <w:rPr>
                <w:rFonts w:ascii="楷体" w:hAnsi="楷体" w:eastAsia="楷体" w:cs="楷体"/>
                <w:sz w:val="20"/>
                <w:szCs w:val="20"/>
              </w:rPr>
            </w:pPr>
            <w:r>
              <w:rPr>
                <w:rFonts w:ascii="楷体" w:hAnsi="楷体" w:eastAsia="楷体" w:cs="楷体"/>
                <w:spacing w:val="-1"/>
                <w:sz w:val="20"/>
                <w:szCs w:val="20"/>
              </w:rPr>
              <w:t>24小时</w:t>
            </w:r>
          </w:p>
        </w:tc>
        <w:tc>
          <w:tcPr>
            <w:tcW w:w="680" w:type="pct"/>
            <w:tcBorders>
              <w:top w:val="single" w:color="auto" w:sz="4" w:space="0"/>
            </w:tcBorders>
            <w:vAlign w:val="top"/>
          </w:tcPr>
          <w:p w14:paraId="3D2B6620">
            <w:pPr>
              <w:spacing w:before="55" w:line="360" w:lineRule="auto"/>
              <w:ind w:left="430"/>
              <w:outlineLvl w:val="9"/>
              <w:rPr>
                <w:rFonts w:ascii="楷体" w:hAnsi="楷体" w:eastAsia="楷体" w:cs="楷体"/>
                <w:sz w:val="20"/>
                <w:szCs w:val="20"/>
              </w:rPr>
            </w:pPr>
            <w:r>
              <w:rPr>
                <w:rFonts w:ascii="楷体" w:hAnsi="楷体" w:eastAsia="楷体" w:cs="楷体"/>
                <w:spacing w:val="-9"/>
                <w:sz w:val="20"/>
                <w:szCs w:val="20"/>
              </w:rPr>
              <w:t>高明</w:t>
            </w:r>
          </w:p>
          <w:p w14:paraId="1AB9C5EE">
            <w:pPr>
              <w:spacing w:before="56" w:line="360" w:lineRule="auto"/>
              <w:jc w:val="right"/>
              <w:outlineLvl w:val="9"/>
              <w:rPr>
                <w:rFonts w:ascii="楷体" w:hAnsi="楷体" w:eastAsia="楷体" w:cs="楷体"/>
                <w:sz w:val="20"/>
                <w:szCs w:val="20"/>
              </w:rPr>
            </w:pPr>
            <w:r>
              <w:rPr>
                <w:rFonts w:ascii="楷体" w:hAnsi="楷体" w:eastAsia="楷体" w:cs="楷体"/>
                <w:spacing w:val="3"/>
                <w:sz w:val="20"/>
                <w:szCs w:val="20"/>
              </w:rPr>
              <w:t>18992218795</w:t>
            </w:r>
          </w:p>
        </w:tc>
      </w:tr>
      <w:tr w14:paraId="5BA90B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392" w:type="pct"/>
            <w:vMerge w:val="continue"/>
            <w:tcBorders>
              <w:top w:val="nil"/>
              <w:left w:val="single" w:color="auto" w:sz="4" w:space="0"/>
              <w:bottom w:val="nil"/>
            </w:tcBorders>
            <w:vAlign w:val="top"/>
          </w:tcPr>
          <w:p w14:paraId="5B0AA052">
            <w:pPr>
              <w:spacing w:line="360" w:lineRule="auto"/>
              <w:outlineLvl w:val="9"/>
              <w:rPr>
                <w:rFonts w:ascii="Arial"/>
                <w:sz w:val="21"/>
              </w:rPr>
            </w:pPr>
          </w:p>
        </w:tc>
        <w:tc>
          <w:tcPr>
            <w:tcW w:w="411" w:type="pct"/>
            <w:vMerge w:val="continue"/>
            <w:tcBorders>
              <w:top w:val="nil"/>
              <w:bottom w:val="nil"/>
            </w:tcBorders>
            <w:vAlign w:val="top"/>
          </w:tcPr>
          <w:p w14:paraId="2601EF91">
            <w:pPr>
              <w:spacing w:line="360" w:lineRule="auto"/>
              <w:outlineLvl w:val="9"/>
              <w:rPr>
                <w:rFonts w:ascii="Arial"/>
                <w:sz w:val="21"/>
              </w:rPr>
            </w:pPr>
          </w:p>
        </w:tc>
        <w:tc>
          <w:tcPr>
            <w:tcW w:w="249" w:type="pct"/>
            <w:vAlign w:val="top"/>
          </w:tcPr>
          <w:p w14:paraId="3A4F48DA">
            <w:pPr>
              <w:spacing w:before="211" w:line="360" w:lineRule="auto"/>
              <w:ind w:left="191"/>
              <w:outlineLvl w:val="9"/>
              <w:rPr>
                <w:rFonts w:ascii="楷体" w:hAnsi="楷体" w:eastAsia="楷体" w:cs="楷体"/>
                <w:sz w:val="20"/>
                <w:szCs w:val="20"/>
              </w:rPr>
            </w:pPr>
            <w:r>
              <w:rPr>
                <w:rFonts w:ascii="楷体" w:hAnsi="楷体" w:eastAsia="楷体" w:cs="楷体"/>
                <w:position w:val="1"/>
                <w:sz w:val="20"/>
                <w:szCs w:val="20"/>
              </w:rPr>
              <w:t>3</w:t>
            </w:r>
          </w:p>
        </w:tc>
        <w:tc>
          <w:tcPr>
            <w:tcW w:w="556" w:type="pct"/>
            <w:vAlign w:val="top"/>
          </w:tcPr>
          <w:p w14:paraId="60C42E1B">
            <w:pPr>
              <w:spacing w:before="211" w:line="360" w:lineRule="auto"/>
              <w:ind w:left="121"/>
              <w:outlineLvl w:val="9"/>
              <w:rPr>
                <w:rFonts w:ascii="楷体" w:hAnsi="楷体" w:eastAsia="楷体" w:cs="楷体"/>
                <w:sz w:val="20"/>
                <w:szCs w:val="20"/>
              </w:rPr>
            </w:pPr>
            <w:r>
              <w:rPr>
                <w:rFonts w:ascii="楷体" w:hAnsi="楷体" w:eastAsia="楷体" w:cs="楷体"/>
                <w:spacing w:val="6"/>
                <w:sz w:val="20"/>
                <w:szCs w:val="20"/>
              </w:rPr>
              <w:t>光大银行</w:t>
            </w:r>
          </w:p>
        </w:tc>
        <w:tc>
          <w:tcPr>
            <w:tcW w:w="469" w:type="pct"/>
            <w:vAlign w:val="top"/>
          </w:tcPr>
          <w:p w14:paraId="49E2E84C">
            <w:pPr>
              <w:spacing w:before="211" w:line="360" w:lineRule="auto"/>
              <w:ind w:left="139"/>
              <w:outlineLvl w:val="9"/>
              <w:rPr>
                <w:rFonts w:ascii="楷体" w:hAnsi="楷体" w:eastAsia="楷体" w:cs="楷体"/>
                <w:sz w:val="20"/>
                <w:szCs w:val="20"/>
              </w:rPr>
            </w:pPr>
            <w:r>
              <w:rPr>
                <w:rFonts w:ascii="楷体" w:hAnsi="楷体" w:eastAsia="楷体" w:cs="楷体"/>
                <w:spacing w:val="7"/>
                <w:sz w:val="20"/>
                <w:szCs w:val="20"/>
              </w:rPr>
              <w:t>政采贷</w:t>
            </w:r>
          </w:p>
        </w:tc>
        <w:tc>
          <w:tcPr>
            <w:tcW w:w="554" w:type="pct"/>
            <w:vAlign w:val="top"/>
          </w:tcPr>
          <w:p w14:paraId="7CB30E10">
            <w:pPr>
              <w:spacing w:before="55" w:line="360" w:lineRule="auto"/>
              <w:ind w:left="206"/>
              <w:outlineLvl w:val="9"/>
              <w:rPr>
                <w:rFonts w:ascii="楷体" w:hAnsi="楷体" w:eastAsia="楷体" w:cs="楷体"/>
                <w:sz w:val="20"/>
                <w:szCs w:val="20"/>
              </w:rPr>
            </w:pPr>
            <w:r>
              <w:rPr>
                <w:rFonts w:ascii="楷体" w:hAnsi="楷体" w:eastAsia="楷体" w:cs="楷体"/>
                <w:position w:val="1"/>
                <w:sz w:val="20"/>
                <w:szCs w:val="20"/>
              </w:rPr>
              <w:t>1000万</w:t>
            </w:r>
          </w:p>
          <w:p w14:paraId="3A781508">
            <w:pPr>
              <w:spacing w:before="69" w:line="360" w:lineRule="auto"/>
              <w:ind w:left="444"/>
              <w:outlineLvl w:val="9"/>
              <w:rPr>
                <w:rFonts w:ascii="楷体" w:hAnsi="楷体" w:eastAsia="楷体" w:cs="楷体"/>
                <w:sz w:val="20"/>
                <w:szCs w:val="20"/>
              </w:rPr>
            </w:pPr>
            <w:r>
              <w:rPr>
                <w:rFonts w:ascii="楷体" w:hAnsi="楷体" w:eastAsia="楷体" w:cs="楷体"/>
                <w:sz w:val="20"/>
                <w:szCs w:val="20"/>
              </w:rPr>
              <w:t>元</w:t>
            </w:r>
          </w:p>
        </w:tc>
        <w:tc>
          <w:tcPr>
            <w:tcW w:w="520" w:type="pct"/>
            <w:vAlign w:val="top"/>
          </w:tcPr>
          <w:p w14:paraId="06ED4912">
            <w:pPr>
              <w:spacing w:before="211" w:line="360" w:lineRule="auto"/>
              <w:ind w:left="228"/>
              <w:outlineLvl w:val="9"/>
              <w:rPr>
                <w:rFonts w:ascii="楷体" w:hAnsi="楷体" w:eastAsia="楷体" w:cs="楷体"/>
                <w:sz w:val="20"/>
                <w:szCs w:val="20"/>
              </w:rPr>
            </w:pPr>
            <w:r>
              <w:rPr>
                <w:rFonts w:ascii="楷体" w:hAnsi="楷体" w:eastAsia="楷体" w:cs="楷体"/>
                <w:spacing w:val="-1"/>
                <w:sz w:val="20"/>
                <w:szCs w:val="20"/>
              </w:rPr>
              <w:t>1-3年</w:t>
            </w:r>
          </w:p>
        </w:tc>
        <w:tc>
          <w:tcPr>
            <w:tcW w:w="649" w:type="pct"/>
            <w:vAlign w:val="top"/>
          </w:tcPr>
          <w:p w14:paraId="7645AB5B">
            <w:pPr>
              <w:spacing w:before="211" w:line="360" w:lineRule="auto"/>
              <w:ind w:left="368"/>
              <w:outlineLvl w:val="9"/>
              <w:rPr>
                <w:rFonts w:ascii="楷体" w:hAnsi="楷体" w:eastAsia="楷体" w:cs="楷体"/>
                <w:sz w:val="20"/>
                <w:szCs w:val="20"/>
              </w:rPr>
            </w:pPr>
            <w:r>
              <w:rPr>
                <w:rFonts w:ascii="楷体" w:hAnsi="楷体" w:eastAsia="楷体" w:cs="楷体"/>
                <w:spacing w:val="3"/>
                <w:position w:val="1"/>
                <w:sz w:val="20"/>
                <w:szCs w:val="20"/>
              </w:rPr>
              <w:t>3.45%</w:t>
            </w:r>
          </w:p>
        </w:tc>
        <w:tc>
          <w:tcPr>
            <w:tcW w:w="515" w:type="pct"/>
            <w:vAlign w:val="top"/>
          </w:tcPr>
          <w:p w14:paraId="5BFB6362">
            <w:pPr>
              <w:spacing w:before="211" w:line="360" w:lineRule="auto"/>
              <w:ind w:left="159"/>
              <w:outlineLvl w:val="9"/>
              <w:rPr>
                <w:rFonts w:ascii="楷体" w:hAnsi="楷体" w:eastAsia="楷体" w:cs="楷体"/>
                <w:sz w:val="20"/>
                <w:szCs w:val="20"/>
              </w:rPr>
            </w:pPr>
            <w:r>
              <w:rPr>
                <w:rFonts w:ascii="楷体" w:hAnsi="楷体" w:eastAsia="楷体" w:cs="楷体"/>
                <w:spacing w:val="-2"/>
                <w:sz w:val="20"/>
                <w:szCs w:val="20"/>
              </w:rPr>
              <w:t>72小时</w:t>
            </w:r>
          </w:p>
        </w:tc>
        <w:tc>
          <w:tcPr>
            <w:tcW w:w="680" w:type="pct"/>
            <w:vAlign w:val="top"/>
          </w:tcPr>
          <w:p w14:paraId="65F683C0">
            <w:pPr>
              <w:spacing w:before="55" w:line="360" w:lineRule="auto"/>
              <w:ind w:left="424"/>
              <w:outlineLvl w:val="9"/>
              <w:rPr>
                <w:rFonts w:ascii="楷体" w:hAnsi="楷体" w:eastAsia="楷体" w:cs="楷体"/>
                <w:sz w:val="20"/>
                <w:szCs w:val="20"/>
              </w:rPr>
            </w:pPr>
            <w:r>
              <w:rPr>
                <w:rFonts w:ascii="楷体" w:hAnsi="楷体" w:eastAsia="楷体" w:cs="楷体"/>
                <w:spacing w:val="2"/>
                <w:sz w:val="20"/>
                <w:szCs w:val="20"/>
              </w:rPr>
              <w:t>艾思宇</w:t>
            </w:r>
          </w:p>
          <w:p w14:paraId="1B7B43FA">
            <w:pPr>
              <w:spacing w:before="58" w:line="360" w:lineRule="auto"/>
              <w:jc w:val="right"/>
              <w:outlineLvl w:val="9"/>
              <w:rPr>
                <w:rFonts w:ascii="楷体" w:hAnsi="楷体" w:eastAsia="楷体" w:cs="楷体"/>
                <w:sz w:val="20"/>
                <w:szCs w:val="20"/>
              </w:rPr>
            </w:pPr>
            <w:r>
              <w:rPr>
                <w:rFonts w:ascii="楷体" w:hAnsi="楷体" w:eastAsia="楷体" w:cs="楷体"/>
                <w:spacing w:val="3"/>
                <w:sz w:val="20"/>
                <w:szCs w:val="20"/>
              </w:rPr>
              <w:t>13509127997</w:t>
            </w:r>
          </w:p>
        </w:tc>
      </w:tr>
      <w:tr w14:paraId="5E38D0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392" w:type="pct"/>
            <w:vMerge w:val="continue"/>
            <w:tcBorders>
              <w:top w:val="nil"/>
              <w:left w:val="single" w:color="auto" w:sz="4" w:space="0"/>
              <w:bottom w:val="nil"/>
            </w:tcBorders>
            <w:vAlign w:val="top"/>
          </w:tcPr>
          <w:p w14:paraId="4F0B73BD">
            <w:pPr>
              <w:spacing w:line="360" w:lineRule="auto"/>
              <w:outlineLvl w:val="9"/>
              <w:rPr>
                <w:rFonts w:ascii="Arial"/>
                <w:sz w:val="21"/>
              </w:rPr>
            </w:pPr>
          </w:p>
        </w:tc>
        <w:tc>
          <w:tcPr>
            <w:tcW w:w="411" w:type="pct"/>
            <w:vMerge w:val="continue"/>
            <w:tcBorders>
              <w:top w:val="nil"/>
              <w:bottom w:val="nil"/>
            </w:tcBorders>
            <w:vAlign w:val="top"/>
          </w:tcPr>
          <w:p w14:paraId="678815E4">
            <w:pPr>
              <w:spacing w:line="360" w:lineRule="auto"/>
              <w:outlineLvl w:val="9"/>
              <w:rPr>
                <w:rFonts w:ascii="Arial"/>
                <w:sz w:val="21"/>
              </w:rPr>
            </w:pPr>
          </w:p>
        </w:tc>
        <w:tc>
          <w:tcPr>
            <w:tcW w:w="249" w:type="pct"/>
            <w:vAlign w:val="top"/>
          </w:tcPr>
          <w:p w14:paraId="7CD2CD55">
            <w:pPr>
              <w:spacing w:before="211" w:line="360" w:lineRule="auto"/>
              <w:ind w:left="186"/>
              <w:outlineLvl w:val="9"/>
              <w:rPr>
                <w:rFonts w:ascii="楷体" w:hAnsi="楷体" w:eastAsia="楷体" w:cs="楷体"/>
                <w:sz w:val="20"/>
                <w:szCs w:val="20"/>
              </w:rPr>
            </w:pPr>
            <w:r>
              <w:rPr>
                <w:rFonts w:ascii="楷体" w:hAnsi="楷体" w:eastAsia="楷体" w:cs="楷体"/>
                <w:spacing w:val="1"/>
                <w:position w:val="1"/>
                <w:sz w:val="20"/>
                <w:szCs w:val="20"/>
              </w:rPr>
              <w:t>4</w:t>
            </w:r>
          </w:p>
        </w:tc>
        <w:tc>
          <w:tcPr>
            <w:tcW w:w="556" w:type="pct"/>
            <w:vAlign w:val="top"/>
          </w:tcPr>
          <w:p w14:paraId="49FC95C2">
            <w:pPr>
              <w:spacing w:before="211" w:line="360" w:lineRule="auto"/>
              <w:ind w:left="126"/>
              <w:outlineLvl w:val="9"/>
              <w:rPr>
                <w:rFonts w:ascii="楷体" w:hAnsi="楷体" w:eastAsia="楷体" w:cs="楷体"/>
                <w:sz w:val="20"/>
                <w:szCs w:val="20"/>
              </w:rPr>
            </w:pPr>
            <w:r>
              <w:rPr>
                <w:rFonts w:ascii="楷体" w:hAnsi="楷体" w:eastAsia="楷体" w:cs="楷体"/>
                <w:spacing w:val="5"/>
                <w:sz w:val="20"/>
                <w:szCs w:val="20"/>
              </w:rPr>
              <w:t>交通银行</w:t>
            </w:r>
          </w:p>
        </w:tc>
        <w:tc>
          <w:tcPr>
            <w:tcW w:w="469" w:type="pct"/>
            <w:vAlign w:val="top"/>
          </w:tcPr>
          <w:p w14:paraId="696E7620">
            <w:pPr>
              <w:spacing w:before="210" w:line="360" w:lineRule="auto"/>
              <w:ind w:left="139"/>
              <w:outlineLvl w:val="9"/>
              <w:rPr>
                <w:rFonts w:ascii="楷体" w:hAnsi="楷体" w:eastAsia="楷体" w:cs="楷体"/>
                <w:sz w:val="20"/>
                <w:szCs w:val="20"/>
              </w:rPr>
            </w:pPr>
            <w:r>
              <w:rPr>
                <w:rFonts w:ascii="楷体" w:hAnsi="楷体" w:eastAsia="楷体" w:cs="楷体"/>
                <w:spacing w:val="7"/>
                <w:sz w:val="20"/>
                <w:szCs w:val="20"/>
              </w:rPr>
              <w:t>秦政贷</w:t>
            </w:r>
          </w:p>
        </w:tc>
        <w:tc>
          <w:tcPr>
            <w:tcW w:w="554" w:type="pct"/>
            <w:vAlign w:val="top"/>
          </w:tcPr>
          <w:p w14:paraId="7BE4364F">
            <w:pPr>
              <w:spacing w:before="55" w:line="360" w:lineRule="auto"/>
              <w:ind w:left="206"/>
              <w:outlineLvl w:val="9"/>
              <w:rPr>
                <w:rFonts w:ascii="楷体" w:hAnsi="楷体" w:eastAsia="楷体" w:cs="楷体"/>
                <w:sz w:val="20"/>
                <w:szCs w:val="20"/>
              </w:rPr>
            </w:pPr>
            <w:r>
              <w:rPr>
                <w:rFonts w:ascii="楷体" w:hAnsi="楷体" w:eastAsia="楷体" w:cs="楷体"/>
                <w:position w:val="1"/>
                <w:sz w:val="20"/>
                <w:szCs w:val="20"/>
              </w:rPr>
              <w:t>1000万</w:t>
            </w:r>
          </w:p>
          <w:p w14:paraId="14B84CF5">
            <w:pPr>
              <w:spacing w:before="69" w:line="360" w:lineRule="auto"/>
              <w:ind w:left="444"/>
              <w:outlineLvl w:val="9"/>
              <w:rPr>
                <w:rFonts w:ascii="楷体" w:hAnsi="楷体" w:eastAsia="楷体" w:cs="楷体"/>
                <w:sz w:val="20"/>
                <w:szCs w:val="20"/>
              </w:rPr>
            </w:pPr>
            <w:r>
              <w:rPr>
                <w:rFonts w:ascii="楷体" w:hAnsi="楷体" w:eastAsia="楷体" w:cs="楷体"/>
                <w:sz w:val="20"/>
                <w:szCs w:val="20"/>
              </w:rPr>
              <w:t>元</w:t>
            </w:r>
          </w:p>
        </w:tc>
        <w:tc>
          <w:tcPr>
            <w:tcW w:w="520" w:type="pct"/>
            <w:vAlign w:val="top"/>
          </w:tcPr>
          <w:p w14:paraId="6DCA4665">
            <w:pPr>
              <w:spacing w:before="210" w:line="360" w:lineRule="auto"/>
              <w:ind w:left="331"/>
              <w:outlineLvl w:val="9"/>
              <w:rPr>
                <w:rFonts w:ascii="楷体" w:hAnsi="楷体" w:eastAsia="楷体" w:cs="楷体"/>
                <w:sz w:val="20"/>
                <w:szCs w:val="20"/>
              </w:rPr>
            </w:pPr>
            <w:r>
              <w:rPr>
                <w:rFonts w:ascii="楷体" w:hAnsi="楷体" w:eastAsia="楷体" w:cs="楷体"/>
                <w:spacing w:val="-8"/>
                <w:sz w:val="20"/>
                <w:szCs w:val="20"/>
              </w:rPr>
              <w:t>1年</w:t>
            </w:r>
          </w:p>
        </w:tc>
        <w:tc>
          <w:tcPr>
            <w:tcW w:w="649" w:type="pct"/>
            <w:vAlign w:val="top"/>
          </w:tcPr>
          <w:p w14:paraId="70249C2A">
            <w:pPr>
              <w:spacing w:before="211" w:line="360" w:lineRule="auto"/>
              <w:ind w:left="368"/>
              <w:outlineLvl w:val="9"/>
              <w:rPr>
                <w:rFonts w:ascii="楷体" w:hAnsi="楷体" w:eastAsia="楷体" w:cs="楷体"/>
                <w:sz w:val="20"/>
                <w:szCs w:val="20"/>
              </w:rPr>
            </w:pPr>
            <w:r>
              <w:rPr>
                <w:rFonts w:ascii="楷体" w:hAnsi="楷体" w:eastAsia="楷体" w:cs="楷体"/>
                <w:spacing w:val="3"/>
                <w:position w:val="1"/>
                <w:sz w:val="20"/>
                <w:szCs w:val="20"/>
              </w:rPr>
              <w:t>3.45%</w:t>
            </w:r>
          </w:p>
        </w:tc>
        <w:tc>
          <w:tcPr>
            <w:tcW w:w="515" w:type="pct"/>
            <w:vAlign w:val="top"/>
          </w:tcPr>
          <w:p w14:paraId="2080F298">
            <w:pPr>
              <w:spacing w:before="211" w:line="360" w:lineRule="auto"/>
              <w:ind w:left="157"/>
              <w:outlineLvl w:val="9"/>
              <w:rPr>
                <w:rFonts w:ascii="楷体" w:hAnsi="楷体" w:eastAsia="楷体" w:cs="楷体"/>
                <w:sz w:val="20"/>
                <w:szCs w:val="20"/>
              </w:rPr>
            </w:pPr>
            <w:r>
              <w:rPr>
                <w:rFonts w:ascii="楷体" w:hAnsi="楷体" w:eastAsia="楷体" w:cs="楷体"/>
                <w:spacing w:val="-1"/>
                <w:sz w:val="20"/>
                <w:szCs w:val="20"/>
              </w:rPr>
              <w:t>24小时</w:t>
            </w:r>
          </w:p>
        </w:tc>
        <w:tc>
          <w:tcPr>
            <w:tcW w:w="680" w:type="pct"/>
            <w:vAlign w:val="top"/>
          </w:tcPr>
          <w:p w14:paraId="36D828D7">
            <w:pPr>
              <w:spacing w:before="55" w:line="360" w:lineRule="auto"/>
              <w:ind w:left="425"/>
              <w:outlineLvl w:val="9"/>
              <w:rPr>
                <w:rFonts w:ascii="楷体" w:hAnsi="楷体" w:eastAsia="楷体" w:cs="楷体"/>
                <w:sz w:val="20"/>
                <w:szCs w:val="20"/>
              </w:rPr>
            </w:pPr>
            <w:r>
              <w:rPr>
                <w:rFonts w:ascii="楷体" w:hAnsi="楷体" w:eastAsia="楷体" w:cs="楷体"/>
                <w:spacing w:val="-6"/>
                <w:sz w:val="20"/>
                <w:szCs w:val="20"/>
              </w:rPr>
              <w:t>张飞</w:t>
            </w:r>
          </w:p>
          <w:p w14:paraId="4AB8EC52">
            <w:pPr>
              <w:spacing w:before="51" w:line="360" w:lineRule="auto"/>
              <w:jc w:val="right"/>
              <w:outlineLvl w:val="9"/>
              <w:rPr>
                <w:rFonts w:ascii="楷体" w:hAnsi="楷体" w:eastAsia="楷体" w:cs="楷体"/>
                <w:sz w:val="20"/>
                <w:szCs w:val="20"/>
              </w:rPr>
            </w:pPr>
            <w:r>
              <w:rPr>
                <w:rFonts w:ascii="楷体" w:hAnsi="楷体" w:eastAsia="楷体" w:cs="楷体"/>
                <w:spacing w:val="3"/>
                <w:sz w:val="20"/>
                <w:szCs w:val="20"/>
              </w:rPr>
              <w:t>15291296886</w:t>
            </w:r>
          </w:p>
        </w:tc>
      </w:tr>
      <w:tr w14:paraId="1289DA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392" w:type="pct"/>
            <w:vMerge w:val="continue"/>
            <w:tcBorders>
              <w:top w:val="nil"/>
              <w:left w:val="single" w:color="auto" w:sz="4" w:space="0"/>
              <w:bottom w:val="nil"/>
            </w:tcBorders>
            <w:vAlign w:val="top"/>
          </w:tcPr>
          <w:p w14:paraId="0B56131E">
            <w:pPr>
              <w:spacing w:line="360" w:lineRule="auto"/>
              <w:outlineLvl w:val="9"/>
              <w:rPr>
                <w:rFonts w:ascii="Arial"/>
                <w:sz w:val="21"/>
              </w:rPr>
            </w:pPr>
          </w:p>
        </w:tc>
        <w:tc>
          <w:tcPr>
            <w:tcW w:w="411" w:type="pct"/>
            <w:vMerge w:val="continue"/>
            <w:tcBorders>
              <w:top w:val="nil"/>
              <w:bottom w:val="nil"/>
            </w:tcBorders>
            <w:vAlign w:val="top"/>
          </w:tcPr>
          <w:p w14:paraId="1D5C23A7">
            <w:pPr>
              <w:spacing w:line="360" w:lineRule="auto"/>
              <w:outlineLvl w:val="9"/>
              <w:rPr>
                <w:rFonts w:ascii="Arial"/>
                <w:sz w:val="21"/>
              </w:rPr>
            </w:pPr>
          </w:p>
        </w:tc>
        <w:tc>
          <w:tcPr>
            <w:tcW w:w="249" w:type="pct"/>
            <w:vAlign w:val="top"/>
          </w:tcPr>
          <w:p w14:paraId="2415A26C">
            <w:pPr>
              <w:spacing w:before="210" w:line="360" w:lineRule="auto"/>
              <w:ind w:left="187"/>
              <w:outlineLvl w:val="9"/>
              <w:rPr>
                <w:rFonts w:ascii="楷体" w:hAnsi="楷体" w:eastAsia="楷体" w:cs="楷体"/>
                <w:sz w:val="20"/>
                <w:szCs w:val="20"/>
              </w:rPr>
            </w:pPr>
            <w:r>
              <w:rPr>
                <w:rFonts w:ascii="楷体" w:hAnsi="楷体" w:eastAsia="楷体" w:cs="楷体"/>
                <w:spacing w:val="1"/>
                <w:position w:val="1"/>
                <w:sz w:val="20"/>
                <w:szCs w:val="20"/>
              </w:rPr>
              <w:t>5</w:t>
            </w:r>
          </w:p>
        </w:tc>
        <w:tc>
          <w:tcPr>
            <w:tcW w:w="556" w:type="pct"/>
            <w:vAlign w:val="top"/>
          </w:tcPr>
          <w:p w14:paraId="7D8A510D">
            <w:pPr>
              <w:spacing w:before="210" w:line="360" w:lineRule="auto"/>
              <w:ind w:left="144"/>
              <w:outlineLvl w:val="9"/>
              <w:rPr>
                <w:rFonts w:ascii="楷体" w:hAnsi="楷体" w:eastAsia="楷体" w:cs="楷体"/>
                <w:sz w:val="20"/>
                <w:szCs w:val="20"/>
              </w:rPr>
            </w:pPr>
            <w:r>
              <w:rPr>
                <w:rFonts w:ascii="楷体" w:hAnsi="楷体" w:eastAsia="楷体" w:cs="楷体"/>
                <w:spacing w:val="1"/>
                <w:sz w:val="20"/>
                <w:szCs w:val="20"/>
              </w:rPr>
              <w:t>中国银行</w:t>
            </w:r>
          </w:p>
        </w:tc>
        <w:tc>
          <w:tcPr>
            <w:tcW w:w="469" w:type="pct"/>
            <w:vAlign w:val="top"/>
          </w:tcPr>
          <w:p w14:paraId="568D4534">
            <w:pPr>
              <w:spacing w:before="210" w:line="360" w:lineRule="auto"/>
              <w:ind w:left="139"/>
              <w:outlineLvl w:val="9"/>
              <w:rPr>
                <w:rFonts w:ascii="楷体" w:hAnsi="楷体" w:eastAsia="楷体" w:cs="楷体"/>
                <w:sz w:val="20"/>
                <w:szCs w:val="20"/>
              </w:rPr>
            </w:pPr>
            <w:r>
              <w:rPr>
                <w:rFonts w:ascii="楷体" w:hAnsi="楷体" w:eastAsia="楷体" w:cs="楷体"/>
                <w:spacing w:val="7"/>
                <w:sz w:val="20"/>
                <w:szCs w:val="20"/>
              </w:rPr>
              <w:t>政采贷</w:t>
            </w:r>
          </w:p>
        </w:tc>
        <w:tc>
          <w:tcPr>
            <w:tcW w:w="554" w:type="pct"/>
            <w:vAlign w:val="top"/>
          </w:tcPr>
          <w:p w14:paraId="0F60CB0F">
            <w:pPr>
              <w:spacing w:before="54" w:line="360" w:lineRule="auto"/>
              <w:ind w:left="206"/>
              <w:outlineLvl w:val="9"/>
              <w:rPr>
                <w:rFonts w:ascii="楷体" w:hAnsi="楷体" w:eastAsia="楷体" w:cs="楷体"/>
                <w:sz w:val="20"/>
                <w:szCs w:val="20"/>
              </w:rPr>
            </w:pPr>
            <w:r>
              <w:rPr>
                <w:rFonts w:ascii="楷体" w:hAnsi="楷体" w:eastAsia="楷体" w:cs="楷体"/>
                <w:position w:val="1"/>
                <w:sz w:val="20"/>
                <w:szCs w:val="20"/>
              </w:rPr>
              <w:t>1000万</w:t>
            </w:r>
          </w:p>
          <w:p w14:paraId="371E15E1">
            <w:pPr>
              <w:spacing w:before="69" w:line="360" w:lineRule="auto"/>
              <w:ind w:left="444"/>
              <w:outlineLvl w:val="9"/>
              <w:rPr>
                <w:rFonts w:ascii="楷体" w:hAnsi="楷体" w:eastAsia="楷体" w:cs="楷体"/>
                <w:sz w:val="20"/>
                <w:szCs w:val="20"/>
              </w:rPr>
            </w:pPr>
            <w:r>
              <w:rPr>
                <w:rFonts w:ascii="楷体" w:hAnsi="楷体" w:eastAsia="楷体" w:cs="楷体"/>
                <w:sz w:val="20"/>
                <w:szCs w:val="20"/>
              </w:rPr>
              <w:t>元</w:t>
            </w:r>
          </w:p>
        </w:tc>
        <w:tc>
          <w:tcPr>
            <w:tcW w:w="520" w:type="pct"/>
            <w:vAlign w:val="top"/>
          </w:tcPr>
          <w:p w14:paraId="61C20AD4">
            <w:pPr>
              <w:spacing w:before="210" w:line="360" w:lineRule="auto"/>
              <w:ind w:left="228"/>
              <w:outlineLvl w:val="9"/>
              <w:rPr>
                <w:rFonts w:ascii="楷体" w:hAnsi="楷体" w:eastAsia="楷体" w:cs="楷体"/>
                <w:sz w:val="20"/>
                <w:szCs w:val="20"/>
              </w:rPr>
            </w:pPr>
            <w:r>
              <w:rPr>
                <w:rFonts w:ascii="楷体" w:hAnsi="楷体" w:eastAsia="楷体" w:cs="楷体"/>
                <w:spacing w:val="-1"/>
                <w:sz w:val="20"/>
                <w:szCs w:val="20"/>
              </w:rPr>
              <w:t>1-3年</w:t>
            </w:r>
          </w:p>
        </w:tc>
        <w:tc>
          <w:tcPr>
            <w:tcW w:w="649" w:type="pct"/>
            <w:vAlign w:val="top"/>
          </w:tcPr>
          <w:p w14:paraId="1AAE2E51">
            <w:pPr>
              <w:spacing w:before="210" w:line="360" w:lineRule="auto"/>
              <w:ind w:left="368"/>
              <w:outlineLvl w:val="9"/>
              <w:rPr>
                <w:rFonts w:ascii="楷体" w:hAnsi="楷体" w:eastAsia="楷体" w:cs="楷体"/>
                <w:sz w:val="20"/>
                <w:szCs w:val="20"/>
              </w:rPr>
            </w:pPr>
            <w:r>
              <w:rPr>
                <w:rFonts w:ascii="楷体" w:hAnsi="楷体" w:eastAsia="楷体" w:cs="楷体"/>
                <w:spacing w:val="3"/>
                <w:position w:val="1"/>
                <w:sz w:val="20"/>
                <w:szCs w:val="20"/>
              </w:rPr>
              <w:t>3.45%</w:t>
            </w:r>
          </w:p>
        </w:tc>
        <w:tc>
          <w:tcPr>
            <w:tcW w:w="515" w:type="pct"/>
            <w:vAlign w:val="top"/>
          </w:tcPr>
          <w:p w14:paraId="2D30620C">
            <w:pPr>
              <w:spacing w:before="210" w:line="360" w:lineRule="auto"/>
              <w:ind w:left="159"/>
              <w:outlineLvl w:val="9"/>
              <w:rPr>
                <w:rFonts w:ascii="楷体" w:hAnsi="楷体" w:eastAsia="楷体" w:cs="楷体"/>
                <w:sz w:val="20"/>
                <w:szCs w:val="20"/>
              </w:rPr>
            </w:pPr>
            <w:r>
              <w:rPr>
                <w:rFonts w:ascii="楷体" w:hAnsi="楷体" w:eastAsia="楷体" w:cs="楷体"/>
                <w:spacing w:val="-2"/>
                <w:sz w:val="20"/>
                <w:szCs w:val="20"/>
              </w:rPr>
              <w:t>72小时</w:t>
            </w:r>
          </w:p>
        </w:tc>
        <w:tc>
          <w:tcPr>
            <w:tcW w:w="680" w:type="pct"/>
            <w:vAlign w:val="top"/>
          </w:tcPr>
          <w:p w14:paraId="416EDB0C">
            <w:pPr>
              <w:spacing w:before="55" w:line="360" w:lineRule="auto"/>
              <w:ind w:left="418"/>
              <w:outlineLvl w:val="9"/>
              <w:rPr>
                <w:rFonts w:ascii="楷体" w:hAnsi="楷体" w:eastAsia="楷体" w:cs="楷体"/>
                <w:sz w:val="20"/>
                <w:szCs w:val="20"/>
              </w:rPr>
            </w:pPr>
            <w:r>
              <w:rPr>
                <w:rFonts w:ascii="楷体" w:hAnsi="楷体" w:eastAsia="楷体" w:cs="楷体"/>
                <w:spacing w:val="-3"/>
                <w:sz w:val="20"/>
                <w:szCs w:val="20"/>
              </w:rPr>
              <w:t>李浩</w:t>
            </w:r>
          </w:p>
          <w:p w14:paraId="241C2CFC">
            <w:pPr>
              <w:spacing w:before="54" w:line="360" w:lineRule="auto"/>
              <w:jc w:val="right"/>
              <w:outlineLvl w:val="9"/>
              <w:rPr>
                <w:rFonts w:ascii="楷体" w:hAnsi="楷体" w:eastAsia="楷体" w:cs="楷体"/>
                <w:sz w:val="20"/>
                <w:szCs w:val="20"/>
              </w:rPr>
            </w:pPr>
            <w:r>
              <w:rPr>
                <w:rFonts w:ascii="楷体" w:hAnsi="楷体" w:eastAsia="楷体" w:cs="楷体"/>
                <w:spacing w:val="3"/>
                <w:sz w:val="20"/>
                <w:szCs w:val="20"/>
              </w:rPr>
              <w:t>18691230007</w:t>
            </w:r>
          </w:p>
        </w:tc>
      </w:tr>
      <w:tr w14:paraId="264499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392" w:type="pct"/>
            <w:vMerge w:val="continue"/>
            <w:tcBorders>
              <w:top w:val="nil"/>
              <w:left w:val="single" w:color="auto" w:sz="4" w:space="0"/>
              <w:bottom w:val="nil"/>
            </w:tcBorders>
            <w:vAlign w:val="top"/>
          </w:tcPr>
          <w:p w14:paraId="11C2CA8E">
            <w:pPr>
              <w:spacing w:line="360" w:lineRule="auto"/>
              <w:outlineLvl w:val="9"/>
              <w:rPr>
                <w:rFonts w:ascii="Arial"/>
                <w:sz w:val="21"/>
              </w:rPr>
            </w:pPr>
          </w:p>
        </w:tc>
        <w:tc>
          <w:tcPr>
            <w:tcW w:w="411" w:type="pct"/>
            <w:vMerge w:val="continue"/>
            <w:tcBorders>
              <w:top w:val="nil"/>
              <w:bottom w:val="nil"/>
            </w:tcBorders>
            <w:vAlign w:val="top"/>
          </w:tcPr>
          <w:p w14:paraId="79B05B4E">
            <w:pPr>
              <w:spacing w:line="360" w:lineRule="auto"/>
              <w:outlineLvl w:val="9"/>
              <w:rPr>
                <w:rFonts w:ascii="Arial"/>
                <w:sz w:val="21"/>
              </w:rPr>
            </w:pPr>
          </w:p>
        </w:tc>
        <w:tc>
          <w:tcPr>
            <w:tcW w:w="249" w:type="pct"/>
            <w:vAlign w:val="top"/>
          </w:tcPr>
          <w:p w14:paraId="781EA234">
            <w:pPr>
              <w:spacing w:before="210" w:line="360" w:lineRule="auto"/>
              <w:ind w:left="191"/>
              <w:outlineLvl w:val="9"/>
              <w:rPr>
                <w:rFonts w:ascii="楷体" w:hAnsi="楷体" w:eastAsia="楷体" w:cs="楷体"/>
                <w:sz w:val="20"/>
                <w:szCs w:val="20"/>
              </w:rPr>
            </w:pPr>
            <w:r>
              <w:rPr>
                <w:rFonts w:ascii="楷体" w:hAnsi="楷体" w:eastAsia="楷体" w:cs="楷体"/>
                <w:position w:val="1"/>
                <w:sz w:val="20"/>
                <w:szCs w:val="20"/>
              </w:rPr>
              <w:t>6</w:t>
            </w:r>
          </w:p>
        </w:tc>
        <w:tc>
          <w:tcPr>
            <w:tcW w:w="556" w:type="pct"/>
            <w:vAlign w:val="top"/>
          </w:tcPr>
          <w:p w14:paraId="17F99283">
            <w:pPr>
              <w:spacing w:before="210" w:line="360" w:lineRule="auto"/>
              <w:ind w:left="122"/>
              <w:outlineLvl w:val="9"/>
              <w:rPr>
                <w:rFonts w:ascii="楷体" w:hAnsi="楷体" w:eastAsia="楷体" w:cs="楷体"/>
                <w:sz w:val="20"/>
                <w:szCs w:val="20"/>
              </w:rPr>
            </w:pPr>
            <w:r>
              <w:rPr>
                <w:rFonts w:ascii="楷体" w:hAnsi="楷体" w:eastAsia="楷体" w:cs="楷体"/>
                <w:spacing w:val="6"/>
                <w:sz w:val="20"/>
                <w:szCs w:val="20"/>
              </w:rPr>
              <w:t>招商银行</w:t>
            </w:r>
          </w:p>
        </w:tc>
        <w:tc>
          <w:tcPr>
            <w:tcW w:w="469" w:type="pct"/>
            <w:vAlign w:val="top"/>
          </w:tcPr>
          <w:p w14:paraId="064E4985">
            <w:pPr>
              <w:spacing w:before="210" w:line="360" w:lineRule="auto"/>
              <w:ind w:left="139"/>
              <w:outlineLvl w:val="9"/>
              <w:rPr>
                <w:rFonts w:ascii="楷体" w:hAnsi="楷体" w:eastAsia="楷体" w:cs="楷体"/>
                <w:sz w:val="20"/>
                <w:szCs w:val="20"/>
              </w:rPr>
            </w:pPr>
            <w:r>
              <w:rPr>
                <w:rFonts w:ascii="楷体" w:hAnsi="楷体" w:eastAsia="楷体" w:cs="楷体"/>
                <w:spacing w:val="7"/>
                <w:sz w:val="20"/>
                <w:szCs w:val="20"/>
              </w:rPr>
              <w:t>政采贷</w:t>
            </w:r>
          </w:p>
        </w:tc>
        <w:tc>
          <w:tcPr>
            <w:tcW w:w="554" w:type="pct"/>
            <w:vAlign w:val="top"/>
          </w:tcPr>
          <w:p w14:paraId="1A167C65">
            <w:pPr>
              <w:spacing w:before="54" w:line="360" w:lineRule="auto"/>
              <w:ind w:left="195"/>
              <w:outlineLvl w:val="9"/>
              <w:rPr>
                <w:rFonts w:ascii="楷体" w:hAnsi="楷体" w:eastAsia="楷体" w:cs="楷体"/>
                <w:sz w:val="20"/>
                <w:szCs w:val="20"/>
              </w:rPr>
            </w:pPr>
            <w:r>
              <w:rPr>
                <w:rFonts w:ascii="楷体" w:hAnsi="楷体" w:eastAsia="楷体" w:cs="楷体"/>
                <w:spacing w:val="2"/>
                <w:position w:val="1"/>
                <w:sz w:val="20"/>
                <w:szCs w:val="20"/>
              </w:rPr>
              <w:t>3000万</w:t>
            </w:r>
          </w:p>
          <w:p w14:paraId="45E70708">
            <w:pPr>
              <w:spacing w:before="69" w:line="360" w:lineRule="auto"/>
              <w:ind w:left="444"/>
              <w:outlineLvl w:val="9"/>
              <w:rPr>
                <w:rFonts w:ascii="楷体" w:hAnsi="楷体" w:eastAsia="楷体" w:cs="楷体"/>
                <w:sz w:val="20"/>
                <w:szCs w:val="20"/>
              </w:rPr>
            </w:pPr>
            <w:r>
              <w:rPr>
                <w:rFonts w:ascii="楷体" w:hAnsi="楷体" w:eastAsia="楷体" w:cs="楷体"/>
                <w:sz w:val="20"/>
                <w:szCs w:val="20"/>
              </w:rPr>
              <w:t>元</w:t>
            </w:r>
          </w:p>
        </w:tc>
        <w:tc>
          <w:tcPr>
            <w:tcW w:w="520" w:type="pct"/>
            <w:vAlign w:val="top"/>
          </w:tcPr>
          <w:p w14:paraId="16F1DD54">
            <w:pPr>
              <w:spacing w:before="210" w:line="360" w:lineRule="auto"/>
              <w:ind w:left="228"/>
              <w:outlineLvl w:val="9"/>
              <w:rPr>
                <w:rFonts w:ascii="楷体" w:hAnsi="楷体" w:eastAsia="楷体" w:cs="楷体"/>
                <w:sz w:val="20"/>
                <w:szCs w:val="20"/>
              </w:rPr>
            </w:pPr>
            <w:r>
              <w:rPr>
                <w:rFonts w:ascii="楷体" w:hAnsi="楷体" w:eastAsia="楷体" w:cs="楷体"/>
                <w:spacing w:val="-1"/>
                <w:sz w:val="20"/>
                <w:szCs w:val="20"/>
              </w:rPr>
              <w:t>1-3年</w:t>
            </w:r>
          </w:p>
        </w:tc>
        <w:tc>
          <w:tcPr>
            <w:tcW w:w="649" w:type="pct"/>
            <w:vAlign w:val="top"/>
          </w:tcPr>
          <w:p w14:paraId="094FFD70">
            <w:pPr>
              <w:spacing w:before="210" w:line="360" w:lineRule="auto"/>
              <w:ind w:left="262"/>
              <w:outlineLvl w:val="9"/>
              <w:rPr>
                <w:rFonts w:ascii="楷体" w:hAnsi="楷体" w:eastAsia="楷体" w:cs="楷体"/>
                <w:sz w:val="20"/>
                <w:szCs w:val="20"/>
              </w:rPr>
            </w:pPr>
            <w:r>
              <w:rPr>
                <w:rFonts w:ascii="楷体" w:hAnsi="楷体" w:eastAsia="楷体" w:cs="楷体"/>
                <w:spacing w:val="4"/>
                <w:position w:val="1"/>
                <w:sz w:val="20"/>
                <w:szCs w:val="20"/>
              </w:rPr>
              <w:t>3.45%起</w:t>
            </w:r>
          </w:p>
        </w:tc>
        <w:tc>
          <w:tcPr>
            <w:tcW w:w="515" w:type="pct"/>
            <w:vAlign w:val="top"/>
          </w:tcPr>
          <w:p w14:paraId="748CF508">
            <w:pPr>
              <w:spacing w:before="210" w:line="360" w:lineRule="auto"/>
              <w:ind w:left="157"/>
              <w:outlineLvl w:val="9"/>
              <w:rPr>
                <w:rFonts w:ascii="楷体" w:hAnsi="楷体" w:eastAsia="楷体" w:cs="楷体"/>
                <w:sz w:val="20"/>
                <w:szCs w:val="20"/>
              </w:rPr>
            </w:pPr>
            <w:r>
              <w:rPr>
                <w:rFonts w:ascii="楷体" w:hAnsi="楷体" w:eastAsia="楷体" w:cs="楷体"/>
                <w:spacing w:val="-1"/>
                <w:sz w:val="20"/>
                <w:szCs w:val="20"/>
              </w:rPr>
              <w:t>24小时</w:t>
            </w:r>
          </w:p>
        </w:tc>
        <w:tc>
          <w:tcPr>
            <w:tcW w:w="680" w:type="pct"/>
            <w:vAlign w:val="top"/>
          </w:tcPr>
          <w:p w14:paraId="5CC7D9DF">
            <w:pPr>
              <w:spacing w:before="54" w:line="360" w:lineRule="auto"/>
              <w:ind w:left="422"/>
              <w:outlineLvl w:val="9"/>
              <w:rPr>
                <w:rFonts w:ascii="楷体" w:hAnsi="楷体" w:eastAsia="楷体" w:cs="楷体"/>
                <w:sz w:val="20"/>
                <w:szCs w:val="20"/>
              </w:rPr>
            </w:pPr>
            <w:r>
              <w:rPr>
                <w:rFonts w:ascii="楷体" w:hAnsi="楷体" w:eastAsia="楷体" w:cs="楷体"/>
                <w:spacing w:val="-3"/>
                <w:sz w:val="20"/>
                <w:szCs w:val="20"/>
              </w:rPr>
              <w:t>马烨</w:t>
            </w:r>
          </w:p>
          <w:p w14:paraId="59D0AE67">
            <w:pPr>
              <w:spacing w:before="60" w:line="360" w:lineRule="auto"/>
              <w:jc w:val="right"/>
              <w:outlineLvl w:val="9"/>
              <w:rPr>
                <w:rFonts w:ascii="楷体" w:hAnsi="楷体" w:eastAsia="楷体" w:cs="楷体"/>
                <w:sz w:val="20"/>
                <w:szCs w:val="20"/>
              </w:rPr>
            </w:pPr>
            <w:r>
              <w:rPr>
                <w:rFonts w:ascii="楷体" w:hAnsi="楷体" w:eastAsia="楷体" w:cs="楷体"/>
                <w:spacing w:val="3"/>
                <w:sz w:val="20"/>
                <w:szCs w:val="20"/>
              </w:rPr>
              <w:t>15596100007</w:t>
            </w:r>
          </w:p>
        </w:tc>
      </w:tr>
      <w:tr w14:paraId="123E38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392" w:type="pct"/>
            <w:vMerge w:val="continue"/>
            <w:tcBorders>
              <w:top w:val="nil"/>
              <w:left w:val="single" w:color="auto" w:sz="4" w:space="0"/>
              <w:bottom w:val="nil"/>
            </w:tcBorders>
            <w:vAlign w:val="top"/>
          </w:tcPr>
          <w:p w14:paraId="103B11F4">
            <w:pPr>
              <w:spacing w:line="360" w:lineRule="auto"/>
              <w:outlineLvl w:val="9"/>
              <w:rPr>
                <w:rFonts w:ascii="Arial"/>
                <w:sz w:val="21"/>
              </w:rPr>
            </w:pPr>
          </w:p>
        </w:tc>
        <w:tc>
          <w:tcPr>
            <w:tcW w:w="411" w:type="pct"/>
            <w:vMerge w:val="continue"/>
            <w:tcBorders>
              <w:top w:val="nil"/>
              <w:bottom w:val="nil"/>
            </w:tcBorders>
            <w:vAlign w:val="top"/>
          </w:tcPr>
          <w:p w14:paraId="1A87BE8A">
            <w:pPr>
              <w:spacing w:line="360" w:lineRule="auto"/>
              <w:outlineLvl w:val="9"/>
              <w:rPr>
                <w:rFonts w:ascii="Arial"/>
                <w:sz w:val="21"/>
              </w:rPr>
            </w:pPr>
          </w:p>
        </w:tc>
        <w:tc>
          <w:tcPr>
            <w:tcW w:w="249" w:type="pct"/>
            <w:vAlign w:val="top"/>
          </w:tcPr>
          <w:p w14:paraId="454668E2">
            <w:pPr>
              <w:spacing w:before="213" w:line="360" w:lineRule="auto"/>
              <w:ind w:left="192"/>
              <w:outlineLvl w:val="9"/>
              <w:rPr>
                <w:rFonts w:ascii="楷体" w:hAnsi="楷体" w:eastAsia="楷体" w:cs="楷体"/>
                <w:sz w:val="20"/>
                <w:szCs w:val="20"/>
              </w:rPr>
            </w:pPr>
            <w:r>
              <w:rPr>
                <w:rFonts w:ascii="楷体" w:hAnsi="楷体" w:eastAsia="楷体" w:cs="楷体"/>
                <w:position w:val="1"/>
                <w:sz w:val="20"/>
                <w:szCs w:val="20"/>
              </w:rPr>
              <w:t>7</w:t>
            </w:r>
          </w:p>
        </w:tc>
        <w:tc>
          <w:tcPr>
            <w:tcW w:w="556" w:type="pct"/>
            <w:vAlign w:val="top"/>
          </w:tcPr>
          <w:p w14:paraId="07B7DFAB">
            <w:pPr>
              <w:spacing w:before="213" w:line="360" w:lineRule="auto"/>
              <w:ind w:left="127"/>
              <w:outlineLvl w:val="9"/>
              <w:rPr>
                <w:rFonts w:ascii="楷体" w:hAnsi="楷体" w:eastAsia="楷体" w:cs="楷体"/>
                <w:sz w:val="20"/>
                <w:szCs w:val="20"/>
              </w:rPr>
            </w:pPr>
            <w:r>
              <w:rPr>
                <w:rFonts w:ascii="楷体" w:hAnsi="楷体" w:eastAsia="楷体" w:cs="楷体"/>
                <w:spacing w:val="5"/>
                <w:sz w:val="20"/>
                <w:szCs w:val="20"/>
              </w:rPr>
              <w:t>浦发银行</w:t>
            </w:r>
          </w:p>
        </w:tc>
        <w:tc>
          <w:tcPr>
            <w:tcW w:w="469" w:type="pct"/>
            <w:vAlign w:val="top"/>
          </w:tcPr>
          <w:p w14:paraId="290CCFBF">
            <w:pPr>
              <w:spacing w:before="57" w:line="360" w:lineRule="auto"/>
              <w:ind w:left="344" w:right="158" w:hanging="179"/>
              <w:outlineLvl w:val="9"/>
              <w:rPr>
                <w:rFonts w:ascii="楷体" w:hAnsi="楷体" w:eastAsia="楷体" w:cs="楷体"/>
                <w:sz w:val="20"/>
                <w:szCs w:val="20"/>
              </w:rPr>
            </w:pPr>
            <w:r>
              <w:rPr>
                <w:rFonts w:ascii="楷体" w:hAnsi="楷体" w:eastAsia="楷体" w:cs="楷体"/>
                <w:spacing w:val="1"/>
                <w:sz w:val="20"/>
                <w:szCs w:val="20"/>
              </w:rPr>
              <w:t>政采E</w:t>
            </w:r>
            <w:r>
              <w:rPr>
                <w:rFonts w:ascii="楷体" w:hAnsi="楷体" w:eastAsia="楷体" w:cs="楷体"/>
                <w:spacing w:val="8"/>
                <w:sz w:val="20"/>
                <w:szCs w:val="20"/>
              </w:rPr>
              <w:t>贷</w:t>
            </w:r>
          </w:p>
        </w:tc>
        <w:tc>
          <w:tcPr>
            <w:tcW w:w="554" w:type="pct"/>
            <w:vAlign w:val="top"/>
          </w:tcPr>
          <w:p w14:paraId="5D4DF0CA">
            <w:pPr>
              <w:spacing w:before="57" w:line="360" w:lineRule="auto"/>
              <w:ind w:left="206"/>
              <w:outlineLvl w:val="9"/>
              <w:rPr>
                <w:rFonts w:ascii="楷体" w:hAnsi="楷体" w:eastAsia="楷体" w:cs="楷体"/>
                <w:sz w:val="20"/>
                <w:szCs w:val="20"/>
              </w:rPr>
            </w:pPr>
            <w:r>
              <w:rPr>
                <w:rFonts w:ascii="楷体" w:hAnsi="楷体" w:eastAsia="楷体" w:cs="楷体"/>
                <w:position w:val="1"/>
                <w:sz w:val="20"/>
                <w:szCs w:val="20"/>
              </w:rPr>
              <w:t>1000万</w:t>
            </w:r>
          </w:p>
          <w:p w14:paraId="66B2E9FB">
            <w:pPr>
              <w:spacing w:before="69" w:line="360" w:lineRule="auto"/>
              <w:ind w:left="444"/>
              <w:outlineLvl w:val="9"/>
              <w:rPr>
                <w:rFonts w:ascii="楷体" w:hAnsi="楷体" w:eastAsia="楷体" w:cs="楷体"/>
                <w:sz w:val="20"/>
                <w:szCs w:val="20"/>
              </w:rPr>
            </w:pPr>
            <w:r>
              <w:rPr>
                <w:rFonts w:ascii="楷体" w:hAnsi="楷体" w:eastAsia="楷体" w:cs="楷体"/>
                <w:sz w:val="20"/>
                <w:szCs w:val="20"/>
              </w:rPr>
              <w:t>元</w:t>
            </w:r>
          </w:p>
        </w:tc>
        <w:tc>
          <w:tcPr>
            <w:tcW w:w="520" w:type="pct"/>
            <w:vAlign w:val="top"/>
          </w:tcPr>
          <w:p w14:paraId="4A40B130">
            <w:pPr>
              <w:spacing w:before="213" w:line="360" w:lineRule="auto"/>
              <w:ind w:left="331"/>
              <w:outlineLvl w:val="9"/>
              <w:rPr>
                <w:rFonts w:ascii="楷体" w:hAnsi="楷体" w:eastAsia="楷体" w:cs="楷体"/>
                <w:sz w:val="20"/>
                <w:szCs w:val="20"/>
              </w:rPr>
            </w:pPr>
            <w:r>
              <w:rPr>
                <w:rFonts w:ascii="楷体" w:hAnsi="楷体" w:eastAsia="楷体" w:cs="楷体"/>
                <w:spacing w:val="-8"/>
                <w:sz w:val="20"/>
                <w:szCs w:val="20"/>
              </w:rPr>
              <w:t>1年</w:t>
            </w:r>
          </w:p>
        </w:tc>
        <w:tc>
          <w:tcPr>
            <w:tcW w:w="649" w:type="pct"/>
            <w:vAlign w:val="top"/>
          </w:tcPr>
          <w:p w14:paraId="192EB29B">
            <w:pPr>
              <w:spacing w:before="213" w:line="360" w:lineRule="auto"/>
              <w:ind w:left="262"/>
              <w:outlineLvl w:val="9"/>
              <w:rPr>
                <w:rFonts w:ascii="楷体" w:hAnsi="楷体" w:eastAsia="楷体" w:cs="楷体"/>
                <w:sz w:val="20"/>
                <w:szCs w:val="20"/>
              </w:rPr>
            </w:pPr>
            <w:r>
              <w:rPr>
                <w:rFonts w:ascii="楷体" w:hAnsi="楷体" w:eastAsia="楷体" w:cs="楷体"/>
                <w:spacing w:val="4"/>
                <w:position w:val="1"/>
                <w:sz w:val="20"/>
                <w:szCs w:val="20"/>
              </w:rPr>
              <w:t>3.45%起</w:t>
            </w:r>
          </w:p>
        </w:tc>
        <w:tc>
          <w:tcPr>
            <w:tcW w:w="515" w:type="pct"/>
            <w:vAlign w:val="top"/>
          </w:tcPr>
          <w:p w14:paraId="6DC4B44F">
            <w:pPr>
              <w:spacing w:before="213" w:line="360" w:lineRule="auto"/>
              <w:ind w:left="159"/>
              <w:outlineLvl w:val="9"/>
              <w:rPr>
                <w:rFonts w:ascii="楷体" w:hAnsi="楷体" w:eastAsia="楷体" w:cs="楷体"/>
                <w:sz w:val="20"/>
                <w:szCs w:val="20"/>
              </w:rPr>
            </w:pPr>
            <w:r>
              <w:rPr>
                <w:rFonts w:ascii="楷体" w:hAnsi="楷体" w:eastAsia="楷体" w:cs="楷体"/>
                <w:spacing w:val="-2"/>
                <w:sz w:val="20"/>
                <w:szCs w:val="20"/>
              </w:rPr>
              <w:t>72小时</w:t>
            </w:r>
          </w:p>
        </w:tc>
        <w:tc>
          <w:tcPr>
            <w:tcW w:w="680" w:type="pct"/>
            <w:vAlign w:val="top"/>
          </w:tcPr>
          <w:p w14:paraId="1B1B8A77">
            <w:pPr>
              <w:spacing w:before="57" w:line="360" w:lineRule="auto"/>
              <w:ind w:left="420"/>
              <w:outlineLvl w:val="9"/>
              <w:rPr>
                <w:rFonts w:ascii="楷体" w:hAnsi="楷体" w:eastAsia="楷体" w:cs="楷体"/>
                <w:sz w:val="20"/>
                <w:szCs w:val="20"/>
              </w:rPr>
            </w:pPr>
            <w:r>
              <w:rPr>
                <w:rFonts w:ascii="楷体" w:hAnsi="楷体" w:eastAsia="楷体" w:cs="楷体"/>
                <w:spacing w:val="-1"/>
                <w:sz w:val="20"/>
                <w:szCs w:val="20"/>
              </w:rPr>
              <w:t>朱君</w:t>
            </w:r>
          </w:p>
          <w:p w14:paraId="6E41C1DE">
            <w:pPr>
              <w:spacing w:before="59" w:line="360" w:lineRule="auto"/>
              <w:jc w:val="right"/>
              <w:outlineLvl w:val="9"/>
              <w:rPr>
                <w:rFonts w:ascii="楷体" w:hAnsi="楷体" w:eastAsia="楷体" w:cs="楷体"/>
                <w:sz w:val="20"/>
                <w:szCs w:val="20"/>
              </w:rPr>
            </w:pPr>
            <w:r>
              <w:rPr>
                <w:rFonts w:ascii="楷体" w:hAnsi="楷体" w:eastAsia="楷体" w:cs="楷体"/>
                <w:spacing w:val="3"/>
                <w:sz w:val="20"/>
                <w:szCs w:val="20"/>
              </w:rPr>
              <w:t>15629169158</w:t>
            </w:r>
          </w:p>
        </w:tc>
      </w:tr>
      <w:tr w14:paraId="0E3A38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392" w:type="pct"/>
            <w:vMerge w:val="continue"/>
            <w:tcBorders>
              <w:top w:val="nil"/>
              <w:left w:val="single" w:color="auto" w:sz="4" w:space="0"/>
              <w:bottom w:val="nil"/>
            </w:tcBorders>
            <w:vAlign w:val="top"/>
          </w:tcPr>
          <w:p w14:paraId="2B40DFE3">
            <w:pPr>
              <w:spacing w:line="360" w:lineRule="auto"/>
              <w:outlineLvl w:val="9"/>
              <w:rPr>
                <w:rFonts w:ascii="Arial"/>
                <w:sz w:val="21"/>
              </w:rPr>
            </w:pPr>
          </w:p>
        </w:tc>
        <w:tc>
          <w:tcPr>
            <w:tcW w:w="411" w:type="pct"/>
            <w:vMerge w:val="continue"/>
            <w:tcBorders>
              <w:top w:val="nil"/>
              <w:bottom w:val="nil"/>
            </w:tcBorders>
            <w:vAlign w:val="top"/>
          </w:tcPr>
          <w:p w14:paraId="228A6720">
            <w:pPr>
              <w:spacing w:line="360" w:lineRule="auto"/>
              <w:outlineLvl w:val="9"/>
              <w:rPr>
                <w:rFonts w:ascii="Arial"/>
                <w:sz w:val="21"/>
              </w:rPr>
            </w:pPr>
          </w:p>
        </w:tc>
        <w:tc>
          <w:tcPr>
            <w:tcW w:w="249" w:type="pct"/>
            <w:vAlign w:val="top"/>
          </w:tcPr>
          <w:p w14:paraId="7D6AD8A5">
            <w:pPr>
              <w:spacing w:before="212" w:line="360" w:lineRule="auto"/>
              <w:ind w:left="189"/>
              <w:outlineLvl w:val="9"/>
              <w:rPr>
                <w:rFonts w:ascii="楷体" w:hAnsi="楷体" w:eastAsia="楷体" w:cs="楷体"/>
                <w:sz w:val="20"/>
                <w:szCs w:val="20"/>
              </w:rPr>
            </w:pPr>
            <w:r>
              <w:rPr>
                <w:rFonts w:ascii="楷体" w:hAnsi="楷体" w:eastAsia="楷体" w:cs="楷体"/>
                <w:position w:val="1"/>
                <w:sz w:val="20"/>
                <w:szCs w:val="20"/>
              </w:rPr>
              <w:t>8</w:t>
            </w:r>
          </w:p>
        </w:tc>
        <w:tc>
          <w:tcPr>
            <w:tcW w:w="556" w:type="pct"/>
            <w:vAlign w:val="top"/>
          </w:tcPr>
          <w:p w14:paraId="4C597A1E">
            <w:pPr>
              <w:spacing w:before="212" w:line="360" w:lineRule="auto"/>
              <w:ind w:left="118"/>
              <w:outlineLvl w:val="9"/>
              <w:rPr>
                <w:rFonts w:ascii="楷体" w:hAnsi="楷体" w:eastAsia="楷体" w:cs="楷体"/>
                <w:sz w:val="20"/>
                <w:szCs w:val="20"/>
              </w:rPr>
            </w:pPr>
            <w:r>
              <w:rPr>
                <w:rFonts w:ascii="楷体" w:hAnsi="楷体" w:eastAsia="楷体" w:cs="楷体"/>
                <w:spacing w:val="7"/>
                <w:sz w:val="20"/>
                <w:szCs w:val="20"/>
              </w:rPr>
              <w:t>农商银行</w:t>
            </w:r>
          </w:p>
        </w:tc>
        <w:tc>
          <w:tcPr>
            <w:tcW w:w="469" w:type="pct"/>
            <w:vAlign w:val="top"/>
          </w:tcPr>
          <w:p w14:paraId="6ED1850F">
            <w:pPr>
              <w:spacing w:before="212" w:line="360" w:lineRule="auto"/>
              <w:ind w:left="139"/>
              <w:outlineLvl w:val="9"/>
              <w:rPr>
                <w:rFonts w:ascii="楷体" w:hAnsi="楷体" w:eastAsia="楷体" w:cs="楷体"/>
                <w:sz w:val="20"/>
                <w:szCs w:val="20"/>
              </w:rPr>
            </w:pPr>
            <w:r>
              <w:rPr>
                <w:rFonts w:ascii="楷体" w:hAnsi="楷体" w:eastAsia="楷体" w:cs="楷体"/>
                <w:spacing w:val="7"/>
                <w:sz w:val="20"/>
                <w:szCs w:val="20"/>
              </w:rPr>
              <w:t>政采贷</w:t>
            </w:r>
          </w:p>
        </w:tc>
        <w:tc>
          <w:tcPr>
            <w:tcW w:w="554" w:type="pct"/>
            <w:vAlign w:val="top"/>
          </w:tcPr>
          <w:p w14:paraId="5BB846B9">
            <w:pPr>
              <w:spacing w:before="56" w:line="360" w:lineRule="auto"/>
              <w:ind w:left="206"/>
              <w:outlineLvl w:val="9"/>
              <w:rPr>
                <w:rFonts w:ascii="楷体" w:hAnsi="楷体" w:eastAsia="楷体" w:cs="楷体"/>
                <w:sz w:val="20"/>
                <w:szCs w:val="20"/>
              </w:rPr>
            </w:pPr>
            <w:r>
              <w:rPr>
                <w:rFonts w:ascii="楷体" w:hAnsi="楷体" w:eastAsia="楷体" w:cs="楷体"/>
                <w:position w:val="1"/>
                <w:sz w:val="20"/>
                <w:szCs w:val="20"/>
              </w:rPr>
              <w:t>1000万</w:t>
            </w:r>
          </w:p>
          <w:p w14:paraId="668F66F4">
            <w:pPr>
              <w:spacing w:before="69" w:line="360" w:lineRule="auto"/>
              <w:ind w:left="444"/>
              <w:outlineLvl w:val="9"/>
              <w:rPr>
                <w:rFonts w:ascii="楷体" w:hAnsi="楷体" w:eastAsia="楷体" w:cs="楷体"/>
                <w:sz w:val="20"/>
                <w:szCs w:val="20"/>
              </w:rPr>
            </w:pPr>
            <w:r>
              <w:rPr>
                <w:rFonts w:ascii="楷体" w:hAnsi="楷体" w:eastAsia="楷体" w:cs="楷体"/>
                <w:sz w:val="20"/>
                <w:szCs w:val="20"/>
              </w:rPr>
              <w:t>元</w:t>
            </w:r>
          </w:p>
        </w:tc>
        <w:tc>
          <w:tcPr>
            <w:tcW w:w="520" w:type="pct"/>
            <w:vAlign w:val="top"/>
          </w:tcPr>
          <w:p w14:paraId="56413338">
            <w:pPr>
              <w:spacing w:before="212" w:line="360" w:lineRule="auto"/>
              <w:ind w:left="228"/>
              <w:outlineLvl w:val="9"/>
              <w:rPr>
                <w:rFonts w:ascii="楷体" w:hAnsi="楷体" w:eastAsia="楷体" w:cs="楷体"/>
                <w:sz w:val="20"/>
                <w:szCs w:val="20"/>
              </w:rPr>
            </w:pPr>
            <w:r>
              <w:rPr>
                <w:rFonts w:ascii="楷体" w:hAnsi="楷体" w:eastAsia="楷体" w:cs="楷体"/>
                <w:spacing w:val="-1"/>
                <w:sz w:val="20"/>
                <w:szCs w:val="20"/>
              </w:rPr>
              <w:t>1-2年</w:t>
            </w:r>
          </w:p>
        </w:tc>
        <w:tc>
          <w:tcPr>
            <w:tcW w:w="649" w:type="pct"/>
            <w:vAlign w:val="top"/>
          </w:tcPr>
          <w:p w14:paraId="7C9315FF">
            <w:pPr>
              <w:spacing w:before="56" w:line="360" w:lineRule="auto"/>
              <w:ind w:left="157"/>
              <w:outlineLvl w:val="9"/>
              <w:rPr>
                <w:rFonts w:ascii="楷体" w:hAnsi="楷体" w:eastAsia="楷体" w:cs="楷体"/>
                <w:sz w:val="20"/>
                <w:szCs w:val="20"/>
              </w:rPr>
            </w:pPr>
            <w:r>
              <w:rPr>
                <w:rFonts w:ascii="楷体" w:hAnsi="楷体" w:eastAsia="楷体" w:cs="楷体"/>
                <w:spacing w:val="4"/>
                <w:position w:val="1"/>
                <w:sz w:val="20"/>
                <w:szCs w:val="20"/>
              </w:rPr>
              <w:t>3.45%-5.8</w:t>
            </w:r>
          </w:p>
          <w:p w14:paraId="01CD01EB">
            <w:pPr>
              <w:spacing w:before="34" w:line="360" w:lineRule="auto"/>
              <w:ind w:left="573"/>
              <w:outlineLvl w:val="9"/>
              <w:rPr>
                <w:rFonts w:ascii="楷体" w:hAnsi="楷体" w:eastAsia="楷体" w:cs="楷体"/>
                <w:sz w:val="20"/>
                <w:szCs w:val="20"/>
              </w:rPr>
            </w:pPr>
            <w:r>
              <w:rPr>
                <w:rFonts w:ascii="楷体" w:hAnsi="楷体" w:eastAsia="楷体" w:cs="楷体"/>
                <w:sz w:val="20"/>
                <w:szCs w:val="20"/>
              </w:rPr>
              <w:t>%</w:t>
            </w:r>
          </w:p>
        </w:tc>
        <w:tc>
          <w:tcPr>
            <w:tcW w:w="515" w:type="pct"/>
            <w:vAlign w:val="top"/>
          </w:tcPr>
          <w:p w14:paraId="470476D2">
            <w:pPr>
              <w:spacing w:before="213" w:line="360" w:lineRule="auto"/>
              <w:ind w:left="157"/>
              <w:outlineLvl w:val="9"/>
              <w:rPr>
                <w:rFonts w:ascii="楷体" w:hAnsi="楷体" w:eastAsia="楷体" w:cs="楷体"/>
                <w:sz w:val="20"/>
                <w:szCs w:val="20"/>
              </w:rPr>
            </w:pPr>
            <w:r>
              <w:rPr>
                <w:rFonts w:ascii="楷体" w:hAnsi="楷体" w:eastAsia="楷体" w:cs="楷体"/>
                <w:spacing w:val="-1"/>
                <w:sz w:val="20"/>
                <w:szCs w:val="20"/>
              </w:rPr>
              <w:t>24小时</w:t>
            </w:r>
          </w:p>
        </w:tc>
        <w:tc>
          <w:tcPr>
            <w:tcW w:w="680" w:type="pct"/>
            <w:vAlign w:val="top"/>
          </w:tcPr>
          <w:p w14:paraId="426F3101">
            <w:pPr>
              <w:spacing w:before="56" w:line="360" w:lineRule="auto"/>
              <w:ind w:left="417"/>
              <w:outlineLvl w:val="9"/>
              <w:rPr>
                <w:rFonts w:ascii="楷体" w:hAnsi="楷体" w:eastAsia="楷体" w:cs="楷体"/>
                <w:sz w:val="20"/>
                <w:szCs w:val="20"/>
              </w:rPr>
            </w:pPr>
            <w:r>
              <w:rPr>
                <w:rFonts w:ascii="楷体" w:hAnsi="楷体" w:eastAsia="楷体" w:cs="楷体"/>
                <w:position w:val="1"/>
                <w:sz w:val="20"/>
                <w:szCs w:val="20"/>
              </w:rPr>
              <w:t>王璐</w:t>
            </w:r>
          </w:p>
          <w:p w14:paraId="5BF42905">
            <w:pPr>
              <w:spacing w:before="45" w:line="360" w:lineRule="auto"/>
              <w:jc w:val="right"/>
              <w:outlineLvl w:val="9"/>
              <w:rPr>
                <w:rFonts w:ascii="楷体" w:hAnsi="楷体" w:eastAsia="楷体" w:cs="楷体"/>
                <w:sz w:val="20"/>
                <w:szCs w:val="20"/>
              </w:rPr>
            </w:pPr>
            <w:r>
              <w:rPr>
                <w:rFonts w:ascii="楷体" w:hAnsi="楷体" w:eastAsia="楷体" w:cs="楷体"/>
                <w:spacing w:val="3"/>
                <w:sz w:val="20"/>
                <w:szCs w:val="20"/>
              </w:rPr>
              <w:t>15529875056</w:t>
            </w:r>
          </w:p>
        </w:tc>
      </w:tr>
      <w:tr w14:paraId="4CAAA3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392" w:type="pct"/>
            <w:vMerge w:val="continue"/>
            <w:tcBorders>
              <w:top w:val="nil"/>
              <w:left w:val="single" w:color="auto" w:sz="4" w:space="0"/>
              <w:bottom w:val="nil"/>
            </w:tcBorders>
            <w:vAlign w:val="top"/>
          </w:tcPr>
          <w:p w14:paraId="5B1AB6CE">
            <w:pPr>
              <w:spacing w:line="360" w:lineRule="auto"/>
              <w:outlineLvl w:val="9"/>
              <w:rPr>
                <w:rFonts w:ascii="Arial"/>
                <w:sz w:val="21"/>
              </w:rPr>
            </w:pPr>
          </w:p>
        </w:tc>
        <w:tc>
          <w:tcPr>
            <w:tcW w:w="411" w:type="pct"/>
            <w:vMerge w:val="continue"/>
            <w:tcBorders>
              <w:top w:val="nil"/>
              <w:bottom w:val="nil"/>
            </w:tcBorders>
            <w:vAlign w:val="top"/>
          </w:tcPr>
          <w:p w14:paraId="7BF782A6">
            <w:pPr>
              <w:spacing w:line="360" w:lineRule="auto"/>
              <w:outlineLvl w:val="9"/>
              <w:rPr>
                <w:rFonts w:ascii="Arial"/>
                <w:sz w:val="21"/>
              </w:rPr>
            </w:pPr>
          </w:p>
        </w:tc>
        <w:tc>
          <w:tcPr>
            <w:tcW w:w="249" w:type="pct"/>
            <w:vAlign w:val="top"/>
          </w:tcPr>
          <w:p w14:paraId="2956F62B">
            <w:pPr>
              <w:spacing w:before="212" w:line="360" w:lineRule="auto"/>
              <w:ind w:left="186"/>
              <w:outlineLvl w:val="9"/>
              <w:rPr>
                <w:rFonts w:ascii="楷体" w:hAnsi="楷体" w:eastAsia="楷体" w:cs="楷体"/>
                <w:sz w:val="20"/>
                <w:szCs w:val="20"/>
              </w:rPr>
            </w:pPr>
            <w:r>
              <w:rPr>
                <w:rFonts w:ascii="楷体" w:hAnsi="楷体" w:eastAsia="楷体" w:cs="楷体"/>
                <w:spacing w:val="1"/>
                <w:position w:val="1"/>
                <w:sz w:val="20"/>
                <w:szCs w:val="20"/>
              </w:rPr>
              <w:t>9</w:t>
            </w:r>
          </w:p>
        </w:tc>
        <w:tc>
          <w:tcPr>
            <w:tcW w:w="556" w:type="pct"/>
            <w:vAlign w:val="top"/>
          </w:tcPr>
          <w:p w14:paraId="51DC1325">
            <w:pPr>
              <w:spacing w:before="212" w:line="360" w:lineRule="auto"/>
              <w:ind w:left="118"/>
              <w:outlineLvl w:val="9"/>
              <w:rPr>
                <w:rFonts w:ascii="楷体" w:hAnsi="楷体" w:eastAsia="楷体" w:cs="楷体"/>
                <w:sz w:val="20"/>
                <w:szCs w:val="20"/>
              </w:rPr>
            </w:pPr>
            <w:r>
              <w:rPr>
                <w:rFonts w:ascii="楷体" w:hAnsi="楷体" w:eastAsia="楷体" w:cs="楷体"/>
                <w:spacing w:val="7"/>
                <w:sz w:val="20"/>
                <w:szCs w:val="20"/>
              </w:rPr>
              <w:t>农业银行</w:t>
            </w:r>
          </w:p>
        </w:tc>
        <w:tc>
          <w:tcPr>
            <w:tcW w:w="469" w:type="pct"/>
            <w:vAlign w:val="top"/>
          </w:tcPr>
          <w:p w14:paraId="3FAC2402">
            <w:pPr>
              <w:spacing w:before="212" w:line="360" w:lineRule="auto"/>
              <w:ind w:left="139"/>
              <w:outlineLvl w:val="9"/>
              <w:rPr>
                <w:rFonts w:ascii="楷体" w:hAnsi="楷体" w:eastAsia="楷体" w:cs="楷体"/>
                <w:sz w:val="20"/>
                <w:szCs w:val="20"/>
              </w:rPr>
            </w:pPr>
            <w:r>
              <w:rPr>
                <w:rFonts w:ascii="楷体" w:hAnsi="楷体" w:eastAsia="楷体" w:cs="楷体"/>
                <w:spacing w:val="7"/>
                <w:sz w:val="20"/>
                <w:szCs w:val="20"/>
              </w:rPr>
              <w:t>政采贷</w:t>
            </w:r>
          </w:p>
        </w:tc>
        <w:tc>
          <w:tcPr>
            <w:tcW w:w="554" w:type="pct"/>
            <w:vAlign w:val="top"/>
          </w:tcPr>
          <w:p w14:paraId="6175AD59">
            <w:pPr>
              <w:spacing w:before="56" w:line="360" w:lineRule="auto"/>
              <w:ind w:left="206"/>
              <w:outlineLvl w:val="9"/>
              <w:rPr>
                <w:rFonts w:ascii="楷体" w:hAnsi="楷体" w:eastAsia="楷体" w:cs="楷体"/>
                <w:sz w:val="20"/>
                <w:szCs w:val="20"/>
              </w:rPr>
            </w:pPr>
            <w:r>
              <w:rPr>
                <w:rFonts w:ascii="楷体" w:hAnsi="楷体" w:eastAsia="楷体" w:cs="楷体"/>
                <w:position w:val="1"/>
                <w:sz w:val="20"/>
                <w:szCs w:val="20"/>
              </w:rPr>
              <w:t>1000万</w:t>
            </w:r>
          </w:p>
          <w:p w14:paraId="4B23BD14">
            <w:pPr>
              <w:spacing w:before="69" w:line="360" w:lineRule="auto"/>
              <w:ind w:left="444"/>
              <w:outlineLvl w:val="9"/>
              <w:rPr>
                <w:rFonts w:ascii="楷体" w:hAnsi="楷体" w:eastAsia="楷体" w:cs="楷体"/>
                <w:sz w:val="20"/>
                <w:szCs w:val="20"/>
              </w:rPr>
            </w:pPr>
            <w:r>
              <w:rPr>
                <w:rFonts w:ascii="楷体" w:hAnsi="楷体" w:eastAsia="楷体" w:cs="楷体"/>
                <w:sz w:val="20"/>
                <w:szCs w:val="20"/>
              </w:rPr>
              <w:t>元</w:t>
            </w:r>
          </w:p>
        </w:tc>
        <w:tc>
          <w:tcPr>
            <w:tcW w:w="520" w:type="pct"/>
            <w:vAlign w:val="top"/>
          </w:tcPr>
          <w:p w14:paraId="1A008FAC">
            <w:pPr>
              <w:spacing w:before="212" w:line="360" w:lineRule="auto"/>
              <w:ind w:left="331"/>
              <w:outlineLvl w:val="9"/>
              <w:rPr>
                <w:rFonts w:ascii="楷体" w:hAnsi="楷体" w:eastAsia="楷体" w:cs="楷体"/>
                <w:sz w:val="20"/>
                <w:szCs w:val="20"/>
              </w:rPr>
            </w:pPr>
            <w:r>
              <w:rPr>
                <w:rFonts w:ascii="楷体" w:hAnsi="楷体" w:eastAsia="楷体" w:cs="楷体"/>
                <w:spacing w:val="-8"/>
                <w:sz w:val="20"/>
                <w:szCs w:val="20"/>
              </w:rPr>
              <w:t>1年</w:t>
            </w:r>
          </w:p>
        </w:tc>
        <w:tc>
          <w:tcPr>
            <w:tcW w:w="649" w:type="pct"/>
            <w:vAlign w:val="top"/>
          </w:tcPr>
          <w:p w14:paraId="0B58744E">
            <w:pPr>
              <w:spacing w:before="212" w:line="360" w:lineRule="auto"/>
              <w:ind w:left="157"/>
              <w:outlineLvl w:val="9"/>
              <w:rPr>
                <w:rFonts w:ascii="楷体" w:hAnsi="楷体" w:eastAsia="楷体" w:cs="楷体"/>
                <w:sz w:val="20"/>
                <w:szCs w:val="20"/>
              </w:rPr>
            </w:pPr>
            <w:r>
              <w:rPr>
                <w:rFonts w:ascii="楷体" w:hAnsi="楷体" w:eastAsia="楷体" w:cs="楷体"/>
                <w:spacing w:val="5"/>
                <w:sz w:val="20"/>
                <w:szCs w:val="20"/>
              </w:rPr>
              <w:t>3.45%以上</w:t>
            </w:r>
          </w:p>
        </w:tc>
        <w:tc>
          <w:tcPr>
            <w:tcW w:w="515" w:type="pct"/>
            <w:vAlign w:val="top"/>
          </w:tcPr>
          <w:p w14:paraId="7FE0C851">
            <w:pPr>
              <w:spacing w:before="212" w:line="360" w:lineRule="auto"/>
              <w:ind w:left="157"/>
              <w:outlineLvl w:val="9"/>
              <w:rPr>
                <w:rFonts w:ascii="楷体" w:hAnsi="楷体" w:eastAsia="楷体" w:cs="楷体"/>
                <w:sz w:val="20"/>
                <w:szCs w:val="20"/>
              </w:rPr>
            </w:pPr>
            <w:r>
              <w:rPr>
                <w:rFonts w:ascii="楷体" w:hAnsi="楷体" w:eastAsia="楷体" w:cs="楷体"/>
                <w:spacing w:val="-1"/>
                <w:sz w:val="20"/>
                <w:szCs w:val="20"/>
              </w:rPr>
              <w:t>24小时</w:t>
            </w:r>
          </w:p>
        </w:tc>
        <w:tc>
          <w:tcPr>
            <w:tcW w:w="680" w:type="pct"/>
            <w:vAlign w:val="top"/>
          </w:tcPr>
          <w:p w14:paraId="278E6984">
            <w:pPr>
              <w:spacing w:before="56" w:line="360" w:lineRule="auto"/>
              <w:ind w:left="411"/>
              <w:outlineLvl w:val="9"/>
              <w:rPr>
                <w:rFonts w:ascii="楷体" w:hAnsi="楷体" w:eastAsia="楷体" w:cs="楷体"/>
                <w:sz w:val="20"/>
                <w:szCs w:val="20"/>
              </w:rPr>
            </w:pPr>
            <w:r>
              <w:rPr>
                <w:rFonts w:ascii="楷体" w:hAnsi="楷体" w:eastAsia="楷体" w:cs="楷体"/>
                <w:spacing w:val="7"/>
                <w:sz w:val="20"/>
                <w:szCs w:val="20"/>
              </w:rPr>
              <w:t>米璐洁</w:t>
            </w:r>
          </w:p>
          <w:p w14:paraId="47C02647">
            <w:pPr>
              <w:spacing w:before="55" w:line="360" w:lineRule="auto"/>
              <w:jc w:val="right"/>
              <w:outlineLvl w:val="9"/>
              <w:rPr>
                <w:rFonts w:ascii="楷体" w:hAnsi="楷体" w:eastAsia="楷体" w:cs="楷体"/>
                <w:sz w:val="20"/>
                <w:szCs w:val="20"/>
              </w:rPr>
            </w:pPr>
            <w:r>
              <w:rPr>
                <w:rFonts w:ascii="楷体" w:hAnsi="楷体" w:eastAsia="楷体" w:cs="楷体"/>
                <w:spacing w:val="3"/>
                <w:sz w:val="20"/>
                <w:szCs w:val="20"/>
              </w:rPr>
              <w:t>18966997666</w:t>
            </w:r>
          </w:p>
        </w:tc>
      </w:tr>
      <w:tr w14:paraId="660C45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392" w:type="pct"/>
            <w:vMerge w:val="continue"/>
            <w:tcBorders>
              <w:top w:val="nil"/>
              <w:left w:val="single" w:color="auto" w:sz="4" w:space="0"/>
              <w:bottom w:val="nil"/>
            </w:tcBorders>
            <w:vAlign w:val="top"/>
          </w:tcPr>
          <w:p w14:paraId="71BEEB72">
            <w:pPr>
              <w:spacing w:line="360" w:lineRule="auto"/>
              <w:outlineLvl w:val="9"/>
              <w:rPr>
                <w:rFonts w:ascii="Arial"/>
                <w:sz w:val="21"/>
              </w:rPr>
            </w:pPr>
          </w:p>
        </w:tc>
        <w:tc>
          <w:tcPr>
            <w:tcW w:w="411" w:type="pct"/>
            <w:vMerge w:val="continue"/>
            <w:tcBorders>
              <w:top w:val="nil"/>
              <w:bottom w:val="nil"/>
            </w:tcBorders>
            <w:vAlign w:val="top"/>
          </w:tcPr>
          <w:p w14:paraId="764B8011">
            <w:pPr>
              <w:spacing w:line="360" w:lineRule="auto"/>
              <w:outlineLvl w:val="9"/>
              <w:rPr>
                <w:rFonts w:ascii="Arial"/>
                <w:sz w:val="21"/>
              </w:rPr>
            </w:pPr>
          </w:p>
        </w:tc>
        <w:tc>
          <w:tcPr>
            <w:tcW w:w="249" w:type="pct"/>
            <w:vAlign w:val="top"/>
          </w:tcPr>
          <w:p w14:paraId="056FC778">
            <w:pPr>
              <w:spacing w:before="212" w:line="360" w:lineRule="auto"/>
              <w:ind w:left="149"/>
              <w:outlineLvl w:val="9"/>
              <w:rPr>
                <w:rFonts w:ascii="楷体" w:hAnsi="楷体" w:eastAsia="楷体" w:cs="楷体"/>
                <w:sz w:val="20"/>
                <w:szCs w:val="20"/>
              </w:rPr>
            </w:pPr>
            <w:r>
              <w:rPr>
                <w:rFonts w:ascii="楷体" w:hAnsi="楷体" w:eastAsia="楷体" w:cs="楷体"/>
                <w:spacing w:val="-5"/>
                <w:position w:val="1"/>
                <w:sz w:val="20"/>
                <w:szCs w:val="20"/>
              </w:rPr>
              <w:t>10</w:t>
            </w:r>
          </w:p>
        </w:tc>
        <w:tc>
          <w:tcPr>
            <w:tcW w:w="556" w:type="pct"/>
            <w:vAlign w:val="top"/>
          </w:tcPr>
          <w:p w14:paraId="03123633">
            <w:pPr>
              <w:spacing w:before="212" w:line="360" w:lineRule="auto"/>
              <w:ind w:left="144"/>
              <w:outlineLvl w:val="9"/>
              <w:rPr>
                <w:rFonts w:ascii="楷体" w:hAnsi="楷体" w:eastAsia="楷体" w:cs="楷体"/>
                <w:sz w:val="20"/>
                <w:szCs w:val="20"/>
              </w:rPr>
            </w:pPr>
            <w:r>
              <w:rPr>
                <w:rFonts w:ascii="楷体" w:hAnsi="楷体" w:eastAsia="楷体" w:cs="楷体"/>
                <w:spacing w:val="1"/>
                <w:sz w:val="20"/>
                <w:szCs w:val="20"/>
              </w:rPr>
              <w:t>民生银行</w:t>
            </w:r>
          </w:p>
        </w:tc>
        <w:tc>
          <w:tcPr>
            <w:tcW w:w="469" w:type="pct"/>
            <w:vAlign w:val="top"/>
          </w:tcPr>
          <w:p w14:paraId="7357156C">
            <w:pPr>
              <w:spacing w:before="55" w:line="360" w:lineRule="auto"/>
              <w:ind w:left="344" w:right="158" w:hanging="179"/>
              <w:outlineLvl w:val="9"/>
              <w:rPr>
                <w:rFonts w:ascii="楷体" w:hAnsi="楷体" w:eastAsia="楷体" w:cs="楷体"/>
                <w:sz w:val="20"/>
                <w:szCs w:val="20"/>
              </w:rPr>
            </w:pPr>
            <w:r>
              <w:rPr>
                <w:rFonts w:ascii="楷体" w:hAnsi="楷体" w:eastAsia="楷体" w:cs="楷体"/>
                <w:spacing w:val="1"/>
                <w:sz w:val="20"/>
                <w:szCs w:val="20"/>
              </w:rPr>
              <w:t>政采E</w:t>
            </w:r>
            <w:r>
              <w:rPr>
                <w:rFonts w:ascii="楷体" w:hAnsi="楷体" w:eastAsia="楷体" w:cs="楷体"/>
                <w:spacing w:val="8"/>
                <w:sz w:val="20"/>
                <w:szCs w:val="20"/>
              </w:rPr>
              <w:t>贷</w:t>
            </w:r>
          </w:p>
        </w:tc>
        <w:tc>
          <w:tcPr>
            <w:tcW w:w="554" w:type="pct"/>
            <w:vAlign w:val="top"/>
          </w:tcPr>
          <w:p w14:paraId="12932746">
            <w:pPr>
              <w:spacing w:before="56" w:line="360" w:lineRule="auto"/>
              <w:ind w:left="195"/>
              <w:outlineLvl w:val="9"/>
              <w:rPr>
                <w:rFonts w:ascii="楷体" w:hAnsi="楷体" w:eastAsia="楷体" w:cs="楷体"/>
                <w:sz w:val="20"/>
                <w:szCs w:val="20"/>
              </w:rPr>
            </w:pPr>
            <w:r>
              <w:rPr>
                <w:rFonts w:ascii="楷体" w:hAnsi="楷体" w:eastAsia="楷体" w:cs="楷体"/>
                <w:spacing w:val="2"/>
                <w:position w:val="1"/>
                <w:sz w:val="20"/>
                <w:szCs w:val="20"/>
              </w:rPr>
              <w:t>3000万</w:t>
            </w:r>
          </w:p>
          <w:p w14:paraId="46DC5285">
            <w:pPr>
              <w:spacing w:before="69" w:line="360" w:lineRule="auto"/>
              <w:ind w:left="444"/>
              <w:outlineLvl w:val="9"/>
              <w:rPr>
                <w:rFonts w:ascii="楷体" w:hAnsi="楷体" w:eastAsia="楷体" w:cs="楷体"/>
                <w:sz w:val="20"/>
                <w:szCs w:val="20"/>
              </w:rPr>
            </w:pPr>
            <w:r>
              <w:rPr>
                <w:rFonts w:ascii="楷体" w:hAnsi="楷体" w:eastAsia="楷体" w:cs="楷体"/>
                <w:sz w:val="20"/>
                <w:szCs w:val="20"/>
              </w:rPr>
              <w:t>元</w:t>
            </w:r>
          </w:p>
        </w:tc>
        <w:tc>
          <w:tcPr>
            <w:tcW w:w="520" w:type="pct"/>
            <w:vAlign w:val="top"/>
          </w:tcPr>
          <w:p w14:paraId="68119913">
            <w:pPr>
              <w:spacing w:before="211" w:line="360" w:lineRule="auto"/>
              <w:ind w:left="331"/>
              <w:outlineLvl w:val="9"/>
              <w:rPr>
                <w:rFonts w:ascii="楷体" w:hAnsi="楷体" w:eastAsia="楷体" w:cs="楷体"/>
                <w:sz w:val="20"/>
                <w:szCs w:val="20"/>
              </w:rPr>
            </w:pPr>
            <w:r>
              <w:rPr>
                <w:rFonts w:ascii="楷体" w:hAnsi="楷体" w:eastAsia="楷体" w:cs="楷体"/>
                <w:spacing w:val="-8"/>
                <w:sz w:val="20"/>
                <w:szCs w:val="20"/>
              </w:rPr>
              <w:t>1年</w:t>
            </w:r>
          </w:p>
        </w:tc>
        <w:tc>
          <w:tcPr>
            <w:tcW w:w="649" w:type="pct"/>
            <w:vAlign w:val="top"/>
          </w:tcPr>
          <w:p w14:paraId="5654B1DD">
            <w:pPr>
              <w:spacing w:before="212" w:line="360" w:lineRule="auto"/>
              <w:ind w:left="262"/>
              <w:outlineLvl w:val="9"/>
              <w:rPr>
                <w:rFonts w:ascii="楷体" w:hAnsi="楷体" w:eastAsia="楷体" w:cs="楷体"/>
                <w:sz w:val="20"/>
                <w:szCs w:val="20"/>
              </w:rPr>
            </w:pPr>
            <w:r>
              <w:rPr>
                <w:rFonts w:ascii="楷体" w:hAnsi="楷体" w:eastAsia="楷体" w:cs="楷体"/>
                <w:spacing w:val="4"/>
                <w:position w:val="1"/>
                <w:sz w:val="20"/>
                <w:szCs w:val="20"/>
              </w:rPr>
              <w:t>3.45%起</w:t>
            </w:r>
          </w:p>
        </w:tc>
        <w:tc>
          <w:tcPr>
            <w:tcW w:w="515" w:type="pct"/>
            <w:vAlign w:val="top"/>
          </w:tcPr>
          <w:p w14:paraId="149E1444">
            <w:pPr>
              <w:spacing w:before="212" w:line="360" w:lineRule="auto"/>
              <w:ind w:left="157"/>
              <w:outlineLvl w:val="9"/>
              <w:rPr>
                <w:rFonts w:ascii="楷体" w:hAnsi="楷体" w:eastAsia="楷体" w:cs="楷体"/>
                <w:sz w:val="20"/>
                <w:szCs w:val="20"/>
              </w:rPr>
            </w:pPr>
            <w:r>
              <w:rPr>
                <w:rFonts w:ascii="楷体" w:hAnsi="楷体" w:eastAsia="楷体" w:cs="楷体"/>
                <w:spacing w:val="-1"/>
                <w:sz w:val="20"/>
                <w:szCs w:val="20"/>
              </w:rPr>
              <w:t>24小时</w:t>
            </w:r>
          </w:p>
        </w:tc>
        <w:tc>
          <w:tcPr>
            <w:tcW w:w="680" w:type="pct"/>
            <w:vAlign w:val="top"/>
          </w:tcPr>
          <w:p w14:paraId="7583E6CF">
            <w:pPr>
              <w:spacing w:before="56" w:line="360" w:lineRule="auto"/>
              <w:ind w:left="415"/>
              <w:outlineLvl w:val="9"/>
              <w:rPr>
                <w:rFonts w:ascii="楷体" w:hAnsi="楷体" w:eastAsia="楷体" w:cs="楷体"/>
                <w:sz w:val="20"/>
                <w:szCs w:val="20"/>
              </w:rPr>
            </w:pPr>
            <w:r>
              <w:rPr>
                <w:rFonts w:ascii="楷体" w:hAnsi="楷体" w:eastAsia="楷体" w:cs="楷体"/>
                <w:spacing w:val="6"/>
                <w:sz w:val="20"/>
                <w:szCs w:val="20"/>
              </w:rPr>
              <w:t>郝双双</w:t>
            </w:r>
          </w:p>
          <w:p w14:paraId="524948CB">
            <w:pPr>
              <w:spacing w:before="56" w:line="360" w:lineRule="auto"/>
              <w:jc w:val="right"/>
              <w:outlineLvl w:val="9"/>
              <w:rPr>
                <w:rFonts w:ascii="楷体" w:hAnsi="楷体" w:eastAsia="楷体" w:cs="楷体"/>
                <w:sz w:val="20"/>
                <w:szCs w:val="20"/>
              </w:rPr>
            </w:pPr>
            <w:r>
              <w:rPr>
                <w:rFonts w:ascii="楷体" w:hAnsi="楷体" w:eastAsia="楷体" w:cs="楷体"/>
                <w:spacing w:val="3"/>
                <w:sz w:val="20"/>
                <w:szCs w:val="20"/>
              </w:rPr>
              <w:t>15991225850</w:t>
            </w:r>
          </w:p>
        </w:tc>
      </w:tr>
      <w:tr w14:paraId="38893F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1" w:hRule="atLeast"/>
        </w:trPr>
        <w:tc>
          <w:tcPr>
            <w:tcW w:w="392" w:type="pct"/>
            <w:vMerge w:val="continue"/>
            <w:tcBorders>
              <w:top w:val="nil"/>
              <w:left w:val="single" w:color="auto" w:sz="4" w:space="0"/>
            </w:tcBorders>
            <w:vAlign w:val="top"/>
          </w:tcPr>
          <w:p w14:paraId="7F0E68B1">
            <w:pPr>
              <w:spacing w:line="360" w:lineRule="auto"/>
              <w:outlineLvl w:val="9"/>
              <w:rPr>
                <w:rFonts w:ascii="Arial"/>
                <w:sz w:val="21"/>
              </w:rPr>
            </w:pPr>
          </w:p>
        </w:tc>
        <w:tc>
          <w:tcPr>
            <w:tcW w:w="411" w:type="pct"/>
            <w:vMerge w:val="continue"/>
            <w:tcBorders>
              <w:top w:val="nil"/>
            </w:tcBorders>
            <w:vAlign w:val="top"/>
          </w:tcPr>
          <w:p w14:paraId="798D2E68">
            <w:pPr>
              <w:spacing w:line="360" w:lineRule="auto"/>
              <w:outlineLvl w:val="9"/>
              <w:rPr>
                <w:rFonts w:ascii="Arial"/>
                <w:sz w:val="21"/>
              </w:rPr>
            </w:pPr>
          </w:p>
        </w:tc>
        <w:tc>
          <w:tcPr>
            <w:tcW w:w="249" w:type="pct"/>
            <w:vAlign w:val="top"/>
          </w:tcPr>
          <w:p w14:paraId="3583222B">
            <w:pPr>
              <w:spacing w:before="211" w:line="360" w:lineRule="auto"/>
              <w:ind w:left="149"/>
              <w:outlineLvl w:val="9"/>
              <w:rPr>
                <w:rFonts w:ascii="楷体" w:hAnsi="楷体" w:eastAsia="楷体" w:cs="楷体"/>
                <w:sz w:val="20"/>
                <w:szCs w:val="20"/>
              </w:rPr>
            </w:pPr>
            <w:r>
              <w:rPr>
                <w:rFonts w:ascii="楷体" w:hAnsi="楷体" w:eastAsia="楷体" w:cs="楷体"/>
                <w:spacing w:val="-5"/>
                <w:position w:val="1"/>
                <w:sz w:val="20"/>
                <w:szCs w:val="20"/>
              </w:rPr>
              <w:t>11</w:t>
            </w:r>
          </w:p>
        </w:tc>
        <w:tc>
          <w:tcPr>
            <w:tcW w:w="556" w:type="pct"/>
            <w:vAlign w:val="top"/>
          </w:tcPr>
          <w:p w14:paraId="39ED9748">
            <w:pPr>
              <w:spacing w:before="211" w:line="360" w:lineRule="auto"/>
              <w:ind w:left="123"/>
              <w:outlineLvl w:val="9"/>
              <w:rPr>
                <w:rFonts w:ascii="楷体" w:hAnsi="楷体" w:eastAsia="楷体" w:cs="楷体"/>
                <w:sz w:val="20"/>
                <w:szCs w:val="20"/>
              </w:rPr>
            </w:pPr>
            <w:r>
              <w:rPr>
                <w:rFonts w:ascii="楷体" w:hAnsi="楷体" w:eastAsia="楷体" w:cs="楷体"/>
                <w:spacing w:val="6"/>
                <w:sz w:val="20"/>
                <w:szCs w:val="20"/>
              </w:rPr>
              <w:t>兴业银行</w:t>
            </w:r>
          </w:p>
        </w:tc>
        <w:tc>
          <w:tcPr>
            <w:tcW w:w="469" w:type="pct"/>
            <w:vAlign w:val="top"/>
          </w:tcPr>
          <w:p w14:paraId="7F575D8D">
            <w:pPr>
              <w:spacing w:before="211" w:line="360" w:lineRule="auto"/>
              <w:ind w:left="139"/>
              <w:outlineLvl w:val="9"/>
              <w:rPr>
                <w:rFonts w:ascii="楷体" w:hAnsi="楷体" w:eastAsia="楷体" w:cs="楷体"/>
                <w:sz w:val="20"/>
                <w:szCs w:val="20"/>
              </w:rPr>
            </w:pPr>
            <w:r>
              <w:rPr>
                <w:rFonts w:ascii="楷体" w:hAnsi="楷体" w:eastAsia="楷体" w:cs="楷体"/>
                <w:spacing w:val="7"/>
                <w:sz w:val="20"/>
                <w:szCs w:val="20"/>
              </w:rPr>
              <w:t>政采贷</w:t>
            </w:r>
          </w:p>
        </w:tc>
        <w:tc>
          <w:tcPr>
            <w:tcW w:w="554" w:type="pct"/>
            <w:vAlign w:val="top"/>
          </w:tcPr>
          <w:p w14:paraId="245039B7">
            <w:pPr>
              <w:spacing w:before="55" w:line="360" w:lineRule="auto"/>
              <w:ind w:left="206"/>
              <w:outlineLvl w:val="9"/>
              <w:rPr>
                <w:rFonts w:ascii="楷体" w:hAnsi="楷体" w:eastAsia="楷体" w:cs="楷体"/>
                <w:sz w:val="20"/>
                <w:szCs w:val="20"/>
              </w:rPr>
            </w:pPr>
            <w:r>
              <w:rPr>
                <w:rFonts w:ascii="楷体" w:hAnsi="楷体" w:eastAsia="楷体" w:cs="楷体"/>
                <w:position w:val="1"/>
                <w:sz w:val="20"/>
                <w:szCs w:val="20"/>
              </w:rPr>
              <w:t>1000万</w:t>
            </w:r>
          </w:p>
          <w:p w14:paraId="631F4123">
            <w:pPr>
              <w:spacing w:before="69" w:line="360" w:lineRule="auto"/>
              <w:ind w:left="444"/>
              <w:outlineLvl w:val="9"/>
              <w:rPr>
                <w:rFonts w:ascii="楷体" w:hAnsi="楷体" w:eastAsia="楷体" w:cs="楷体"/>
                <w:sz w:val="20"/>
                <w:szCs w:val="20"/>
              </w:rPr>
            </w:pPr>
            <w:r>
              <w:rPr>
                <w:rFonts w:ascii="楷体" w:hAnsi="楷体" w:eastAsia="楷体" w:cs="楷体"/>
                <w:sz w:val="20"/>
                <w:szCs w:val="20"/>
              </w:rPr>
              <w:t>元</w:t>
            </w:r>
          </w:p>
        </w:tc>
        <w:tc>
          <w:tcPr>
            <w:tcW w:w="520" w:type="pct"/>
            <w:vAlign w:val="top"/>
          </w:tcPr>
          <w:p w14:paraId="0F609718">
            <w:pPr>
              <w:spacing w:before="211" w:line="360" w:lineRule="auto"/>
              <w:ind w:left="228"/>
              <w:outlineLvl w:val="9"/>
              <w:rPr>
                <w:rFonts w:ascii="楷体" w:hAnsi="楷体" w:eastAsia="楷体" w:cs="楷体"/>
                <w:sz w:val="20"/>
                <w:szCs w:val="20"/>
              </w:rPr>
            </w:pPr>
            <w:r>
              <w:rPr>
                <w:rFonts w:ascii="楷体" w:hAnsi="楷体" w:eastAsia="楷体" w:cs="楷体"/>
                <w:spacing w:val="-2"/>
                <w:sz w:val="20"/>
                <w:szCs w:val="20"/>
              </w:rPr>
              <w:t>1年期</w:t>
            </w:r>
          </w:p>
        </w:tc>
        <w:tc>
          <w:tcPr>
            <w:tcW w:w="649" w:type="pct"/>
            <w:vAlign w:val="top"/>
          </w:tcPr>
          <w:p w14:paraId="72AE4739">
            <w:pPr>
              <w:spacing w:before="211" w:line="360" w:lineRule="auto"/>
              <w:ind w:left="418"/>
              <w:outlineLvl w:val="9"/>
              <w:rPr>
                <w:rFonts w:ascii="楷体" w:hAnsi="楷体" w:eastAsia="楷体" w:cs="楷体"/>
                <w:sz w:val="20"/>
                <w:szCs w:val="20"/>
              </w:rPr>
            </w:pPr>
            <w:r>
              <w:rPr>
                <w:rFonts w:ascii="楷体" w:hAnsi="楷体" w:eastAsia="楷体" w:cs="楷体"/>
                <w:spacing w:val="3"/>
                <w:position w:val="1"/>
                <w:sz w:val="20"/>
                <w:szCs w:val="20"/>
              </w:rPr>
              <w:t>3.4%</w:t>
            </w:r>
          </w:p>
        </w:tc>
        <w:tc>
          <w:tcPr>
            <w:tcW w:w="515" w:type="pct"/>
            <w:vAlign w:val="top"/>
          </w:tcPr>
          <w:p w14:paraId="650FB31E">
            <w:pPr>
              <w:spacing w:before="211" w:line="360" w:lineRule="auto"/>
              <w:ind w:left="159"/>
              <w:outlineLvl w:val="9"/>
              <w:rPr>
                <w:rFonts w:ascii="楷体" w:hAnsi="楷体" w:eastAsia="楷体" w:cs="楷体"/>
                <w:sz w:val="20"/>
                <w:szCs w:val="20"/>
              </w:rPr>
            </w:pPr>
            <w:r>
              <w:rPr>
                <w:rFonts w:ascii="楷体" w:hAnsi="楷体" w:eastAsia="楷体" w:cs="楷体"/>
                <w:spacing w:val="-2"/>
                <w:sz w:val="20"/>
                <w:szCs w:val="20"/>
              </w:rPr>
              <w:t>72小时</w:t>
            </w:r>
          </w:p>
        </w:tc>
        <w:tc>
          <w:tcPr>
            <w:tcW w:w="680" w:type="pct"/>
            <w:vAlign w:val="top"/>
          </w:tcPr>
          <w:p w14:paraId="245F948C">
            <w:pPr>
              <w:spacing w:before="55" w:line="360" w:lineRule="auto"/>
              <w:ind w:left="429"/>
              <w:outlineLvl w:val="9"/>
              <w:rPr>
                <w:rFonts w:ascii="楷体" w:hAnsi="楷体" w:eastAsia="楷体" w:cs="楷体"/>
                <w:sz w:val="20"/>
                <w:szCs w:val="20"/>
              </w:rPr>
            </w:pPr>
            <w:r>
              <w:rPr>
                <w:rFonts w:ascii="楷体" w:hAnsi="楷体" w:eastAsia="楷体" w:cs="楷体"/>
                <w:spacing w:val="1"/>
                <w:sz w:val="20"/>
                <w:szCs w:val="20"/>
              </w:rPr>
              <w:t>薛万隆</w:t>
            </w:r>
          </w:p>
          <w:p w14:paraId="0A9A23B6">
            <w:pPr>
              <w:spacing w:before="57" w:line="360" w:lineRule="auto"/>
              <w:jc w:val="right"/>
              <w:outlineLvl w:val="9"/>
              <w:rPr>
                <w:rFonts w:ascii="楷体" w:hAnsi="楷体" w:eastAsia="楷体" w:cs="楷体"/>
                <w:sz w:val="20"/>
                <w:szCs w:val="20"/>
              </w:rPr>
            </w:pPr>
            <w:r>
              <w:rPr>
                <w:rFonts w:ascii="楷体" w:hAnsi="楷体" w:eastAsia="楷体" w:cs="楷体"/>
                <w:spacing w:val="3"/>
                <w:position w:val="1"/>
                <w:sz w:val="20"/>
                <w:szCs w:val="20"/>
              </w:rPr>
              <w:t>18709258523</w:t>
            </w:r>
          </w:p>
        </w:tc>
      </w:tr>
    </w:tbl>
    <w:p w14:paraId="6870F241">
      <w:pPr>
        <w:spacing w:line="360" w:lineRule="auto"/>
        <w:outlineLvl w:val="9"/>
        <w:rPr>
          <w:rFonts w:ascii="Arial"/>
          <w:sz w:val="2"/>
        </w:rPr>
      </w:pPr>
    </w:p>
    <w:tbl>
      <w:tblPr>
        <w:tblStyle w:val="13"/>
        <w:tblW w:w="4997"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625"/>
        <w:gridCol w:w="656"/>
        <w:gridCol w:w="386"/>
        <w:gridCol w:w="501"/>
        <w:gridCol w:w="403"/>
        <w:gridCol w:w="797"/>
        <w:gridCol w:w="942"/>
        <w:gridCol w:w="886"/>
        <w:gridCol w:w="1105"/>
        <w:gridCol w:w="875"/>
        <w:gridCol w:w="1159"/>
      </w:tblGrid>
      <w:tr w14:paraId="19700E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3" w:hRule="atLeast"/>
        </w:trPr>
        <w:tc>
          <w:tcPr>
            <w:tcW w:w="392" w:type="pct"/>
            <w:vMerge w:val="restart"/>
            <w:tcBorders>
              <w:bottom w:val="nil"/>
            </w:tcBorders>
            <w:vAlign w:val="top"/>
          </w:tcPr>
          <w:p w14:paraId="10B8C779">
            <w:pPr>
              <w:spacing w:line="360" w:lineRule="auto"/>
              <w:outlineLvl w:val="9"/>
              <w:rPr>
                <w:rFonts w:ascii="Arial"/>
                <w:sz w:val="21"/>
              </w:rPr>
            </w:pPr>
          </w:p>
        </w:tc>
        <w:tc>
          <w:tcPr>
            <w:tcW w:w="411" w:type="pct"/>
            <w:vMerge w:val="restart"/>
            <w:tcBorders>
              <w:bottom w:val="nil"/>
            </w:tcBorders>
            <w:vAlign w:val="top"/>
          </w:tcPr>
          <w:p w14:paraId="67610AA4">
            <w:pPr>
              <w:spacing w:line="360" w:lineRule="auto"/>
              <w:outlineLvl w:val="9"/>
              <w:rPr>
                <w:rFonts w:ascii="Arial"/>
                <w:sz w:val="21"/>
              </w:rPr>
            </w:pPr>
          </w:p>
        </w:tc>
        <w:tc>
          <w:tcPr>
            <w:tcW w:w="249" w:type="pct"/>
            <w:vAlign w:val="top"/>
          </w:tcPr>
          <w:p w14:paraId="13D4D97B">
            <w:pPr>
              <w:spacing w:before="222" w:line="360" w:lineRule="auto"/>
              <w:ind w:left="149"/>
              <w:outlineLvl w:val="9"/>
              <w:rPr>
                <w:rFonts w:ascii="楷体" w:hAnsi="楷体" w:eastAsia="楷体" w:cs="楷体"/>
                <w:sz w:val="20"/>
                <w:szCs w:val="20"/>
              </w:rPr>
            </w:pPr>
            <w:r>
              <w:rPr>
                <w:rFonts w:ascii="楷体" w:hAnsi="楷体" w:eastAsia="楷体" w:cs="楷体"/>
                <w:spacing w:val="-5"/>
                <w:position w:val="1"/>
                <w:sz w:val="20"/>
                <w:szCs w:val="20"/>
              </w:rPr>
              <w:t>12</w:t>
            </w:r>
          </w:p>
        </w:tc>
        <w:tc>
          <w:tcPr>
            <w:tcW w:w="555" w:type="pct"/>
            <w:gridSpan w:val="2"/>
            <w:vAlign w:val="top"/>
          </w:tcPr>
          <w:p w14:paraId="7A15E806">
            <w:pPr>
              <w:spacing w:before="222" w:line="360" w:lineRule="auto"/>
              <w:ind w:left="122"/>
              <w:outlineLvl w:val="9"/>
              <w:rPr>
                <w:rFonts w:ascii="楷体" w:hAnsi="楷体" w:eastAsia="楷体" w:cs="楷体"/>
                <w:sz w:val="20"/>
                <w:szCs w:val="20"/>
              </w:rPr>
            </w:pPr>
            <w:r>
              <w:rPr>
                <w:rFonts w:ascii="楷体" w:hAnsi="楷体" w:eastAsia="楷体" w:cs="楷体"/>
                <w:spacing w:val="6"/>
                <w:sz w:val="20"/>
                <w:szCs w:val="20"/>
              </w:rPr>
              <w:t>广发银行</w:t>
            </w:r>
          </w:p>
        </w:tc>
        <w:tc>
          <w:tcPr>
            <w:tcW w:w="469" w:type="pct"/>
            <w:vAlign w:val="top"/>
          </w:tcPr>
          <w:p w14:paraId="38F5B2B0">
            <w:pPr>
              <w:spacing w:before="221" w:line="360" w:lineRule="auto"/>
              <w:ind w:left="140"/>
              <w:outlineLvl w:val="9"/>
              <w:rPr>
                <w:rFonts w:ascii="楷体" w:hAnsi="楷体" w:eastAsia="楷体" w:cs="楷体"/>
                <w:sz w:val="20"/>
                <w:szCs w:val="20"/>
              </w:rPr>
            </w:pPr>
            <w:r>
              <w:rPr>
                <w:rFonts w:ascii="楷体" w:hAnsi="楷体" w:eastAsia="楷体" w:cs="楷体"/>
                <w:spacing w:val="7"/>
                <w:sz w:val="20"/>
                <w:szCs w:val="20"/>
              </w:rPr>
              <w:t>政采通</w:t>
            </w:r>
          </w:p>
        </w:tc>
        <w:tc>
          <w:tcPr>
            <w:tcW w:w="554" w:type="pct"/>
            <w:vAlign w:val="top"/>
          </w:tcPr>
          <w:p w14:paraId="2059D232">
            <w:pPr>
              <w:spacing w:before="66" w:line="360" w:lineRule="auto"/>
              <w:ind w:left="207"/>
              <w:outlineLvl w:val="9"/>
              <w:rPr>
                <w:rFonts w:ascii="楷体" w:hAnsi="楷体" w:eastAsia="楷体" w:cs="楷体"/>
                <w:sz w:val="20"/>
                <w:szCs w:val="20"/>
              </w:rPr>
            </w:pPr>
            <w:r>
              <w:rPr>
                <w:rFonts w:ascii="楷体" w:hAnsi="楷体" w:eastAsia="楷体" w:cs="楷体"/>
                <w:position w:val="1"/>
                <w:sz w:val="20"/>
                <w:szCs w:val="20"/>
              </w:rPr>
              <w:t>1000万</w:t>
            </w:r>
          </w:p>
          <w:p w14:paraId="6439C0AC">
            <w:pPr>
              <w:spacing w:before="69" w:line="360" w:lineRule="auto"/>
              <w:ind w:left="445"/>
              <w:outlineLvl w:val="9"/>
              <w:rPr>
                <w:rFonts w:ascii="楷体" w:hAnsi="楷体" w:eastAsia="楷体" w:cs="楷体"/>
                <w:sz w:val="20"/>
                <w:szCs w:val="20"/>
              </w:rPr>
            </w:pPr>
            <w:r>
              <w:rPr>
                <w:rFonts w:ascii="楷体" w:hAnsi="楷体" w:eastAsia="楷体" w:cs="楷体"/>
                <w:sz w:val="20"/>
                <w:szCs w:val="20"/>
              </w:rPr>
              <w:t>元</w:t>
            </w:r>
          </w:p>
        </w:tc>
        <w:tc>
          <w:tcPr>
            <w:tcW w:w="521" w:type="pct"/>
            <w:vAlign w:val="top"/>
          </w:tcPr>
          <w:p w14:paraId="4637F641">
            <w:pPr>
              <w:spacing w:before="221" w:line="360" w:lineRule="auto"/>
              <w:ind w:left="332"/>
              <w:outlineLvl w:val="9"/>
              <w:rPr>
                <w:rFonts w:ascii="楷体" w:hAnsi="楷体" w:eastAsia="楷体" w:cs="楷体"/>
                <w:sz w:val="20"/>
                <w:szCs w:val="20"/>
              </w:rPr>
            </w:pPr>
            <w:r>
              <w:rPr>
                <w:rFonts w:ascii="楷体" w:hAnsi="楷体" w:eastAsia="楷体" w:cs="楷体"/>
                <w:spacing w:val="-8"/>
                <w:sz w:val="20"/>
                <w:szCs w:val="20"/>
              </w:rPr>
              <w:t>1年</w:t>
            </w:r>
          </w:p>
        </w:tc>
        <w:tc>
          <w:tcPr>
            <w:tcW w:w="650" w:type="pct"/>
            <w:vAlign w:val="top"/>
          </w:tcPr>
          <w:p w14:paraId="27FC29D5">
            <w:pPr>
              <w:spacing w:before="222" w:line="360" w:lineRule="auto"/>
              <w:ind w:left="263"/>
              <w:outlineLvl w:val="9"/>
              <w:rPr>
                <w:rFonts w:ascii="楷体" w:hAnsi="楷体" w:eastAsia="楷体" w:cs="楷体"/>
                <w:sz w:val="20"/>
                <w:szCs w:val="20"/>
              </w:rPr>
            </w:pPr>
            <w:r>
              <w:rPr>
                <w:rFonts w:ascii="楷体" w:hAnsi="楷体" w:eastAsia="楷体" w:cs="楷体"/>
                <w:spacing w:val="4"/>
                <w:position w:val="1"/>
                <w:sz w:val="20"/>
                <w:szCs w:val="20"/>
              </w:rPr>
              <w:t>3.45%起</w:t>
            </w:r>
          </w:p>
        </w:tc>
        <w:tc>
          <w:tcPr>
            <w:tcW w:w="515" w:type="pct"/>
            <w:vAlign w:val="top"/>
          </w:tcPr>
          <w:p w14:paraId="1A9E0BC5">
            <w:pPr>
              <w:spacing w:before="222" w:line="360" w:lineRule="auto"/>
              <w:ind w:left="158"/>
              <w:outlineLvl w:val="9"/>
              <w:rPr>
                <w:rFonts w:ascii="楷体" w:hAnsi="楷体" w:eastAsia="楷体" w:cs="楷体"/>
                <w:sz w:val="20"/>
                <w:szCs w:val="20"/>
              </w:rPr>
            </w:pPr>
            <w:r>
              <w:rPr>
                <w:rFonts w:ascii="楷体" w:hAnsi="楷体" w:eastAsia="楷体" w:cs="楷体"/>
                <w:spacing w:val="-1"/>
                <w:sz w:val="20"/>
                <w:szCs w:val="20"/>
              </w:rPr>
              <w:t>24小时</w:t>
            </w:r>
          </w:p>
        </w:tc>
        <w:tc>
          <w:tcPr>
            <w:tcW w:w="679" w:type="pct"/>
            <w:vAlign w:val="top"/>
          </w:tcPr>
          <w:p w14:paraId="2D8B32EF">
            <w:pPr>
              <w:spacing w:before="65" w:line="360" w:lineRule="auto"/>
              <w:ind w:left="419"/>
              <w:outlineLvl w:val="9"/>
              <w:rPr>
                <w:rFonts w:ascii="楷体" w:hAnsi="楷体" w:eastAsia="楷体" w:cs="楷体"/>
                <w:sz w:val="20"/>
                <w:szCs w:val="20"/>
              </w:rPr>
            </w:pPr>
            <w:r>
              <w:rPr>
                <w:rFonts w:ascii="楷体" w:hAnsi="楷体" w:eastAsia="楷体" w:cs="楷体"/>
                <w:spacing w:val="4"/>
                <w:sz w:val="20"/>
                <w:szCs w:val="20"/>
              </w:rPr>
              <w:t>李思嘉</w:t>
            </w:r>
          </w:p>
          <w:p w14:paraId="48443A98">
            <w:pPr>
              <w:spacing w:before="59" w:line="360" w:lineRule="auto"/>
              <w:jc w:val="right"/>
              <w:outlineLvl w:val="9"/>
              <w:rPr>
                <w:rFonts w:ascii="楷体" w:hAnsi="楷体" w:eastAsia="楷体" w:cs="楷体"/>
                <w:sz w:val="20"/>
                <w:szCs w:val="20"/>
              </w:rPr>
            </w:pPr>
            <w:r>
              <w:rPr>
                <w:rFonts w:ascii="楷体" w:hAnsi="楷体" w:eastAsia="楷体" w:cs="楷体"/>
                <w:spacing w:val="3"/>
                <w:sz w:val="20"/>
                <w:szCs w:val="20"/>
              </w:rPr>
              <w:t>15191820101</w:t>
            </w:r>
          </w:p>
        </w:tc>
      </w:tr>
      <w:tr w14:paraId="6865B2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392" w:type="pct"/>
            <w:vMerge w:val="continue"/>
            <w:tcBorders>
              <w:top w:val="nil"/>
              <w:bottom w:val="nil"/>
            </w:tcBorders>
            <w:vAlign w:val="top"/>
          </w:tcPr>
          <w:p w14:paraId="1F7E90DF">
            <w:pPr>
              <w:spacing w:line="360" w:lineRule="auto"/>
              <w:outlineLvl w:val="9"/>
              <w:rPr>
                <w:rFonts w:ascii="Arial"/>
                <w:sz w:val="21"/>
              </w:rPr>
            </w:pPr>
          </w:p>
        </w:tc>
        <w:tc>
          <w:tcPr>
            <w:tcW w:w="411" w:type="pct"/>
            <w:vMerge w:val="continue"/>
            <w:tcBorders>
              <w:top w:val="nil"/>
              <w:bottom w:val="nil"/>
            </w:tcBorders>
            <w:vAlign w:val="top"/>
          </w:tcPr>
          <w:p w14:paraId="3D108F3E">
            <w:pPr>
              <w:spacing w:line="360" w:lineRule="auto"/>
              <w:outlineLvl w:val="9"/>
              <w:rPr>
                <w:rFonts w:ascii="Arial"/>
                <w:sz w:val="21"/>
              </w:rPr>
            </w:pPr>
          </w:p>
        </w:tc>
        <w:tc>
          <w:tcPr>
            <w:tcW w:w="249" w:type="pct"/>
            <w:vAlign w:val="top"/>
          </w:tcPr>
          <w:p w14:paraId="1F324BAA">
            <w:pPr>
              <w:spacing w:before="207" w:line="360" w:lineRule="auto"/>
              <w:ind w:left="149"/>
              <w:outlineLvl w:val="9"/>
              <w:rPr>
                <w:rFonts w:ascii="楷体" w:hAnsi="楷体" w:eastAsia="楷体" w:cs="楷体"/>
                <w:sz w:val="20"/>
                <w:szCs w:val="20"/>
              </w:rPr>
            </w:pPr>
            <w:r>
              <w:rPr>
                <w:rFonts w:ascii="楷体" w:hAnsi="楷体" w:eastAsia="楷体" w:cs="楷体"/>
                <w:spacing w:val="-5"/>
                <w:position w:val="1"/>
                <w:sz w:val="20"/>
                <w:szCs w:val="20"/>
              </w:rPr>
              <w:t>13</w:t>
            </w:r>
          </w:p>
        </w:tc>
        <w:tc>
          <w:tcPr>
            <w:tcW w:w="555" w:type="pct"/>
            <w:gridSpan w:val="2"/>
            <w:vAlign w:val="top"/>
          </w:tcPr>
          <w:p w14:paraId="7007D658">
            <w:pPr>
              <w:spacing w:before="207" w:line="360" w:lineRule="auto"/>
              <w:ind w:left="121"/>
              <w:outlineLvl w:val="9"/>
              <w:rPr>
                <w:rFonts w:ascii="楷体" w:hAnsi="楷体" w:eastAsia="楷体" w:cs="楷体"/>
                <w:sz w:val="20"/>
                <w:szCs w:val="20"/>
              </w:rPr>
            </w:pPr>
            <w:r>
              <w:rPr>
                <w:rFonts w:ascii="楷体" w:hAnsi="楷体" w:eastAsia="楷体" w:cs="楷体"/>
                <w:spacing w:val="6"/>
                <w:sz w:val="20"/>
                <w:szCs w:val="20"/>
              </w:rPr>
              <w:t>建设银行</w:t>
            </w:r>
          </w:p>
        </w:tc>
        <w:tc>
          <w:tcPr>
            <w:tcW w:w="469" w:type="pct"/>
            <w:vAlign w:val="top"/>
          </w:tcPr>
          <w:p w14:paraId="423BDC41">
            <w:pPr>
              <w:spacing w:before="207" w:line="360" w:lineRule="auto"/>
              <w:ind w:left="171"/>
              <w:outlineLvl w:val="9"/>
              <w:rPr>
                <w:rFonts w:ascii="楷体" w:hAnsi="楷体" w:eastAsia="楷体" w:cs="楷体"/>
                <w:sz w:val="20"/>
                <w:szCs w:val="20"/>
              </w:rPr>
            </w:pPr>
            <w:r>
              <w:rPr>
                <w:rFonts w:ascii="楷体" w:hAnsi="楷体" w:eastAsia="楷体" w:cs="楷体"/>
                <w:spacing w:val="1"/>
                <w:position w:val="1"/>
                <w:sz w:val="20"/>
                <w:szCs w:val="20"/>
              </w:rPr>
              <w:t>E政通</w:t>
            </w:r>
          </w:p>
        </w:tc>
        <w:tc>
          <w:tcPr>
            <w:tcW w:w="554" w:type="pct"/>
            <w:vAlign w:val="top"/>
          </w:tcPr>
          <w:p w14:paraId="4567D6A0">
            <w:pPr>
              <w:spacing w:before="51" w:line="360" w:lineRule="auto"/>
              <w:ind w:left="207"/>
              <w:outlineLvl w:val="9"/>
              <w:rPr>
                <w:rFonts w:ascii="楷体" w:hAnsi="楷体" w:eastAsia="楷体" w:cs="楷体"/>
                <w:sz w:val="20"/>
                <w:szCs w:val="20"/>
              </w:rPr>
            </w:pPr>
            <w:r>
              <w:rPr>
                <w:rFonts w:ascii="楷体" w:hAnsi="楷体" w:eastAsia="楷体" w:cs="楷体"/>
                <w:position w:val="1"/>
                <w:sz w:val="20"/>
                <w:szCs w:val="20"/>
              </w:rPr>
              <w:t>1000万</w:t>
            </w:r>
          </w:p>
          <w:p w14:paraId="15219236">
            <w:pPr>
              <w:spacing w:before="69" w:line="360" w:lineRule="auto"/>
              <w:ind w:left="445"/>
              <w:outlineLvl w:val="9"/>
              <w:rPr>
                <w:rFonts w:ascii="楷体" w:hAnsi="楷体" w:eastAsia="楷体" w:cs="楷体"/>
                <w:sz w:val="20"/>
                <w:szCs w:val="20"/>
              </w:rPr>
            </w:pPr>
            <w:r>
              <w:rPr>
                <w:rFonts w:ascii="楷体" w:hAnsi="楷体" w:eastAsia="楷体" w:cs="楷体"/>
                <w:sz w:val="20"/>
                <w:szCs w:val="20"/>
              </w:rPr>
              <w:t>元</w:t>
            </w:r>
          </w:p>
        </w:tc>
        <w:tc>
          <w:tcPr>
            <w:tcW w:w="521" w:type="pct"/>
            <w:vAlign w:val="top"/>
          </w:tcPr>
          <w:p w14:paraId="782D9125">
            <w:pPr>
              <w:spacing w:before="207" w:line="360" w:lineRule="auto"/>
              <w:ind w:left="332"/>
              <w:outlineLvl w:val="9"/>
              <w:rPr>
                <w:rFonts w:ascii="楷体" w:hAnsi="楷体" w:eastAsia="楷体" w:cs="楷体"/>
                <w:sz w:val="20"/>
                <w:szCs w:val="20"/>
              </w:rPr>
            </w:pPr>
            <w:r>
              <w:rPr>
                <w:rFonts w:ascii="楷体" w:hAnsi="楷体" w:eastAsia="楷体" w:cs="楷体"/>
                <w:spacing w:val="-8"/>
                <w:sz w:val="20"/>
                <w:szCs w:val="20"/>
              </w:rPr>
              <w:t>1年</w:t>
            </w:r>
          </w:p>
        </w:tc>
        <w:tc>
          <w:tcPr>
            <w:tcW w:w="650" w:type="pct"/>
            <w:vAlign w:val="top"/>
          </w:tcPr>
          <w:p w14:paraId="4F9FF77D">
            <w:pPr>
              <w:spacing w:before="207" w:line="360" w:lineRule="auto"/>
              <w:ind w:left="419"/>
              <w:outlineLvl w:val="9"/>
              <w:rPr>
                <w:rFonts w:ascii="楷体" w:hAnsi="楷体" w:eastAsia="楷体" w:cs="楷体"/>
                <w:sz w:val="20"/>
                <w:szCs w:val="20"/>
              </w:rPr>
            </w:pPr>
            <w:r>
              <w:rPr>
                <w:rFonts w:ascii="楷体" w:hAnsi="楷体" w:eastAsia="楷体" w:cs="楷体"/>
                <w:spacing w:val="3"/>
                <w:position w:val="1"/>
                <w:sz w:val="20"/>
                <w:szCs w:val="20"/>
              </w:rPr>
              <w:t>3.2%</w:t>
            </w:r>
          </w:p>
        </w:tc>
        <w:tc>
          <w:tcPr>
            <w:tcW w:w="515" w:type="pct"/>
            <w:vAlign w:val="top"/>
          </w:tcPr>
          <w:p w14:paraId="2E49DF13">
            <w:pPr>
              <w:spacing w:before="207" w:line="360" w:lineRule="auto"/>
              <w:ind w:left="160"/>
              <w:outlineLvl w:val="9"/>
              <w:rPr>
                <w:rFonts w:ascii="楷体" w:hAnsi="楷体" w:eastAsia="楷体" w:cs="楷体"/>
                <w:sz w:val="20"/>
                <w:szCs w:val="20"/>
              </w:rPr>
            </w:pPr>
            <w:r>
              <w:rPr>
                <w:rFonts w:ascii="楷体" w:hAnsi="楷体" w:eastAsia="楷体" w:cs="楷体"/>
                <w:spacing w:val="-2"/>
                <w:sz w:val="20"/>
                <w:szCs w:val="20"/>
              </w:rPr>
              <w:t>72小时</w:t>
            </w:r>
          </w:p>
        </w:tc>
        <w:tc>
          <w:tcPr>
            <w:tcW w:w="679" w:type="pct"/>
            <w:vAlign w:val="top"/>
          </w:tcPr>
          <w:p w14:paraId="63A7C8B7">
            <w:pPr>
              <w:spacing w:before="51" w:line="360" w:lineRule="auto"/>
              <w:ind w:left="478"/>
              <w:outlineLvl w:val="9"/>
              <w:rPr>
                <w:rFonts w:ascii="楷体" w:hAnsi="楷体" w:eastAsia="楷体" w:cs="楷体"/>
                <w:sz w:val="20"/>
                <w:szCs w:val="20"/>
              </w:rPr>
            </w:pPr>
            <w:r>
              <w:rPr>
                <w:rFonts w:ascii="楷体" w:hAnsi="楷体" w:eastAsia="楷体" w:cs="楷体"/>
                <w:spacing w:val="-7"/>
                <w:sz w:val="20"/>
                <w:szCs w:val="20"/>
              </w:rPr>
              <w:t>张宇</w:t>
            </w:r>
          </w:p>
          <w:p w14:paraId="369B86AD">
            <w:pPr>
              <w:spacing w:before="58" w:line="360" w:lineRule="auto"/>
              <w:jc w:val="right"/>
              <w:outlineLvl w:val="9"/>
              <w:rPr>
                <w:rFonts w:ascii="楷体" w:hAnsi="楷体" w:eastAsia="楷体" w:cs="楷体"/>
                <w:sz w:val="20"/>
                <w:szCs w:val="20"/>
              </w:rPr>
            </w:pPr>
            <w:r>
              <w:rPr>
                <w:rFonts w:ascii="楷体" w:hAnsi="楷体" w:eastAsia="楷体" w:cs="楷体"/>
                <w:spacing w:val="3"/>
                <w:sz w:val="20"/>
                <w:szCs w:val="20"/>
              </w:rPr>
              <w:t>15929397838</w:t>
            </w:r>
          </w:p>
        </w:tc>
      </w:tr>
      <w:tr w14:paraId="666FFB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0" w:hRule="atLeast"/>
        </w:trPr>
        <w:tc>
          <w:tcPr>
            <w:tcW w:w="392" w:type="pct"/>
            <w:vMerge w:val="continue"/>
            <w:tcBorders>
              <w:top w:val="nil"/>
            </w:tcBorders>
            <w:vAlign w:val="top"/>
          </w:tcPr>
          <w:p w14:paraId="7AF0FB5F">
            <w:pPr>
              <w:spacing w:line="360" w:lineRule="auto"/>
              <w:outlineLvl w:val="9"/>
              <w:rPr>
                <w:rFonts w:ascii="Arial"/>
                <w:sz w:val="21"/>
              </w:rPr>
            </w:pPr>
          </w:p>
        </w:tc>
        <w:tc>
          <w:tcPr>
            <w:tcW w:w="411" w:type="pct"/>
            <w:vMerge w:val="continue"/>
            <w:tcBorders>
              <w:top w:val="nil"/>
            </w:tcBorders>
            <w:vAlign w:val="top"/>
          </w:tcPr>
          <w:p w14:paraId="7F13050D">
            <w:pPr>
              <w:spacing w:line="360" w:lineRule="auto"/>
              <w:outlineLvl w:val="9"/>
              <w:rPr>
                <w:rFonts w:ascii="Arial"/>
                <w:sz w:val="21"/>
              </w:rPr>
            </w:pPr>
          </w:p>
        </w:tc>
        <w:tc>
          <w:tcPr>
            <w:tcW w:w="4195" w:type="pct"/>
            <w:gridSpan w:val="9"/>
            <w:vAlign w:val="top"/>
          </w:tcPr>
          <w:p w14:paraId="429F2045">
            <w:pPr>
              <w:spacing w:before="54" w:line="360" w:lineRule="auto"/>
              <w:ind w:left="124" w:right="162" w:hanging="17"/>
              <w:outlineLvl w:val="9"/>
              <w:rPr>
                <w:rFonts w:ascii="楷体" w:hAnsi="楷体" w:eastAsia="楷体" w:cs="楷体"/>
                <w:sz w:val="20"/>
                <w:szCs w:val="20"/>
              </w:rPr>
            </w:pPr>
            <w:r>
              <w:rPr>
                <w:rFonts w:ascii="楷体" w:hAnsi="楷体" w:eastAsia="楷体" w:cs="楷体"/>
                <w:spacing w:val="9"/>
                <w:sz w:val="20"/>
                <w:szCs w:val="20"/>
              </w:rPr>
              <w:t>备注：银行排名不分先后。如产品额度、期限、利率等内容发</w:t>
            </w:r>
            <w:r>
              <w:rPr>
                <w:rFonts w:ascii="楷体" w:hAnsi="楷体" w:eastAsia="楷体" w:cs="楷体"/>
                <w:spacing w:val="8"/>
                <w:sz w:val="20"/>
                <w:szCs w:val="20"/>
              </w:rPr>
              <w:t>生改变，以银行解释为</w:t>
            </w:r>
            <w:r>
              <w:rPr>
                <w:rFonts w:ascii="楷体" w:hAnsi="楷体" w:eastAsia="楷体" w:cs="楷体"/>
                <w:spacing w:val="-6"/>
                <w:sz w:val="20"/>
                <w:szCs w:val="20"/>
              </w:rPr>
              <w:t>准。</w:t>
            </w:r>
          </w:p>
        </w:tc>
      </w:tr>
      <w:tr w14:paraId="58FFE8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13" w:hRule="atLeast"/>
        </w:trPr>
        <w:tc>
          <w:tcPr>
            <w:tcW w:w="392" w:type="pct"/>
            <w:vAlign w:val="top"/>
          </w:tcPr>
          <w:p w14:paraId="0AA75909">
            <w:pPr>
              <w:spacing w:line="360" w:lineRule="auto"/>
              <w:outlineLvl w:val="9"/>
              <w:rPr>
                <w:rFonts w:ascii="Arial"/>
                <w:sz w:val="21"/>
              </w:rPr>
            </w:pPr>
          </w:p>
          <w:p w14:paraId="123D8DB1">
            <w:pPr>
              <w:spacing w:line="360" w:lineRule="auto"/>
              <w:outlineLvl w:val="9"/>
              <w:rPr>
                <w:rFonts w:ascii="Arial"/>
                <w:sz w:val="21"/>
              </w:rPr>
            </w:pPr>
          </w:p>
          <w:p w14:paraId="7581D34C">
            <w:pPr>
              <w:spacing w:line="360" w:lineRule="auto"/>
              <w:outlineLvl w:val="9"/>
              <w:rPr>
                <w:rFonts w:ascii="Arial"/>
                <w:sz w:val="21"/>
              </w:rPr>
            </w:pPr>
          </w:p>
          <w:p w14:paraId="65132846">
            <w:pPr>
              <w:spacing w:line="360" w:lineRule="auto"/>
              <w:outlineLvl w:val="9"/>
              <w:rPr>
                <w:rFonts w:ascii="Arial"/>
                <w:sz w:val="21"/>
              </w:rPr>
            </w:pPr>
          </w:p>
          <w:p w14:paraId="0D7B9745">
            <w:pPr>
              <w:spacing w:line="360" w:lineRule="auto"/>
              <w:outlineLvl w:val="9"/>
              <w:rPr>
                <w:rFonts w:ascii="Arial"/>
                <w:sz w:val="21"/>
              </w:rPr>
            </w:pPr>
          </w:p>
          <w:p w14:paraId="7C1EFABE">
            <w:pPr>
              <w:spacing w:line="360" w:lineRule="auto"/>
              <w:outlineLvl w:val="9"/>
              <w:rPr>
                <w:rFonts w:ascii="Arial"/>
                <w:sz w:val="21"/>
              </w:rPr>
            </w:pPr>
          </w:p>
          <w:p w14:paraId="1B620254">
            <w:pPr>
              <w:spacing w:line="360" w:lineRule="auto"/>
              <w:outlineLvl w:val="9"/>
              <w:rPr>
                <w:rFonts w:ascii="Arial"/>
                <w:sz w:val="21"/>
              </w:rPr>
            </w:pPr>
          </w:p>
          <w:p w14:paraId="11047CEA">
            <w:pPr>
              <w:spacing w:line="360" w:lineRule="auto"/>
              <w:outlineLvl w:val="9"/>
              <w:rPr>
                <w:rFonts w:ascii="Arial"/>
                <w:sz w:val="21"/>
              </w:rPr>
            </w:pPr>
          </w:p>
          <w:p w14:paraId="35D48F37">
            <w:pPr>
              <w:spacing w:line="360" w:lineRule="auto"/>
              <w:outlineLvl w:val="9"/>
              <w:rPr>
                <w:rFonts w:ascii="Arial"/>
                <w:sz w:val="21"/>
              </w:rPr>
            </w:pPr>
          </w:p>
          <w:p w14:paraId="43DD049C">
            <w:pPr>
              <w:spacing w:line="360" w:lineRule="auto"/>
              <w:outlineLvl w:val="9"/>
              <w:rPr>
                <w:rFonts w:ascii="Arial"/>
                <w:sz w:val="21"/>
              </w:rPr>
            </w:pPr>
          </w:p>
          <w:p w14:paraId="3C75CFC6">
            <w:pPr>
              <w:spacing w:line="360" w:lineRule="auto"/>
              <w:outlineLvl w:val="9"/>
              <w:rPr>
                <w:rFonts w:ascii="Arial"/>
                <w:sz w:val="21"/>
              </w:rPr>
            </w:pPr>
          </w:p>
          <w:p w14:paraId="6251EA1E">
            <w:pPr>
              <w:spacing w:line="360" w:lineRule="auto"/>
              <w:outlineLvl w:val="9"/>
              <w:rPr>
                <w:rFonts w:ascii="Arial"/>
                <w:sz w:val="21"/>
              </w:rPr>
            </w:pPr>
          </w:p>
          <w:p w14:paraId="37883939">
            <w:pPr>
              <w:spacing w:line="360" w:lineRule="auto"/>
              <w:outlineLvl w:val="9"/>
              <w:rPr>
                <w:rFonts w:ascii="Arial"/>
                <w:sz w:val="21"/>
              </w:rPr>
            </w:pPr>
          </w:p>
          <w:p w14:paraId="402200B7">
            <w:pPr>
              <w:spacing w:line="360" w:lineRule="auto"/>
              <w:outlineLvl w:val="9"/>
              <w:rPr>
                <w:rFonts w:ascii="Arial"/>
                <w:sz w:val="21"/>
              </w:rPr>
            </w:pPr>
          </w:p>
          <w:p w14:paraId="41F78337">
            <w:pPr>
              <w:pStyle w:val="14"/>
              <w:spacing w:before="78" w:line="360" w:lineRule="auto"/>
              <w:ind w:left="268"/>
              <w:outlineLvl w:val="9"/>
              <w:rPr>
                <w:rFonts w:hint="eastAsia" w:eastAsia="宋体"/>
                <w:lang w:eastAsia="zh-CN"/>
              </w:rPr>
            </w:pPr>
            <w:r>
              <w:rPr>
                <w:spacing w:val="-8"/>
              </w:rPr>
              <w:t>3</w:t>
            </w:r>
            <w:r>
              <w:rPr>
                <w:rFonts w:hint="eastAsia"/>
                <w:spacing w:val="-8"/>
                <w:lang w:val="en-US" w:eastAsia="zh-CN"/>
              </w:rPr>
              <w:t>2</w:t>
            </w:r>
          </w:p>
        </w:tc>
        <w:tc>
          <w:tcPr>
            <w:tcW w:w="978" w:type="pct"/>
            <w:gridSpan w:val="3"/>
            <w:vAlign w:val="top"/>
          </w:tcPr>
          <w:p w14:paraId="27DF4EB1">
            <w:pPr>
              <w:spacing w:line="360" w:lineRule="auto"/>
              <w:outlineLvl w:val="9"/>
              <w:rPr>
                <w:rFonts w:ascii="Arial"/>
                <w:sz w:val="21"/>
              </w:rPr>
            </w:pPr>
          </w:p>
          <w:p w14:paraId="11EAD9D4">
            <w:pPr>
              <w:spacing w:line="360" w:lineRule="auto"/>
              <w:outlineLvl w:val="9"/>
              <w:rPr>
                <w:rFonts w:ascii="Arial"/>
                <w:sz w:val="21"/>
              </w:rPr>
            </w:pPr>
          </w:p>
          <w:p w14:paraId="5379F5CD">
            <w:pPr>
              <w:spacing w:line="360" w:lineRule="auto"/>
              <w:outlineLvl w:val="9"/>
              <w:rPr>
                <w:rFonts w:ascii="Arial"/>
                <w:sz w:val="21"/>
              </w:rPr>
            </w:pPr>
          </w:p>
          <w:p w14:paraId="750687CF">
            <w:pPr>
              <w:spacing w:line="360" w:lineRule="auto"/>
              <w:outlineLvl w:val="9"/>
              <w:rPr>
                <w:rFonts w:ascii="Arial"/>
                <w:sz w:val="21"/>
              </w:rPr>
            </w:pPr>
          </w:p>
          <w:p w14:paraId="789F1D88">
            <w:pPr>
              <w:spacing w:line="360" w:lineRule="auto"/>
              <w:outlineLvl w:val="9"/>
              <w:rPr>
                <w:rFonts w:ascii="Arial"/>
                <w:sz w:val="21"/>
              </w:rPr>
            </w:pPr>
          </w:p>
          <w:p w14:paraId="31EFD874">
            <w:pPr>
              <w:spacing w:line="360" w:lineRule="auto"/>
              <w:outlineLvl w:val="9"/>
              <w:rPr>
                <w:rFonts w:ascii="Arial"/>
                <w:sz w:val="21"/>
              </w:rPr>
            </w:pPr>
          </w:p>
          <w:p w14:paraId="75FC6975">
            <w:pPr>
              <w:spacing w:line="360" w:lineRule="auto"/>
              <w:outlineLvl w:val="9"/>
              <w:rPr>
                <w:rFonts w:ascii="Arial"/>
                <w:sz w:val="21"/>
              </w:rPr>
            </w:pPr>
          </w:p>
          <w:p w14:paraId="59B32B0F">
            <w:pPr>
              <w:spacing w:line="360" w:lineRule="auto"/>
              <w:outlineLvl w:val="9"/>
              <w:rPr>
                <w:rFonts w:ascii="Arial"/>
                <w:sz w:val="21"/>
              </w:rPr>
            </w:pPr>
          </w:p>
          <w:p w14:paraId="46EBA290">
            <w:pPr>
              <w:spacing w:line="360" w:lineRule="auto"/>
              <w:outlineLvl w:val="9"/>
              <w:rPr>
                <w:rFonts w:ascii="Arial"/>
                <w:sz w:val="21"/>
              </w:rPr>
            </w:pPr>
          </w:p>
          <w:p w14:paraId="2C1515CE">
            <w:pPr>
              <w:spacing w:line="360" w:lineRule="auto"/>
              <w:outlineLvl w:val="9"/>
              <w:rPr>
                <w:rFonts w:ascii="Arial"/>
                <w:sz w:val="21"/>
              </w:rPr>
            </w:pPr>
          </w:p>
          <w:p w14:paraId="17831DF8">
            <w:pPr>
              <w:spacing w:line="360" w:lineRule="auto"/>
              <w:outlineLvl w:val="9"/>
              <w:rPr>
                <w:rFonts w:ascii="Arial"/>
                <w:sz w:val="21"/>
              </w:rPr>
            </w:pPr>
          </w:p>
          <w:p w14:paraId="476021AC">
            <w:pPr>
              <w:spacing w:line="360" w:lineRule="auto"/>
              <w:outlineLvl w:val="9"/>
              <w:rPr>
                <w:rFonts w:ascii="Arial"/>
                <w:sz w:val="21"/>
              </w:rPr>
            </w:pPr>
          </w:p>
          <w:p w14:paraId="5E8F0404">
            <w:pPr>
              <w:spacing w:line="360" w:lineRule="auto"/>
              <w:outlineLvl w:val="9"/>
              <w:rPr>
                <w:rFonts w:ascii="Arial"/>
                <w:sz w:val="21"/>
              </w:rPr>
            </w:pPr>
          </w:p>
          <w:p w14:paraId="09346720">
            <w:pPr>
              <w:spacing w:line="360" w:lineRule="auto"/>
              <w:outlineLvl w:val="9"/>
              <w:rPr>
                <w:rFonts w:ascii="Arial"/>
                <w:sz w:val="21"/>
              </w:rPr>
            </w:pPr>
          </w:p>
          <w:p w14:paraId="3F6C796F">
            <w:pPr>
              <w:pStyle w:val="14"/>
              <w:spacing w:before="78" w:line="360" w:lineRule="auto"/>
              <w:ind w:left="126" w:right="105" w:hanging="14"/>
              <w:outlineLvl w:val="9"/>
            </w:pPr>
            <w:r>
              <w:rPr>
                <w:spacing w:val="35"/>
              </w:rPr>
              <w:t>采购代理服务</w:t>
            </w:r>
            <w:r>
              <w:t>费</w:t>
            </w:r>
          </w:p>
        </w:tc>
        <w:tc>
          <w:tcPr>
            <w:tcW w:w="3628" w:type="pct"/>
            <w:gridSpan w:val="7"/>
            <w:vAlign w:val="top"/>
          </w:tcPr>
          <w:p w14:paraId="24599801">
            <w:pPr>
              <w:pStyle w:val="14"/>
              <w:spacing w:before="116" w:line="360" w:lineRule="auto"/>
              <w:ind w:left="128" w:right="107" w:firstLine="29"/>
              <w:outlineLvl w:val="9"/>
            </w:pPr>
            <w:r>
              <w:rPr>
                <w:spacing w:val="-5"/>
              </w:rPr>
              <w:t>(1)采购代理服务费的收取参见国家计委颁布的《采</w:t>
            </w:r>
            <w:r>
              <w:rPr>
                <w:spacing w:val="-6"/>
              </w:rPr>
              <w:t>购代理服务收</w:t>
            </w:r>
            <w:r>
              <w:rPr>
                <w:spacing w:val="6"/>
              </w:rPr>
              <w:t>费管理暂行办法》（计价格[2002]1980号）和（发改办价格</w:t>
            </w:r>
          </w:p>
          <w:p w14:paraId="5AAD77FF">
            <w:pPr>
              <w:pStyle w:val="14"/>
              <w:spacing w:before="184" w:line="360" w:lineRule="auto"/>
              <w:ind w:left="118" w:right="107" w:firstLine="34"/>
              <w:outlineLvl w:val="9"/>
            </w:pPr>
            <w:r>
              <w:rPr>
                <w:spacing w:val="2"/>
              </w:rPr>
              <w:t>[2011]534号）中规定的差额定律累进法计算,向成交供应商收</w:t>
            </w:r>
            <w:r>
              <w:rPr>
                <w:spacing w:val="-7"/>
              </w:rPr>
              <w:t>取。</w:t>
            </w:r>
          </w:p>
          <w:p w14:paraId="33FA8642">
            <w:pPr>
              <w:pStyle w:val="14"/>
              <w:spacing w:before="180" w:line="360" w:lineRule="auto"/>
              <w:ind w:left="114" w:right="107" w:firstLine="43"/>
              <w:outlineLvl w:val="9"/>
            </w:pPr>
            <w:r>
              <w:rPr>
                <w:spacing w:val="-5"/>
              </w:rPr>
              <w:t>(2)支付方式：成交供应商应在领取通知书的同时，</w:t>
            </w:r>
            <w:r>
              <w:rPr>
                <w:spacing w:val="-6"/>
              </w:rPr>
              <w:t>向陕西中正鑫</w:t>
            </w:r>
            <w:r>
              <w:rPr>
                <w:spacing w:val="-1"/>
              </w:rPr>
              <w:t>泰工程管理咨询有限公司交纳本项目采购代理服务费。</w:t>
            </w:r>
          </w:p>
          <w:p w14:paraId="0E465E08">
            <w:pPr>
              <w:pStyle w:val="14"/>
              <w:spacing w:before="183" w:line="360" w:lineRule="auto"/>
              <w:ind w:left="126"/>
              <w:outlineLvl w:val="9"/>
            </w:pPr>
            <w:r>
              <w:rPr>
                <w:spacing w:val="-1"/>
              </w:rPr>
              <w:t>（3）采购代理服务费按差额定率累进法计算：</w:t>
            </w:r>
          </w:p>
          <w:p w14:paraId="273F79B4">
            <w:pPr>
              <w:spacing w:line="360" w:lineRule="auto"/>
              <w:outlineLvl w:val="9"/>
            </w:pPr>
          </w:p>
          <w:tbl>
            <w:tblPr>
              <w:tblStyle w:val="13"/>
              <w:tblW w:w="6156" w:type="dxa"/>
              <w:tblInd w:w="39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2052"/>
              <w:gridCol w:w="1213"/>
              <w:gridCol w:w="1443"/>
              <w:gridCol w:w="1448"/>
            </w:tblGrid>
            <w:tr w14:paraId="768886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5" w:hRule="atLeast"/>
              </w:trPr>
              <w:tc>
                <w:tcPr>
                  <w:tcW w:w="2052" w:type="dxa"/>
                  <w:vAlign w:val="top"/>
                </w:tcPr>
                <w:p w14:paraId="7E4B19FA">
                  <w:pPr>
                    <w:pStyle w:val="14"/>
                    <w:spacing w:before="121" w:line="360" w:lineRule="auto"/>
                    <w:ind w:left="139" w:right="39" w:hanging="22"/>
                    <w:outlineLvl w:val="9"/>
                  </w:pPr>
                  <w:r>
                    <w:rPr>
                      <w:spacing w:val="17"/>
                    </w:rPr>
                    <w:t>服务类型/费率/</w:t>
                  </w:r>
                  <w:r>
                    <w:rPr>
                      <w:spacing w:val="-7"/>
                    </w:rPr>
                    <w:t>中标金额（万元）</w:t>
                  </w:r>
                </w:p>
              </w:tc>
              <w:tc>
                <w:tcPr>
                  <w:tcW w:w="1213" w:type="dxa"/>
                  <w:vAlign w:val="top"/>
                </w:tcPr>
                <w:p w14:paraId="1A55B9BB">
                  <w:pPr>
                    <w:spacing w:line="360" w:lineRule="auto"/>
                    <w:outlineLvl w:val="9"/>
                    <w:rPr>
                      <w:rFonts w:ascii="Arial"/>
                      <w:sz w:val="21"/>
                    </w:rPr>
                  </w:pPr>
                </w:p>
                <w:p w14:paraId="7A6C2054">
                  <w:pPr>
                    <w:pStyle w:val="14"/>
                    <w:spacing w:before="78" w:line="360" w:lineRule="auto"/>
                    <w:ind w:left="118"/>
                    <w:outlineLvl w:val="9"/>
                  </w:pPr>
                  <w:r>
                    <w:rPr>
                      <w:spacing w:val="-4"/>
                    </w:rPr>
                    <w:t>货物采购</w:t>
                  </w:r>
                </w:p>
              </w:tc>
              <w:tc>
                <w:tcPr>
                  <w:tcW w:w="1443" w:type="dxa"/>
                  <w:vAlign w:val="top"/>
                </w:tcPr>
                <w:p w14:paraId="27677819">
                  <w:pPr>
                    <w:spacing w:line="360" w:lineRule="auto"/>
                    <w:outlineLvl w:val="9"/>
                    <w:rPr>
                      <w:rFonts w:ascii="Arial"/>
                      <w:sz w:val="21"/>
                    </w:rPr>
                  </w:pPr>
                </w:p>
                <w:p w14:paraId="7C30F210">
                  <w:pPr>
                    <w:pStyle w:val="14"/>
                    <w:spacing w:before="78" w:line="360" w:lineRule="auto"/>
                    <w:ind w:left="248"/>
                    <w:outlineLvl w:val="9"/>
                  </w:pPr>
                  <w:r>
                    <w:rPr>
                      <w:spacing w:val="-3"/>
                    </w:rPr>
                    <w:t>服务采购</w:t>
                  </w:r>
                </w:p>
              </w:tc>
              <w:tc>
                <w:tcPr>
                  <w:tcW w:w="1448" w:type="dxa"/>
                  <w:vAlign w:val="top"/>
                </w:tcPr>
                <w:p w14:paraId="0B40955C">
                  <w:pPr>
                    <w:spacing w:line="360" w:lineRule="auto"/>
                    <w:outlineLvl w:val="9"/>
                    <w:rPr>
                      <w:rFonts w:ascii="Arial"/>
                      <w:sz w:val="21"/>
                    </w:rPr>
                  </w:pPr>
                </w:p>
                <w:p w14:paraId="06C8099F">
                  <w:pPr>
                    <w:pStyle w:val="14"/>
                    <w:spacing w:before="78" w:line="360" w:lineRule="auto"/>
                    <w:ind w:left="119"/>
                    <w:outlineLvl w:val="9"/>
                  </w:pPr>
                  <w:r>
                    <w:rPr>
                      <w:spacing w:val="-4"/>
                    </w:rPr>
                    <w:t>工程采购</w:t>
                  </w:r>
                </w:p>
              </w:tc>
            </w:tr>
            <w:tr w14:paraId="5AB13B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2052" w:type="dxa"/>
                  <w:vAlign w:val="top"/>
                </w:tcPr>
                <w:p w14:paraId="0EE094DE">
                  <w:pPr>
                    <w:pStyle w:val="14"/>
                    <w:spacing w:before="115" w:line="360" w:lineRule="auto"/>
                    <w:ind w:left="135"/>
                    <w:outlineLvl w:val="9"/>
                  </w:pPr>
                  <w:r>
                    <w:rPr>
                      <w:spacing w:val="-13"/>
                    </w:rPr>
                    <w:t>100以下</w:t>
                  </w:r>
                </w:p>
              </w:tc>
              <w:tc>
                <w:tcPr>
                  <w:tcW w:w="1213" w:type="dxa"/>
                  <w:vAlign w:val="top"/>
                </w:tcPr>
                <w:p w14:paraId="7E8DBA1D">
                  <w:pPr>
                    <w:pStyle w:val="14"/>
                    <w:spacing w:before="115" w:line="360" w:lineRule="auto"/>
                    <w:ind w:left="130"/>
                    <w:outlineLvl w:val="9"/>
                  </w:pPr>
                  <w:r>
                    <w:rPr>
                      <w:spacing w:val="-7"/>
                    </w:rPr>
                    <w:t>1.5%</w:t>
                  </w:r>
                </w:p>
              </w:tc>
              <w:tc>
                <w:tcPr>
                  <w:tcW w:w="1443" w:type="dxa"/>
                  <w:vAlign w:val="top"/>
                </w:tcPr>
                <w:p w14:paraId="1DDEE984">
                  <w:pPr>
                    <w:pStyle w:val="14"/>
                    <w:spacing w:before="115" w:line="360" w:lineRule="auto"/>
                    <w:ind w:left="132"/>
                    <w:outlineLvl w:val="9"/>
                  </w:pPr>
                  <w:r>
                    <w:rPr>
                      <w:spacing w:val="-7"/>
                    </w:rPr>
                    <w:t>1.5%</w:t>
                  </w:r>
                </w:p>
              </w:tc>
              <w:tc>
                <w:tcPr>
                  <w:tcW w:w="1448" w:type="dxa"/>
                  <w:vAlign w:val="top"/>
                </w:tcPr>
                <w:p w14:paraId="7BDDEB28">
                  <w:pPr>
                    <w:pStyle w:val="14"/>
                    <w:spacing w:before="115" w:line="360" w:lineRule="auto"/>
                    <w:ind w:left="134"/>
                    <w:outlineLvl w:val="9"/>
                  </w:pPr>
                  <w:r>
                    <w:rPr>
                      <w:spacing w:val="-7"/>
                    </w:rPr>
                    <w:t>1.0%</w:t>
                  </w:r>
                </w:p>
              </w:tc>
            </w:tr>
            <w:tr w14:paraId="493464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2052" w:type="dxa"/>
                  <w:vAlign w:val="top"/>
                </w:tcPr>
                <w:p w14:paraId="1B1171AD">
                  <w:pPr>
                    <w:pStyle w:val="14"/>
                    <w:spacing w:before="116" w:line="360" w:lineRule="auto"/>
                    <w:ind w:left="135"/>
                    <w:outlineLvl w:val="9"/>
                  </w:pPr>
                  <w:r>
                    <w:rPr>
                      <w:spacing w:val="-4"/>
                    </w:rPr>
                    <w:t>100-500</w:t>
                  </w:r>
                </w:p>
              </w:tc>
              <w:tc>
                <w:tcPr>
                  <w:tcW w:w="1213" w:type="dxa"/>
                  <w:vAlign w:val="top"/>
                </w:tcPr>
                <w:p w14:paraId="602F28C2">
                  <w:pPr>
                    <w:pStyle w:val="14"/>
                    <w:spacing w:before="116" w:line="360" w:lineRule="auto"/>
                    <w:ind w:left="130"/>
                    <w:outlineLvl w:val="9"/>
                  </w:pPr>
                  <w:r>
                    <w:rPr>
                      <w:spacing w:val="-7"/>
                    </w:rPr>
                    <w:t>1.1%</w:t>
                  </w:r>
                </w:p>
              </w:tc>
              <w:tc>
                <w:tcPr>
                  <w:tcW w:w="1443" w:type="dxa"/>
                  <w:vAlign w:val="top"/>
                </w:tcPr>
                <w:p w14:paraId="57771334">
                  <w:pPr>
                    <w:pStyle w:val="14"/>
                    <w:spacing w:before="116" w:line="360" w:lineRule="auto"/>
                    <w:ind w:left="116"/>
                    <w:outlineLvl w:val="9"/>
                  </w:pPr>
                  <w:r>
                    <w:rPr>
                      <w:spacing w:val="-3"/>
                    </w:rPr>
                    <w:t>0.8%</w:t>
                  </w:r>
                </w:p>
              </w:tc>
              <w:tc>
                <w:tcPr>
                  <w:tcW w:w="1448" w:type="dxa"/>
                  <w:vAlign w:val="top"/>
                </w:tcPr>
                <w:p w14:paraId="71EE0913">
                  <w:pPr>
                    <w:pStyle w:val="14"/>
                    <w:spacing w:before="116" w:line="360" w:lineRule="auto"/>
                    <w:ind w:left="118"/>
                    <w:outlineLvl w:val="9"/>
                  </w:pPr>
                  <w:r>
                    <w:rPr>
                      <w:spacing w:val="-3"/>
                    </w:rPr>
                    <w:t>0.7%</w:t>
                  </w:r>
                </w:p>
              </w:tc>
            </w:tr>
            <w:tr w14:paraId="2C7AFA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2052" w:type="dxa"/>
                  <w:vAlign w:val="top"/>
                </w:tcPr>
                <w:p w14:paraId="398DA453">
                  <w:pPr>
                    <w:pStyle w:val="14"/>
                    <w:spacing w:before="115" w:line="360" w:lineRule="auto"/>
                    <w:ind w:left="122"/>
                    <w:outlineLvl w:val="9"/>
                  </w:pPr>
                  <w:r>
                    <w:rPr>
                      <w:spacing w:val="-2"/>
                    </w:rPr>
                    <w:t>500-1000</w:t>
                  </w:r>
                </w:p>
              </w:tc>
              <w:tc>
                <w:tcPr>
                  <w:tcW w:w="1213" w:type="dxa"/>
                  <w:vAlign w:val="top"/>
                </w:tcPr>
                <w:p w14:paraId="6CB7DC70">
                  <w:pPr>
                    <w:pStyle w:val="14"/>
                    <w:spacing w:before="115" w:line="360" w:lineRule="auto"/>
                    <w:ind w:left="115"/>
                    <w:outlineLvl w:val="9"/>
                  </w:pPr>
                  <w:r>
                    <w:rPr>
                      <w:spacing w:val="-3"/>
                    </w:rPr>
                    <w:t>0.8%</w:t>
                  </w:r>
                </w:p>
              </w:tc>
              <w:tc>
                <w:tcPr>
                  <w:tcW w:w="1443" w:type="dxa"/>
                  <w:vAlign w:val="top"/>
                </w:tcPr>
                <w:p w14:paraId="488C5C25">
                  <w:pPr>
                    <w:pStyle w:val="14"/>
                    <w:spacing w:before="115" w:line="360" w:lineRule="auto"/>
                    <w:ind w:left="116"/>
                    <w:outlineLvl w:val="9"/>
                  </w:pPr>
                  <w:r>
                    <w:rPr>
                      <w:spacing w:val="-3"/>
                    </w:rPr>
                    <w:t>0.45%</w:t>
                  </w:r>
                </w:p>
              </w:tc>
              <w:tc>
                <w:tcPr>
                  <w:tcW w:w="1448" w:type="dxa"/>
                  <w:vAlign w:val="top"/>
                </w:tcPr>
                <w:p w14:paraId="5C0224C1">
                  <w:pPr>
                    <w:pStyle w:val="14"/>
                    <w:spacing w:before="115" w:line="360" w:lineRule="auto"/>
                    <w:ind w:left="118"/>
                    <w:outlineLvl w:val="9"/>
                  </w:pPr>
                  <w:r>
                    <w:rPr>
                      <w:spacing w:val="-3"/>
                    </w:rPr>
                    <w:t>0.55%</w:t>
                  </w:r>
                </w:p>
              </w:tc>
            </w:tr>
            <w:tr w14:paraId="28B892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2052" w:type="dxa"/>
                  <w:vAlign w:val="top"/>
                </w:tcPr>
                <w:p w14:paraId="12E47BAE">
                  <w:pPr>
                    <w:pStyle w:val="14"/>
                    <w:spacing w:before="116" w:line="360" w:lineRule="auto"/>
                    <w:ind w:left="135"/>
                    <w:outlineLvl w:val="9"/>
                  </w:pPr>
                  <w:r>
                    <w:rPr>
                      <w:spacing w:val="-4"/>
                    </w:rPr>
                    <w:t>1000-5000</w:t>
                  </w:r>
                </w:p>
              </w:tc>
              <w:tc>
                <w:tcPr>
                  <w:tcW w:w="1213" w:type="dxa"/>
                  <w:vAlign w:val="top"/>
                </w:tcPr>
                <w:p w14:paraId="678413C3">
                  <w:pPr>
                    <w:pStyle w:val="14"/>
                    <w:spacing w:before="116" w:line="360" w:lineRule="auto"/>
                    <w:ind w:left="115"/>
                    <w:outlineLvl w:val="9"/>
                  </w:pPr>
                  <w:r>
                    <w:rPr>
                      <w:spacing w:val="-3"/>
                    </w:rPr>
                    <w:t>0.5%</w:t>
                  </w:r>
                </w:p>
              </w:tc>
              <w:tc>
                <w:tcPr>
                  <w:tcW w:w="1443" w:type="dxa"/>
                  <w:vAlign w:val="top"/>
                </w:tcPr>
                <w:p w14:paraId="6F4473C5">
                  <w:pPr>
                    <w:pStyle w:val="14"/>
                    <w:spacing w:before="116" w:line="360" w:lineRule="auto"/>
                    <w:ind w:left="116"/>
                    <w:outlineLvl w:val="9"/>
                  </w:pPr>
                  <w:r>
                    <w:rPr>
                      <w:spacing w:val="-3"/>
                    </w:rPr>
                    <w:t>0.25%</w:t>
                  </w:r>
                </w:p>
              </w:tc>
              <w:tc>
                <w:tcPr>
                  <w:tcW w:w="1448" w:type="dxa"/>
                  <w:vAlign w:val="top"/>
                </w:tcPr>
                <w:p w14:paraId="37AB8F28">
                  <w:pPr>
                    <w:pStyle w:val="14"/>
                    <w:spacing w:before="116" w:line="360" w:lineRule="auto"/>
                    <w:ind w:left="118"/>
                    <w:outlineLvl w:val="9"/>
                  </w:pPr>
                  <w:r>
                    <w:rPr>
                      <w:spacing w:val="-3"/>
                    </w:rPr>
                    <w:t>0.35%</w:t>
                  </w:r>
                </w:p>
              </w:tc>
            </w:tr>
            <w:tr w14:paraId="41C569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2052" w:type="dxa"/>
                  <w:vAlign w:val="top"/>
                </w:tcPr>
                <w:p w14:paraId="348C9441">
                  <w:pPr>
                    <w:pStyle w:val="14"/>
                    <w:spacing w:before="119" w:line="360" w:lineRule="auto"/>
                    <w:ind w:left="122"/>
                    <w:outlineLvl w:val="9"/>
                  </w:pPr>
                  <w:r>
                    <w:rPr>
                      <w:spacing w:val="-2"/>
                    </w:rPr>
                    <w:t>5000-10000</w:t>
                  </w:r>
                </w:p>
              </w:tc>
              <w:tc>
                <w:tcPr>
                  <w:tcW w:w="1213" w:type="dxa"/>
                  <w:vAlign w:val="top"/>
                </w:tcPr>
                <w:p w14:paraId="73F9095D">
                  <w:pPr>
                    <w:pStyle w:val="14"/>
                    <w:spacing w:before="119" w:line="360" w:lineRule="auto"/>
                    <w:ind w:left="115"/>
                    <w:outlineLvl w:val="9"/>
                  </w:pPr>
                  <w:r>
                    <w:rPr>
                      <w:spacing w:val="-3"/>
                    </w:rPr>
                    <w:t>0.25%</w:t>
                  </w:r>
                </w:p>
              </w:tc>
              <w:tc>
                <w:tcPr>
                  <w:tcW w:w="1443" w:type="dxa"/>
                  <w:vAlign w:val="top"/>
                </w:tcPr>
                <w:p w14:paraId="1A87F603">
                  <w:pPr>
                    <w:pStyle w:val="14"/>
                    <w:spacing w:before="119" w:line="360" w:lineRule="auto"/>
                    <w:ind w:left="116"/>
                    <w:outlineLvl w:val="9"/>
                  </w:pPr>
                  <w:r>
                    <w:rPr>
                      <w:spacing w:val="-3"/>
                    </w:rPr>
                    <w:t>0.1%</w:t>
                  </w:r>
                </w:p>
              </w:tc>
              <w:tc>
                <w:tcPr>
                  <w:tcW w:w="1448" w:type="dxa"/>
                  <w:vAlign w:val="top"/>
                </w:tcPr>
                <w:p w14:paraId="4E57BDE2">
                  <w:pPr>
                    <w:pStyle w:val="14"/>
                    <w:spacing w:before="119" w:line="360" w:lineRule="auto"/>
                    <w:ind w:left="118"/>
                    <w:outlineLvl w:val="9"/>
                  </w:pPr>
                  <w:r>
                    <w:rPr>
                      <w:spacing w:val="-3"/>
                    </w:rPr>
                    <w:t>0.2%</w:t>
                  </w:r>
                </w:p>
              </w:tc>
            </w:tr>
            <w:tr w14:paraId="4C7DC9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2052" w:type="dxa"/>
                  <w:vAlign w:val="top"/>
                </w:tcPr>
                <w:p w14:paraId="5C31F700">
                  <w:pPr>
                    <w:pStyle w:val="14"/>
                    <w:spacing w:before="119" w:line="360" w:lineRule="auto"/>
                    <w:ind w:left="135"/>
                    <w:outlineLvl w:val="9"/>
                  </w:pPr>
                  <w:r>
                    <w:rPr>
                      <w:spacing w:val="-3"/>
                    </w:rPr>
                    <w:t>10000-100000</w:t>
                  </w:r>
                </w:p>
              </w:tc>
              <w:tc>
                <w:tcPr>
                  <w:tcW w:w="1213" w:type="dxa"/>
                  <w:vAlign w:val="top"/>
                </w:tcPr>
                <w:p w14:paraId="332FD225">
                  <w:pPr>
                    <w:pStyle w:val="14"/>
                    <w:spacing w:before="120" w:line="360" w:lineRule="auto"/>
                    <w:ind w:left="115"/>
                    <w:outlineLvl w:val="9"/>
                  </w:pPr>
                  <w:r>
                    <w:rPr>
                      <w:spacing w:val="-3"/>
                    </w:rPr>
                    <w:t>0.05%</w:t>
                  </w:r>
                </w:p>
              </w:tc>
              <w:tc>
                <w:tcPr>
                  <w:tcW w:w="1443" w:type="dxa"/>
                  <w:vAlign w:val="top"/>
                </w:tcPr>
                <w:p w14:paraId="10E53CC1">
                  <w:pPr>
                    <w:pStyle w:val="14"/>
                    <w:spacing w:before="120" w:line="360" w:lineRule="auto"/>
                    <w:ind w:left="116"/>
                    <w:outlineLvl w:val="9"/>
                  </w:pPr>
                  <w:r>
                    <w:rPr>
                      <w:spacing w:val="-3"/>
                    </w:rPr>
                    <w:t>0.05%</w:t>
                  </w:r>
                </w:p>
              </w:tc>
              <w:tc>
                <w:tcPr>
                  <w:tcW w:w="1448" w:type="dxa"/>
                  <w:vAlign w:val="top"/>
                </w:tcPr>
                <w:p w14:paraId="6CDBEBE7">
                  <w:pPr>
                    <w:pStyle w:val="14"/>
                    <w:spacing w:before="120" w:line="360" w:lineRule="auto"/>
                    <w:ind w:left="118"/>
                    <w:outlineLvl w:val="9"/>
                  </w:pPr>
                  <w:r>
                    <w:rPr>
                      <w:spacing w:val="-3"/>
                    </w:rPr>
                    <w:t>0.05%</w:t>
                  </w:r>
                </w:p>
              </w:tc>
            </w:tr>
            <w:tr w14:paraId="79BC08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trPr>
              <w:tc>
                <w:tcPr>
                  <w:tcW w:w="2052" w:type="dxa"/>
                  <w:vAlign w:val="top"/>
                </w:tcPr>
                <w:p w14:paraId="5CBA4E2A">
                  <w:pPr>
                    <w:pStyle w:val="14"/>
                    <w:spacing w:before="120" w:line="360" w:lineRule="auto"/>
                    <w:ind w:left="135"/>
                    <w:outlineLvl w:val="9"/>
                  </w:pPr>
                  <w:r>
                    <w:rPr>
                      <w:spacing w:val="-8"/>
                    </w:rPr>
                    <w:t>1000000以上</w:t>
                  </w:r>
                </w:p>
              </w:tc>
              <w:tc>
                <w:tcPr>
                  <w:tcW w:w="1213" w:type="dxa"/>
                  <w:vAlign w:val="top"/>
                </w:tcPr>
                <w:p w14:paraId="4E883E1C">
                  <w:pPr>
                    <w:pStyle w:val="14"/>
                    <w:spacing w:before="119" w:line="360" w:lineRule="auto"/>
                    <w:ind w:left="115"/>
                    <w:outlineLvl w:val="9"/>
                  </w:pPr>
                  <w:r>
                    <w:rPr>
                      <w:spacing w:val="-3"/>
                    </w:rPr>
                    <w:t>0.01%</w:t>
                  </w:r>
                </w:p>
              </w:tc>
              <w:tc>
                <w:tcPr>
                  <w:tcW w:w="1443" w:type="dxa"/>
                  <w:vAlign w:val="top"/>
                </w:tcPr>
                <w:p w14:paraId="3FA4A71C">
                  <w:pPr>
                    <w:pStyle w:val="14"/>
                    <w:spacing w:before="119" w:line="360" w:lineRule="auto"/>
                    <w:ind w:left="116"/>
                    <w:outlineLvl w:val="9"/>
                  </w:pPr>
                  <w:r>
                    <w:rPr>
                      <w:spacing w:val="-3"/>
                    </w:rPr>
                    <w:t>0.01%</w:t>
                  </w:r>
                </w:p>
              </w:tc>
              <w:tc>
                <w:tcPr>
                  <w:tcW w:w="1448" w:type="dxa"/>
                  <w:vAlign w:val="top"/>
                </w:tcPr>
                <w:p w14:paraId="2CA7052D">
                  <w:pPr>
                    <w:pStyle w:val="14"/>
                    <w:spacing w:before="119" w:line="360" w:lineRule="auto"/>
                    <w:ind w:left="118"/>
                    <w:outlineLvl w:val="9"/>
                  </w:pPr>
                  <w:r>
                    <w:rPr>
                      <w:spacing w:val="-3"/>
                    </w:rPr>
                    <w:t>0.01%</w:t>
                  </w:r>
                </w:p>
              </w:tc>
            </w:tr>
          </w:tbl>
          <w:p w14:paraId="549091A2">
            <w:pPr>
              <w:pStyle w:val="14"/>
              <w:spacing w:before="115" w:line="360" w:lineRule="auto"/>
              <w:ind w:left="126"/>
              <w:outlineLvl w:val="9"/>
            </w:pPr>
            <w:r>
              <w:rPr>
                <w:spacing w:val="-2"/>
              </w:rPr>
              <w:t>（4）本项目项目属性：</w:t>
            </w:r>
            <w:r>
              <w:rPr>
                <w:rFonts w:hint="eastAsia"/>
                <w:spacing w:val="-2"/>
                <w:lang w:val="en-US" w:eastAsia="zh-CN"/>
              </w:rPr>
              <w:t>服务</w:t>
            </w:r>
            <w:r>
              <w:rPr>
                <w:spacing w:val="-2"/>
              </w:rPr>
              <w:t>采购。</w:t>
            </w:r>
          </w:p>
        </w:tc>
      </w:tr>
      <w:tr w14:paraId="3F83FC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82" w:hRule="atLeast"/>
        </w:trPr>
        <w:tc>
          <w:tcPr>
            <w:tcW w:w="392" w:type="pct"/>
            <w:vAlign w:val="top"/>
          </w:tcPr>
          <w:p w14:paraId="7F25F5E2">
            <w:pPr>
              <w:spacing w:line="360" w:lineRule="auto"/>
              <w:outlineLvl w:val="9"/>
              <w:rPr>
                <w:rFonts w:ascii="Arial"/>
                <w:sz w:val="21"/>
              </w:rPr>
            </w:pPr>
          </w:p>
          <w:p w14:paraId="55F0C334">
            <w:pPr>
              <w:pStyle w:val="14"/>
              <w:spacing w:before="78" w:line="360" w:lineRule="auto"/>
              <w:ind w:left="268"/>
              <w:outlineLvl w:val="9"/>
              <w:rPr>
                <w:rFonts w:hint="eastAsia" w:eastAsia="宋体"/>
                <w:lang w:eastAsia="zh-CN"/>
              </w:rPr>
            </w:pPr>
            <w:r>
              <w:rPr>
                <w:spacing w:val="-8"/>
              </w:rPr>
              <w:t>3</w:t>
            </w:r>
            <w:r>
              <w:rPr>
                <w:rFonts w:hint="eastAsia"/>
                <w:spacing w:val="-8"/>
                <w:lang w:val="en-US" w:eastAsia="zh-CN"/>
              </w:rPr>
              <w:t>3</w:t>
            </w:r>
          </w:p>
        </w:tc>
        <w:tc>
          <w:tcPr>
            <w:tcW w:w="978" w:type="pct"/>
            <w:gridSpan w:val="3"/>
            <w:vAlign w:val="top"/>
          </w:tcPr>
          <w:p w14:paraId="0662BC68">
            <w:pPr>
              <w:spacing w:line="360" w:lineRule="auto"/>
              <w:outlineLvl w:val="9"/>
              <w:rPr>
                <w:rFonts w:ascii="Arial"/>
                <w:sz w:val="21"/>
              </w:rPr>
            </w:pPr>
          </w:p>
          <w:p w14:paraId="34C87F12">
            <w:pPr>
              <w:pStyle w:val="14"/>
              <w:spacing w:before="78" w:line="360" w:lineRule="auto"/>
              <w:ind w:left="112"/>
              <w:outlineLvl w:val="9"/>
            </w:pPr>
            <w:r>
              <w:rPr>
                <w:spacing w:val="-2"/>
              </w:rPr>
              <w:t>谈判报价轮次</w:t>
            </w:r>
          </w:p>
        </w:tc>
        <w:tc>
          <w:tcPr>
            <w:tcW w:w="3628" w:type="pct"/>
            <w:gridSpan w:val="7"/>
            <w:vAlign w:val="top"/>
          </w:tcPr>
          <w:p w14:paraId="49C92381">
            <w:pPr>
              <w:pStyle w:val="14"/>
              <w:spacing w:before="241" w:line="360" w:lineRule="auto"/>
              <w:ind w:left="118" w:right="1105" w:firstLine="8"/>
              <w:outlineLvl w:val="9"/>
            </w:pPr>
            <w:r>
              <w:rPr>
                <w:spacing w:val="-2"/>
              </w:rPr>
              <w:t>多轮（报价文件中报价为第一轮，谈判现场为第二轮）</w:t>
            </w:r>
            <w:r>
              <w:rPr>
                <w:spacing w:val="-1"/>
              </w:rPr>
              <w:t>最后一轮报价时间：谈判现场通知</w:t>
            </w:r>
          </w:p>
        </w:tc>
      </w:tr>
      <w:tr w14:paraId="45AC4F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57" w:hRule="atLeast"/>
        </w:trPr>
        <w:tc>
          <w:tcPr>
            <w:tcW w:w="392" w:type="pct"/>
            <w:vAlign w:val="top"/>
          </w:tcPr>
          <w:p w14:paraId="39E99F2A">
            <w:pPr>
              <w:spacing w:line="360" w:lineRule="auto"/>
              <w:outlineLvl w:val="9"/>
              <w:rPr>
                <w:rFonts w:ascii="Arial"/>
                <w:sz w:val="21"/>
              </w:rPr>
            </w:pPr>
          </w:p>
          <w:p w14:paraId="61DA1924">
            <w:pPr>
              <w:spacing w:line="360" w:lineRule="auto"/>
              <w:outlineLvl w:val="9"/>
              <w:rPr>
                <w:rFonts w:ascii="Arial"/>
                <w:sz w:val="21"/>
              </w:rPr>
            </w:pPr>
          </w:p>
          <w:p w14:paraId="14BEF822">
            <w:pPr>
              <w:spacing w:line="360" w:lineRule="auto"/>
              <w:outlineLvl w:val="9"/>
              <w:rPr>
                <w:rFonts w:ascii="Arial"/>
                <w:sz w:val="21"/>
              </w:rPr>
            </w:pPr>
          </w:p>
          <w:p w14:paraId="789DF271">
            <w:pPr>
              <w:spacing w:line="360" w:lineRule="auto"/>
              <w:outlineLvl w:val="9"/>
              <w:rPr>
                <w:rFonts w:ascii="Arial"/>
                <w:sz w:val="21"/>
              </w:rPr>
            </w:pPr>
          </w:p>
          <w:p w14:paraId="7071340B">
            <w:pPr>
              <w:pStyle w:val="14"/>
              <w:spacing w:before="78" w:line="360" w:lineRule="auto"/>
              <w:ind w:left="268"/>
              <w:outlineLvl w:val="9"/>
              <w:rPr>
                <w:rFonts w:hint="eastAsia" w:eastAsia="宋体"/>
                <w:lang w:eastAsia="zh-CN"/>
              </w:rPr>
            </w:pPr>
            <w:r>
              <w:rPr>
                <w:spacing w:val="-8"/>
              </w:rPr>
              <w:t>3</w:t>
            </w:r>
            <w:r>
              <w:rPr>
                <w:rFonts w:hint="eastAsia"/>
                <w:spacing w:val="-8"/>
                <w:lang w:val="en-US" w:eastAsia="zh-CN"/>
              </w:rPr>
              <w:t>4</w:t>
            </w:r>
          </w:p>
        </w:tc>
        <w:tc>
          <w:tcPr>
            <w:tcW w:w="978" w:type="pct"/>
            <w:gridSpan w:val="3"/>
            <w:vAlign w:val="top"/>
          </w:tcPr>
          <w:p w14:paraId="192EA060">
            <w:pPr>
              <w:spacing w:line="360" w:lineRule="auto"/>
              <w:outlineLvl w:val="9"/>
              <w:rPr>
                <w:rFonts w:ascii="Arial"/>
                <w:sz w:val="21"/>
              </w:rPr>
            </w:pPr>
          </w:p>
          <w:p w14:paraId="33131BF9">
            <w:pPr>
              <w:spacing w:line="360" w:lineRule="auto"/>
              <w:outlineLvl w:val="9"/>
              <w:rPr>
                <w:rFonts w:ascii="Arial"/>
                <w:sz w:val="21"/>
              </w:rPr>
            </w:pPr>
          </w:p>
          <w:p w14:paraId="6E5B66F4">
            <w:pPr>
              <w:spacing w:line="360" w:lineRule="auto"/>
              <w:outlineLvl w:val="9"/>
              <w:rPr>
                <w:rFonts w:ascii="Arial"/>
                <w:sz w:val="21"/>
              </w:rPr>
            </w:pPr>
          </w:p>
          <w:p w14:paraId="1D4C662D">
            <w:pPr>
              <w:pStyle w:val="14"/>
              <w:spacing w:before="78" w:line="360" w:lineRule="auto"/>
              <w:ind w:left="113" w:right="107"/>
              <w:outlineLvl w:val="9"/>
            </w:pPr>
            <w:r>
              <w:rPr>
                <w:b/>
                <w:bCs/>
                <w:spacing w:val="32"/>
              </w:rPr>
              <w:t>信用承诺公示</w:t>
            </w:r>
            <w:r>
              <w:rPr>
                <w:b/>
                <w:bCs/>
                <w:spacing w:val="-8"/>
              </w:rPr>
              <w:t>要求</w:t>
            </w:r>
          </w:p>
        </w:tc>
        <w:tc>
          <w:tcPr>
            <w:tcW w:w="3628" w:type="pct"/>
            <w:gridSpan w:val="7"/>
            <w:vAlign w:val="top"/>
          </w:tcPr>
          <w:p w14:paraId="02059A37">
            <w:pPr>
              <w:pStyle w:val="14"/>
              <w:spacing w:before="119" w:line="360" w:lineRule="auto"/>
              <w:ind w:left="114" w:right="107" w:firstLine="483"/>
              <w:outlineLvl w:val="9"/>
            </w:pPr>
            <w:r>
              <w:rPr>
                <w:spacing w:val="-1"/>
              </w:rPr>
              <w:t>为深入贯彻信用体系建设的有关精神，根据市发改委《关于</w:t>
            </w:r>
            <w:r>
              <w:rPr>
                <w:spacing w:val="-8"/>
              </w:rPr>
              <w:t>在工程招投标活动中推行信用监管试点示范工作的通知》（榆政发</w:t>
            </w:r>
            <w:r>
              <w:rPr>
                <w:spacing w:val="-1"/>
              </w:rPr>
              <w:t>改发〔2020〕329号）和市财政局《关于在政府采购活动中使用</w:t>
            </w:r>
            <w:r>
              <w:rPr>
                <w:spacing w:val="-5"/>
              </w:rPr>
              <w:t>信用记录和信用报告以及开展承诺工作的通知》（榆政财采函</w:t>
            </w:r>
          </w:p>
          <w:p w14:paraId="76D379ED">
            <w:pPr>
              <w:pStyle w:val="14"/>
              <w:spacing w:line="360" w:lineRule="auto"/>
              <w:ind w:left="147"/>
              <w:outlineLvl w:val="9"/>
            </w:pPr>
            <w:r>
              <w:rPr>
                <w:spacing w:val="-2"/>
              </w:rPr>
              <w:t>〔2020〕9号）在工程建设和政府采购领域全面推行信用公开承</w:t>
            </w:r>
          </w:p>
        </w:tc>
      </w:tr>
    </w:tbl>
    <w:p w14:paraId="08EA8B7E">
      <w:pPr>
        <w:spacing w:line="360" w:lineRule="auto"/>
        <w:outlineLvl w:val="9"/>
        <w:rPr>
          <w:rFonts w:ascii="Arial"/>
          <w:sz w:val="2"/>
        </w:rPr>
      </w:pPr>
    </w:p>
    <w:tbl>
      <w:tblPr>
        <w:tblStyle w:val="13"/>
        <w:tblW w:w="4998"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654"/>
        <w:gridCol w:w="1631"/>
        <w:gridCol w:w="6052"/>
      </w:tblGrid>
      <w:tr w14:paraId="01A5E2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85" w:hRule="atLeast"/>
        </w:trPr>
        <w:tc>
          <w:tcPr>
            <w:tcW w:w="392" w:type="pct"/>
            <w:vAlign w:val="top"/>
          </w:tcPr>
          <w:p w14:paraId="4CDE09EF">
            <w:pPr>
              <w:spacing w:line="360" w:lineRule="auto"/>
              <w:outlineLvl w:val="9"/>
              <w:rPr>
                <w:rFonts w:ascii="Arial"/>
                <w:sz w:val="21"/>
              </w:rPr>
            </w:pPr>
          </w:p>
        </w:tc>
        <w:tc>
          <w:tcPr>
            <w:tcW w:w="978" w:type="pct"/>
            <w:vAlign w:val="top"/>
          </w:tcPr>
          <w:p w14:paraId="2F9F9231">
            <w:pPr>
              <w:spacing w:line="360" w:lineRule="auto"/>
              <w:outlineLvl w:val="9"/>
              <w:rPr>
                <w:rFonts w:ascii="Arial"/>
                <w:sz w:val="21"/>
              </w:rPr>
            </w:pPr>
          </w:p>
        </w:tc>
        <w:tc>
          <w:tcPr>
            <w:tcW w:w="3629" w:type="pct"/>
            <w:vAlign w:val="top"/>
          </w:tcPr>
          <w:p w14:paraId="7429FB8B">
            <w:pPr>
              <w:pStyle w:val="14"/>
              <w:spacing w:before="118" w:line="360" w:lineRule="auto"/>
              <w:ind w:left="115" w:right="107"/>
              <w:jc w:val="both"/>
              <w:outlineLvl w:val="9"/>
            </w:pPr>
            <w:r>
              <w:rPr>
                <w:spacing w:val="-1"/>
              </w:rPr>
              <w:t>诺制，进入公共资源交易平台的各方交易主体，均应在“信用中</w:t>
            </w:r>
            <w:r>
              <w:rPr>
                <w:spacing w:val="-8"/>
              </w:rPr>
              <w:t>国（陕西榆林）”网站进行注册、登陆，自主上报信用承诺书</w:t>
            </w:r>
            <w:r>
              <w:rPr>
                <w:spacing w:val="-9"/>
              </w:rPr>
              <w:t>（网</w:t>
            </w:r>
            <w:r>
              <w:rPr>
                <w:spacing w:val="-1"/>
              </w:rPr>
              <w:t>址：</w:t>
            </w:r>
            <w:r>
              <w:fldChar w:fldCharType="begin"/>
            </w:r>
            <w:r>
              <w:instrText xml:space="preserve"> HYPERLINK "https://credit.yl.gov.cn/" </w:instrText>
            </w:r>
            <w:r>
              <w:fldChar w:fldCharType="separate"/>
            </w:r>
            <w:r>
              <w:rPr>
                <w:spacing w:val="-1"/>
              </w:rPr>
              <w:t>https://credit.yl.gov.cn/</w:t>
            </w:r>
            <w:r>
              <w:rPr>
                <w:spacing w:val="-1"/>
              </w:rPr>
              <w:fldChar w:fldCharType="end"/>
            </w:r>
            <w:r>
              <w:rPr>
                <w:spacing w:val="-46"/>
              </w:rPr>
              <w:t>），</w:t>
            </w:r>
            <w:r>
              <w:rPr>
                <w:spacing w:val="-1"/>
              </w:rPr>
              <w:t>各相关交易主体注册、登陆</w:t>
            </w:r>
            <w:r>
              <w:rPr>
                <w:spacing w:val="-8"/>
              </w:rPr>
              <w:t>后根据承诺事项选择相应的模板填写《信用承诺书》，并载明</w:t>
            </w:r>
            <w:r>
              <w:rPr>
                <w:spacing w:val="-9"/>
              </w:rPr>
              <w:t>承诺</w:t>
            </w:r>
            <w:r>
              <w:rPr>
                <w:spacing w:val="-1"/>
              </w:rPr>
              <w:t>事由，政府采购活动中，各方交易主体的承诺事由为“公共资源</w:t>
            </w:r>
            <w:r>
              <w:rPr>
                <w:spacing w:val="-4"/>
              </w:rPr>
              <w:t>交易平台的所有活动</w:t>
            </w:r>
            <w:r>
              <w:rPr>
                <w:rFonts w:hint="eastAsia" w:ascii="宋体" w:hAnsi="宋体" w:eastAsia="宋体" w:cs="宋体"/>
                <w:spacing w:val="-1"/>
                <w:lang w:eastAsia="zh-CN"/>
              </w:rPr>
              <w:t>、</w:t>
            </w:r>
            <w:r>
              <w:rPr>
                <w:rFonts w:hint="eastAsia" w:ascii="宋体" w:hAnsi="宋体" w:eastAsia="宋体" w:cs="宋体"/>
                <w:spacing w:val="-1"/>
                <w:lang w:val="en-US" w:eastAsia="zh-CN"/>
              </w:rPr>
              <w:t>项目名称+项目编号</w:t>
            </w:r>
            <w:r>
              <w:rPr>
                <w:rFonts w:ascii="宋体" w:hAnsi="宋体" w:eastAsia="宋体" w:cs="宋体"/>
                <w:spacing w:val="-1"/>
              </w:rPr>
              <w:t>”。</w:t>
            </w:r>
          </w:p>
          <w:p w14:paraId="7B228246">
            <w:pPr>
              <w:pStyle w:val="14"/>
              <w:spacing w:line="360" w:lineRule="auto"/>
              <w:ind w:left="133"/>
              <w:outlineLvl w:val="9"/>
            </w:pPr>
            <w:r>
              <w:rPr>
                <w:spacing w:val="-3"/>
              </w:rPr>
              <w:t>附件：信用承诺上报操作指南</w:t>
            </w:r>
          </w:p>
        </w:tc>
      </w:tr>
    </w:tbl>
    <w:p w14:paraId="53ACFAB3">
      <w:pPr>
        <w:pStyle w:val="4"/>
        <w:spacing w:line="360" w:lineRule="auto"/>
        <w:outlineLvl w:val="9"/>
      </w:pPr>
    </w:p>
    <w:p w14:paraId="5729995A">
      <w:pPr>
        <w:spacing w:line="360" w:lineRule="auto"/>
        <w:outlineLvl w:val="9"/>
        <w:sectPr>
          <w:footerReference r:id="rId6" w:type="default"/>
          <w:pgSz w:w="11906" w:h="16838"/>
          <w:pgMar w:top="1429" w:right="1786" w:bottom="1372" w:left="1786" w:header="0" w:footer="1208" w:gutter="0"/>
          <w:pgNumType w:fmt="decimal"/>
          <w:cols w:space="0" w:num="1"/>
          <w:rtlGutter w:val="0"/>
          <w:docGrid w:linePitch="0" w:charSpace="0"/>
        </w:sectPr>
      </w:pPr>
    </w:p>
    <w:p w14:paraId="71E8B7A7">
      <w:pPr>
        <w:spacing w:before="139" w:line="360" w:lineRule="auto"/>
        <w:ind w:left="2823"/>
        <w:outlineLvl w:val="0"/>
        <w:rPr>
          <w:rFonts w:ascii="宋体" w:hAnsi="宋体" w:eastAsia="宋体" w:cs="宋体"/>
          <w:sz w:val="35"/>
          <w:szCs w:val="35"/>
        </w:rPr>
      </w:pPr>
      <w:bookmarkStart w:id="3" w:name="bookmark3"/>
      <w:bookmarkEnd w:id="3"/>
      <w:bookmarkStart w:id="4" w:name="_Toc23435"/>
      <w:r>
        <w:rPr>
          <w:rFonts w:ascii="宋体" w:hAnsi="宋体" w:eastAsia="宋体" w:cs="宋体"/>
          <w:b/>
          <w:bCs/>
          <w:spacing w:val="5"/>
          <w:sz w:val="35"/>
          <w:szCs w:val="35"/>
        </w:rPr>
        <w:t>第三部分供应商须知</w:t>
      </w:r>
      <w:bookmarkEnd w:id="4"/>
    </w:p>
    <w:p w14:paraId="3F6B2530">
      <w:pPr>
        <w:spacing w:before="200" w:line="360" w:lineRule="auto"/>
        <w:outlineLvl w:val="9"/>
        <w:rPr>
          <w:rFonts w:ascii="宋体" w:hAnsi="宋体" w:eastAsia="宋体" w:cs="宋体"/>
          <w:sz w:val="35"/>
          <w:szCs w:val="35"/>
        </w:rPr>
      </w:pPr>
      <w:r>
        <w:rPr>
          <w:rFonts w:ascii="宋体" w:hAnsi="宋体" w:eastAsia="宋体" w:cs="宋体"/>
          <w:spacing w:val="-1"/>
          <w:sz w:val="35"/>
          <w:szCs w:val="35"/>
        </w:rPr>
        <w:t>A总则</w:t>
      </w:r>
    </w:p>
    <w:p w14:paraId="2A80773B">
      <w:pPr>
        <w:spacing w:before="179" w:line="360" w:lineRule="auto"/>
        <w:ind w:left="24"/>
        <w:outlineLvl w:val="9"/>
        <w:rPr>
          <w:rFonts w:ascii="宋体" w:hAnsi="宋体" w:eastAsia="宋体" w:cs="宋体"/>
          <w:sz w:val="24"/>
          <w:szCs w:val="24"/>
        </w:rPr>
      </w:pPr>
      <w:r>
        <w:rPr>
          <w:rFonts w:ascii="宋体" w:hAnsi="宋体" w:eastAsia="宋体" w:cs="宋体"/>
          <w:spacing w:val="-8"/>
          <w:sz w:val="24"/>
          <w:szCs w:val="24"/>
        </w:rPr>
        <w:t>1适用范围</w:t>
      </w:r>
    </w:p>
    <w:p w14:paraId="7298F0AC">
      <w:pPr>
        <w:spacing w:before="181" w:line="360" w:lineRule="auto"/>
        <w:ind w:left="504"/>
        <w:outlineLvl w:val="9"/>
        <w:rPr>
          <w:rFonts w:ascii="宋体" w:hAnsi="宋体" w:eastAsia="宋体" w:cs="宋体"/>
          <w:sz w:val="24"/>
          <w:szCs w:val="24"/>
        </w:rPr>
      </w:pPr>
      <w:r>
        <w:rPr>
          <w:rFonts w:ascii="宋体" w:hAnsi="宋体" w:eastAsia="宋体" w:cs="宋体"/>
          <w:spacing w:val="-1"/>
          <w:sz w:val="24"/>
          <w:szCs w:val="24"/>
        </w:rPr>
        <w:t>1.1本竞争性谈判文件仅适用于本谈判公告中所叙述项目的货物及服</w:t>
      </w:r>
      <w:r>
        <w:rPr>
          <w:rFonts w:ascii="宋体" w:hAnsi="宋体" w:eastAsia="宋体" w:cs="宋体"/>
          <w:spacing w:val="-2"/>
          <w:sz w:val="24"/>
          <w:szCs w:val="24"/>
        </w:rPr>
        <w:t>务采购。</w:t>
      </w:r>
    </w:p>
    <w:p w14:paraId="76DC4CC6">
      <w:pPr>
        <w:spacing w:before="185" w:line="360" w:lineRule="auto"/>
        <w:ind w:left="11" w:right="80" w:firstLine="492"/>
        <w:outlineLvl w:val="9"/>
        <w:rPr>
          <w:rFonts w:ascii="宋体" w:hAnsi="宋体" w:eastAsia="宋体" w:cs="宋体"/>
          <w:sz w:val="24"/>
          <w:szCs w:val="24"/>
        </w:rPr>
      </w:pPr>
      <w:r>
        <w:rPr>
          <w:rFonts w:ascii="宋体" w:hAnsi="宋体" w:eastAsia="宋体" w:cs="宋体"/>
          <w:spacing w:val="-3"/>
          <w:sz w:val="24"/>
          <w:szCs w:val="24"/>
        </w:rPr>
        <w:t>1.2本次采购属政府采购，采购人，采购代理机构、供应商、谈判小组的相关行为均受《中华人民共和国政府采购法》、财政部规</w:t>
      </w:r>
      <w:r>
        <w:rPr>
          <w:rFonts w:ascii="宋体" w:hAnsi="宋体" w:eastAsia="宋体" w:cs="宋体"/>
          <w:spacing w:val="-4"/>
          <w:sz w:val="24"/>
          <w:szCs w:val="24"/>
        </w:rPr>
        <w:t>章及政府采购项目所在地有关法规、规章的</w:t>
      </w:r>
      <w:r>
        <w:rPr>
          <w:rFonts w:ascii="宋体" w:hAnsi="宋体" w:eastAsia="宋体" w:cs="宋体"/>
          <w:spacing w:val="-1"/>
          <w:sz w:val="24"/>
          <w:szCs w:val="24"/>
        </w:rPr>
        <w:t>约束，其权利受到上述法律法规的保护。</w:t>
      </w:r>
    </w:p>
    <w:p w14:paraId="0FCCF49C">
      <w:pPr>
        <w:spacing w:before="183" w:line="360" w:lineRule="auto"/>
        <w:ind w:left="9"/>
        <w:outlineLvl w:val="9"/>
        <w:rPr>
          <w:rFonts w:ascii="宋体" w:hAnsi="宋体" w:eastAsia="宋体" w:cs="宋体"/>
          <w:sz w:val="24"/>
          <w:szCs w:val="24"/>
        </w:rPr>
      </w:pPr>
      <w:r>
        <w:rPr>
          <w:rFonts w:ascii="宋体" w:hAnsi="宋体" w:eastAsia="宋体" w:cs="宋体"/>
          <w:spacing w:val="-10"/>
          <w:sz w:val="24"/>
          <w:szCs w:val="24"/>
        </w:rPr>
        <w:t>2定义</w:t>
      </w:r>
    </w:p>
    <w:p w14:paraId="67B256B8">
      <w:pPr>
        <w:spacing w:before="181" w:line="360" w:lineRule="auto"/>
        <w:ind w:left="489"/>
        <w:outlineLvl w:val="9"/>
        <w:rPr>
          <w:rFonts w:ascii="宋体" w:hAnsi="宋体" w:eastAsia="宋体" w:cs="宋体"/>
          <w:sz w:val="24"/>
          <w:szCs w:val="24"/>
        </w:rPr>
      </w:pPr>
      <w:r>
        <w:rPr>
          <w:rFonts w:ascii="宋体" w:hAnsi="宋体" w:eastAsia="宋体" w:cs="宋体"/>
          <w:spacing w:val="-3"/>
          <w:sz w:val="24"/>
          <w:szCs w:val="24"/>
        </w:rPr>
        <w:t>2.1“采购人”系指</w:t>
      </w:r>
      <w:r>
        <w:rPr>
          <w:rFonts w:hint="eastAsia" w:ascii="宋体" w:hAnsi="宋体" w:cs="宋体"/>
          <w:color w:val="auto"/>
          <w:sz w:val="24"/>
          <w:lang w:eastAsia="zh-CN"/>
        </w:rPr>
        <w:t>榆林市生态环境局绥德分局</w:t>
      </w:r>
      <w:r>
        <w:rPr>
          <w:rFonts w:ascii="宋体" w:hAnsi="宋体" w:eastAsia="宋体" w:cs="宋体"/>
          <w:spacing w:val="-3"/>
          <w:sz w:val="24"/>
          <w:szCs w:val="24"/>
        </w:rPr>
        <w:t>。</w:t>
      </w:r>
    </w:p>
    <w:p w14:paraId="3552443D">
      <w:pPr>
        <w:spacing w:before="184" w:line="360" w:lineRule="auto"/>
        <w:ind w:left="474"/>
        <w:outlineLvl w:val="9"/>
        <w:rPr>
          <w:rFonts w:ascii="宋体" w:hAnsi="宋体" w:eastAsia="宋体" w:cs="宋体"/>
          <w:sz w:val="24"/>
          <w:szCs w:val="24"/>
        </w:rPr>
      </w:pPr>
      <w:r>
        <w:rPr>
          <w:rFonts w:ascii="宋体" w:hAnsi="宋体" w:eastAsia="宋体" w:cs="宋体"/>
          <w:spacing w:val="-1"/>
          <w:sz w:val="24"/>
          <w:szCs w:val="24"/>
        </w:rPr>
        <w:t>“采购代理机构”系指</w:t>
      </w:r>
      <w:r>
        <w:rPr>
          <w:rFonts w:hint="eastAsia" w:ascii="宋体" w:hAnsi="宋体" w:eastAsia="宋体" w:cs="宋体"/>
          <w:spacing w:val="-1"/>
          <w:sz w:val="24"/>
          <w:szCs w:val="24"/>
          <w:lang w:eastAsia="zh-CN"/>
        </w:rPr>
        <w:t>陕西鸿茂鑫晟建设项目管理有限公司</w:t>
      </w:r>
      <w:r>
        <w:rPr>
          <w:rFonts w:ascii="宋体" w:hAnsi="宋体" w:eastAsia="宋体" w:cs="宋体"/>
          <w:spacing w:val="-2"/>
          <w:sz w:val="24"/>
          <w:szCs w:val="24"/>
        </w:rPr>
        <w:t>。</w:t>
      </w:r>
    </w:p>
    <w:p w14:paraId="7A522E12">
      <w:pPr>
        <w:spacing w:before="183" w:line="360" w:lineRule="auto"/>
        <w:jc w:val="right"/>
        <w:outlineLvl w:val="9"/>
        <w:rPr>
          <w:rFonts w:ascii="宋体" w:hAnsi="宋体" w:eastAsia="宋体" w:cs="宋体"/>
          <w:spacing w:val="-3"/>
          <w:sz w:val="24"/>
          <w:szCs w:val="24"/>
        </w:rPr>
      </w:pPr>
      <w:r>
        <w:rPr>
          <w:rFonts w:ascii="宋体" w:hAnsi="宋体" w:eastAsia="宋体" w:cs="宋体"/>
          <w:spacing w:val="-2"/>
          <w:sz w:val="24"/>
          <w:szCs w:val="24"/>
        </w:rPr>
        <w:t>2.2“供应商”系指响应采购人要求，向采购人提交竞争性谈判响应</w:t>
      </w:r>
      <w:r>
        <w:rPr>
          <w:rFonts w:ascii="宋体" w:hAnsi="宋体" w:eastAsia="宋体" w:cs="宋体"/>
          <w:spacing w:val="-3"/>
          <w:sz w:val="24"/>
          <w:szCs w:val="24"/>
        </w:rPr>
        <w:t>文件的供</w:t>
      </w:r>
    </w:p>
    <w:p w14:paraId="346D16F3">
      <w:pPr>
        <w:spacing w:before="183" w:line="360" w:lineRule="auto"/>
        <w:jc w:val="both"/>
        <w:outlineLvl w:val="9"/>
        <w:rPr>
          <w:rFonts w:ascii="宋体" w:hAnsi="宋体" w:eastAsia="宋体" w:cs="宋体"/>
          <w:sz w:val="24"/>
          <w:szCs w:val="24"/>
        </w:rPr>
      </w:pPr>
      <w:r>
        <w:rPr>
          <w:rFonts w:ascii="宋体" w:hAnsi="宋体" w:eastAsia="宋体" w:cs="宋体"/>
          <w:spacing w:val="-3"/>
          <w:sz w:val="24"/>
          <w:szCs w:val="24"/>
        </w:rPr>
        <w:t>应商。</w:t>
      </w:r>
    </w:p>
    <w:p w14:paraId="25897BD1">
      <w:pPr>
        <w:spacing w:before="185" w:line="360" w:lineRule="auto"/>
        <w:ind w:left="10" w:firstLine="479"/>
        <w:outlineLvl w:val="9"/>
        <w:rPr>
          <w:rFonts w:ascii="宋体" w:hAnsi="宋体" w:eastAsia="宋体" w:cs="宋体"/>
          <w:sz w:val="24"/>
          <w:szCs w:val="24"/>
        </w:rPr>
      </w:pPr>
      <w:r>
        <w:rPr>
          <w:rFonts w:ascii="宋体" w:hAnsi="宋体" w:eastAsia="宋体" w:cs="宋体"/>
          <w:spacing w:val="-2"/>
          <w:sz w:val="24"/>
          <w:szCs w:val="24"/>
        </w:rPr>
        <w:t>2.3“货物”系指供应商按采购文件规定，须向买方提供的货物、备</w:t>
      </w:r>
      <w:r>
        <w:rPr>
          <w:rFonts w:ascii="宋体" w:hAnsi="宋体" w:eastAsia="宋体" w:cs="宋体"/>
          <w:spacing w:val="-3"/>
          <w:sz w:val="24"/>
          <w:szCs w:val="24"/>
        </w:rPr>
        <w:t>品配件、耗材、</w:t>
      </w:r>
      <w:r>
        <w:rPr>
          <w:rFonts w:ascii="宋体" w:hAnsi="宋体" w:eastAsia="宋体" w:cs="宋体"/>
          <w:spacing w:val="-1"/>
          <w:sz w:val="24"/>
          <w:szCs w:val="24"/>
        </w:rPr>
        <w:t>设备及其它有关技术资料和材料。</w:t>
      </w:r>
    </w:p>
    <w:p w14:paraId="037CBC00">
      <w:pPr>
        <w:spacing w:before="183" w:line="360" w:lineRule="auto"/>
        <w:ind w:left="6" w:right="80" w:firstLine="482"/>
        <w:outlineLvl w:val="9"/>
        <w:rPr>
          <w:rFonts w:ascii="宋体" w:hAnsi="宋体" w:eastAsia="宋体" w:cs="宋体"/>
          <w:sz w:val="24"/>
          <w:szCs w:val="24"/>
        </w:rPr>
      </w:pPr>
      <w:r>
        <w:rPr>
          <w:rFonts w:ascii="宋体" w:hAnsi="宋体" w:eastAsia="宋体" w:cs="宋体"/>
          <w:spacing w:val="-4"/>
          <w:sz w:val="24"/>
          <w:szCs w:val="24"/>
        </w:rPr>
        <w:t>2.4“服务”系指采购文件规定供应商须承担的测试、检验、</w:t>
      </w:r>
      <w:r>
        <w:rPr>
          <w:rFonts w:ascii="宋体" w:hAnsi="宋体" w:eastAsia="宋体" w:cs="宋体"/>
          <w:spacing w:val="-5"/>
          <w:sz w:val="24"/>
          <w:szCs w:val="24"/>
        </w:rPr>
        <w:t>调试、技术支持、售后</w:t>
      </w:r>
      <w:r>
        <w:rPr>
          <w:rFonts w:ascii="宋体" w:hAnsi="宋体" w:eastAsia="宋体" w:cs="宋体"/>
          <w:spacing w:val="-1"/>
          <w:sz w:val="24"/>
          <w:szCs w:val="24"/>
        </w:rPr>
        <w:t>服务以及其他类似服务的义务。</w:t>
      </w:r>
    </w:p>
    <w:p w14:paraId="102B4A90">
      <w:pPr>
        <w:spacing w:before="182" w:line="360" w:lineRule="auto"/>
        <w:ind w:left="11"/>
        <w:outlineLvl w:val="9"/>
        <w:rPr>
          <w:rFonts w:ascii="宋体" w:hAnsi="宋体" w:eastAsia="宋体" w:cs="宋体"/>
          <w:sz w:val="24"/>
          <w:szCs w:val="24"/>
        </w:rPr>
      </w:pPr>
      <w:r>
        <w:rPr>
          <w:rFonts w:ascii="宋体" w:hAnsi="宋体" w:eastAsia="宋体" w:cs="宋体"/>
          <w:spacing w:val="-2"/>
          <w:sz w:val="24"/>
          <w:szCs w:val="24"/>
        </w:rPr>
        <w:t>3合格的供应商</w:t>
      </w:r>
    </w:p>
    <w:p w14:paraId="1CA696B9">
      <w:pPr>
        <w:spacing w:before="183" w:line="360" w:lineRule="auto"/>
        <w:ind w:left="491"/>
        <w:outlineLvl w:val="9"/>
        <w:rPr>
          <w:rFonts w:ascii="宋体" w:hAnsi="宋体" w:eastAsia="宋体" w:cs="宋体"/>
          <w:spacing w:val="-1"/>
          <w:sz w:val="24"/>
          <w:szCs w:val="24"/>
        </w:rPr>
      </w:pPr>
      <w:r>
        <w:rPr>
          <w:rFonts w:ascii="宋体" w:hAnsi="宋体" w:eastAsia="宋体" w:cs="宋体"/>
          <w:sz w:val="24"/>
          <w:szCs w:val="24"/>
        </w:rPr>
        <w:t>3.1合格的供应商：满足下列资格条件且</w:t>
      </w:r>
      <w:r>
        <w:rPr>
          <w:rFonts w:ascii="宋体" w:hAnsi="宋体" w:eastAsia="宋体" w:cs="宋体"/>
          <w:spacing w:val="-1"/>
          <w:sz w:val="24"/>
          <w:szCs w:val="24"/>
        </w:rPr>
        <w:t>有能力提供项目所需服务的供应</w:t>
      </w:r>
    </w:p>
    <w:p w14:paraId="4CF36510">
      <w:pPr>
        <w:spacing w:before="183" w:line="360" w:lineRule="auto"/>
        <w:outlineLvl w:val="9"/>
        <w:rPr>
          <w:rFonts w:ascii="宋体" w:hAnsi="宋体" w:eastAsia="宋体" w:cs="宋体"/>
          <w:sz w:val="24"/>
          <w:szCs w:val="24"/>
        </w:rPr>
      </w:pPr>
      <w:r>
        <w:rPr>
          <w:rFonts w:ascii="宋体" w:hAnsi="宋体" w:eastAsia="宋体" w:cs="宋体"/>
          <w:spacing w:val="-1"/>
          <w:sz w:val="24"/>
          <w:szCs w:val="24"/>
        </w:rPr>
        <w:t>商。</w:t>
      </w:r>
    </w:p>
    <w:p w14:paraId="65D138E0">
      <w:pPr>
        <w:spacing w:before="184" w:line="360" w:lineRule="auto"/>
        <w:ind w:left="491"/>
        <w:outlineLvl w:val="9"/>
        <w:rPr>
          <w:rFonts w:ascii="宋体" w:hAnsi="宋体" w:eastAsia="宋体" w:cs="宋体"/>
          <w:sz w:val="24"/>
          <w:szCs w:val="24"/>
        </w:rPr>
      </w:pPr>
      <w:r>
        <w:rPr>
          <w:rFonts w:ascii="宋体" w:hAnsi="宋体" w:eastAsia="宋体" w:cs="宋体"/>
          <w:spacing w:val="-5"/>
          <w:sz w:val="24"/>
          <w:szCs w:val="24"/>
        </w:rPr>
        <w:t>3.2资格条件</w:t>
      </w:r>
    </w:p>
    <w:p w14:paraId="5373AAA2">
      <w:pPr>
        <w:spacing w:before="183" w:line="360" w:lineRule="auto"/>
        <w:ind w:left="11" w:right="80" w:firstLine="480"/>
        <w:outlineLvl w:val="9"/>
        <w:rPr>
          <w:rFonts w:ascii="宋体" w:hAnsi="宋体" w:eastAsia="宋体" w:cs="宋体"/>
          <w:sz w:val="24"/>
          <w:szCs w:val="24"/>
        </w:rPr>
      </w:pPr>
      <w:r>
        <w:rPr>
          <w:rFonts w:ascii="宋体" w:hAnsi="宋体" w:eastAsia="宋体" w:cs="宋体"/>
          <w:spacing w:val="-2"/>
          <w:sz w:val="24"/>
          <w:szCs w:val="24"/>
        </w:rPr>
        <w:t>3.2.1供应商应当符合《中华人民共和国政府采购法》第二十二条第</w:t>
      </w:r>
      <w:r>
        <w:rPr>
          <w:rFonts w:ascii="宋体" w:hAnsi="宋体" w:eastAsia="宋体" w:cs="宋体"/>
          <w:spacing w:val="-3"/>
          <w:sz w:val="24"/>
          <w:szCs w:val="24"/>
        </w:rPr>
        <w:t>一款规定的供应</w:t>
      </w:r>
      <w:r>
        <w:rPr>
          <w:rFonts w:ascii="宋体" w:hAnsi="宋体" w:eastAsia="宋体" w:cs="宋体"/>
          <w:spacing w:val="-1"/>
          <w:sz w:val="24"/>
          <w:szCs w:val="24"/>
        </w:rPr>
        <w:t>商基本资格条件；以及竞争性谈判文件规定的供应商特定资格条件。</w:t>
      </w:r>
    </w:p>
    <w:p w14:paraId="0E401002">
      <w:pPr>
        <w:spacing w:before="1" w:line="360" w:lineRule="auto"/>
        <w:ind w:left="9" w:firstLine="481"/>
        <w:outlineLvl w:val="9"/>
        <w:rPr>
          <w:rFonts w:ascii="宋体" w:hAnsi="宋体" w:eastAsia="宋体" w:cs="宋体"/>
          <w:sz w:val="24"/>
          <w:szCs w:val="24"/>
        </w:rPr>
      </w:pPr>
      <w:r>
        <w:rPr>
          <w:rFonts w:ascii="宋体" w:hAnsi="宋体" w:eastAsia="宋体" w:cs="宋体"/>
          <w:spacing w:val="-2"/>
          <w:sz w:val="24"/>
          <w:szCs w:val="24"/>
        </w:rPr>
        <w:t>3.3供应商必须从采购代理机构获取竞争性谈判文件，供应商自</w:t>
      </w:r>
      <w:r>
        <w:rPr>
          <w:rFonts w:ascii="宋体" w:hAnsi="宋体" w:eastAsia="宋体" w:cs="宋体"/>
          <w:spacing w:val="-3"/>
          <w:sz w:val="24"/>
          <w:szCs w:val="24"/>
        </w:rPr>
        <w:t>行转让或复制的竞争</w:t>
      </w:r>
      <w:r>
        <w:rPr>
          <w:rFonts w:ascii="宋体" w:hAnsi="宋体" w:eastAsia="宋体" w:cs="宋体"/>
          <w:spacing w:val="-1"/>
          <w:sz w:val="24"/>
          <w:szCs w:val="24"/>
        </w:rPr>
        <w:t>性谈判文件视为无效文件；竞争性谈判文件一经售出，</w:t>
      </w:r>
      <w:r>
        <w:rPr>
          <w:rFonts w:ascii="宋体" w:hAnsi="宋体" w:eastAsia="宋体" w:cs="宋体"/>
          <w:spacing w:val="-2"/>
          <w:sz w:val="24"/>
          <w:szCs w:val="24"/>
        </w:rPr>
        <w:t>一律不退，仅作为本次谈判使用。</w:t>
      </w:r>
    </w:p>
    <w:p w14:paraId="392CC8D4">
      <w:pPr>
        <w:spacing w:before="185" w:line="360" w:lineRule="auto"/>
        <w:ind w:left="7" w:right="80" w:firstLine="483"/>
        <w:outlineLvl w:val="9"/>
        <w:rPr>
          <w:rFonts w:ascii="宋体" w:hAnsi="宋体" w:eastAsia="宋体" w:cs="宋体"/>
          <w:sz w:val="24"/>
          <w:szCs w:val="24"/>
        </w:rPr>
      </w:pPr>
      <w:r>
        <w:rPr>
          <w:rFonts w:ascii="宋体" w:hAnsi="宋体" w:eastAsia="宋体" w:cs="宋体"/>
          <w:spacing w:val="-2"/>
          <w:sz w:val="24"/>
          <w:szCs w:val="24"/>
        </w:rPr>
        <w:t>3.4法定代表人或者负责人为同一人或者存在控股、管理关系</w:t>
      </w:r>
      <w:r>
        <w:rPr>
          <w:rFonts w:ascii="宋体" w:hAnsi="宋体" w:eastAsia="宋体" w:cs="宋体"/>
          <w:spacing w:val="-3"/>
          <w:sz w:val="24"/>
          <w:szCs w:val="24"/>
        </w:rPr>
        <w:t>的两个以上供应商，不</w:t>
      </w:r>
      <w:r>
        <w:rPr>
          <w:rFonts w:ascii="宋体" w:hAnsi="宋体" w:eastAsia="宋体" w:cs="宋体"/>
          <w:spacing w:val="-1"/>
          <w:sz w:val="24"/>
          <w:szCs w:val="24"/>
        </w:rPr>
        <w:t>得参加同一政府采购项目投标。</w:t>
      </w:r>
    </w:p>
    <w:p w14:paraId="2D0FAAC1">
      <w:pPr>
        <w:spacing w:before="122" w:line="360" w:lineRule="auto"/>
        <w:ind w:left="487"/>
        <w:outlineLvl w:val="9"/>
        <w:rPr>
          <w:rFonts w:ascii="宋体" w:hAnsi="宋体" w:eastAsia="宋体" w:cs="宋体"/>
          <w:spacing w:val="-3"/>
          <w:sz w:val="24"/>
          <w:szCs w:val="24"/>
        </w:rPr>
      </w:pPr>
      <w:r>
        <w:rPr>
          <w:rFonts w:ascii="宋体" w:hAnsi="宋体" w:eastAsia="宋体" w:cs="宋体"/>
          <w:spacing w:val="-2"/>
          <w:sz w:val="24"/>
          <w:szCs w:val="24"/>
        </w:rPr>
        <w:t>3.5是否接受联合体投标：见供应商须知前附表。接受</w:t>
      </w:r>
      <w:r>
        <w:rPr>
          <w:rFonts w:ascii="宋体" w:hAnsi="宋体" w:eastAsia="宋体" w:cs="宋体"/>
          <w:spacing w:val="-3"/>
          <w:sz w:val="24"/>
          <w:szCs w:val="24"/>
        </w:rPr>
        <w:t>联合体投标的，两个</w:t>
      </w:r>
    </w:p>
    <w:p w14:paraId="58F94A25">
      <w:pPr>
        <w:spacing w:before="122" w:line="360" w:lineRule="auto"/>
        <w:outlineLvl w:val="9"/>
        <w:rPr>
          <w:rFonts w:ascii="宋体" w:hAnsi="宋体" w:eastAsia="宋体" w:cs="宋体"/>
          <w:spacing w:val="-1"/>
          <w:sz w:val="24"/>
          <w:szCs w:val="24"/>
        </w:rPr>
      </w:pPr>
      <w:r>
        <w:rPr>
          <w:rFonts w:ascii="宋体" w:hAnsi="宋体" w:eastAsia="宋体" w:cs="宋体"/>
          <w:spacing w:val="-3"/>
          <w:sz w:val="24"/>
          <w:szCs w:val="24"/>
        </w:rPr>
        <w:t>以上的自</w:t>
      </w:r>
      <w:r>
        <w:rPr>
          <w:rFonts w:ascii="宋体" w:hAnsi="宋体" w:eastAsia="宋体" w:cs="宋体"/>
          <w:spacing w:val="-1"/>
          <w:sz w:val="24"/>
          <w:szCs w:val="24"/>
        </w:rPr>
        <w:t>然人、法人或者其他组织可以组成一个联合体，以一个供应商的</w:t>
      </w:r>
      <w:r>
        <w:rPr>
          <w:rFonts w:ascii="宋体" w:hAnsi="宋体" w:eastAsia="宋体" w:cs="宋体"/>
          <w:spacing w:val="-2"/>
          <w:sz w:val="24"/>
          <w:szCs w:val="24"/>
        </w:rPr>
        <w:t>身份共同参加政府采购。</w:t>
      </w:r>
      <w:r>
        <w:rPr>
          <w:rFonts w:ascii="宋体" w:hAnsi="宋体" w:eastAsia="宋体" w:cs="宋体"/>
          <w:spacing w:val="-3"/>
          <w:sz w:val="24"/>
          <w:szCs w:val="24"/>
        </w:rPr>
        <w:t>以联合体形式进行政府采购的，参加联合体的供应商均应当</w:t>
      </w:r>
      <w:r>
        <w:rPr>
          <w:rFonts w:ascii="宋体" w:hAnsi="宋体" w:eastAsia="宋体" w:cs="宋体"/>
          <w:spacing w:val="-4"/>
          <w:sz w:val="24"/>
          <w:szCs w:val="24"/>
        </w:rPr>
        <w:t>具备采购文件规定的条件，并</w:t>
      </w:r>
      <w:r>
        <w:rPr>
          <w:rFonts w:ascii="宋体" w:hAnsi="宋体" w:eastAsia="宋体" w:cs="宋体"/>
          <w:spacing w:val="-3"/>
          <w:sz w:val="24"/>
          <w:szCs w:val="24"/>
        </w:rPr>
        <w:t>应当向采购人提交联合协议，载明联合体各方承担的工作和</w:t>
      </w:r>
      <w:r>
        <w:rPr>
          <w:rFonts w:ascii="宋体" w:hAnsi="宋体" w:eastAsia="宋体" w:cs="宋体"/>
          <w:spacing w:val="-4"/>
          <w:sz w:val="24"/>
          <w:szCs w:val="24"/>
        </w:rPr>
        <w:t>义务。联合体各方应当共同与</w:t>
      </w:r>
      <w:r>
        <w:rPr>
          <w:rFonts w:ascii="宋体" w:hAnsi="宋体" w:eastAsia="宋体" w:cs="宋体"/>
          <w:sz w:val="24"/>
          <w:szCs w:val="24"/>
        </w:rPr>
        <w:t>采购人签订采购合同，就采购合同约定的事项对</w:t>
      </w:r>
      <w:r>
        <w:rPr>
          <w:rFonts w:ascii="宋体" w:hAnsi="宋体" w:eastAsia="宋体" w:cs="宋体"/>
          <w:spacing w:val="-1"/>
          <w:sz w:val="24"/>
          <w:szCs w:val="24"/>
        </w:rPr>
        <w:t>采购人承担连带责任。</w:t>
      </w:r>
    </w:p>
    <w:p w14:paraId="74C810A6">
      <w:pPr>
        <w:spacing w:before="122" w:line="360" w:lineRule="auto"/>
        <w:ind w:left="487"/>
        <w:outlineLvl w:val="9"/>
        <w:rPr>
          <w:rFonts w:ascii="宋体" w:hAnsi="宋体" w:eastAsia="宋体" w:cs="宋体"/>
          <w:spacing w:val="-1"/>
          <w:sz w:val="24"/>
          <w:szCs w:val="24"/>
        </w:rPr>
      </w:pPr>
      <w:r>
        <w:rPr>
          <w:rFonts w:ascii="宋体" w:hAnsi="宋体" w:eastAsia="宋体" w:cs="宋体"/>
          <w:spacing w:val="-1"/>
          <w:sz w:val="24"/>
          <w:szCs w:val="24"/>
        </w:rPr>
        <w:t>3.6供应商应参照《中华人民共和国政府采购法》及其它有关的中国法律和</w:t>
      </w:r>
    </w:p>
    <w:p w14:paraId="5BD07670">
      <w:pPr>
        <w:spacing w:before="122" w:line="360" w:lineRule="auto"/>
        <w:outlineLvl w:val="9"/>
        <w:rPr>
          <w:rFonts w:ascii="宋体" w:hAnsi="宋体" w:eastAsia="宋体" w:cs="宋体"/>
          <w:sz w:val="24"/>
          <w:szCs w:val="24"/>
        </w:rPr>
      </w:pPr>
      <w:r>
        <w:rPr>
          <w:rFonts w:ascii="宋体" w:hAnsi="宋体" w:eastAsia="宋体" w:cs="宋体"/>
          <w:spacing w:val="-1"/>
          <w:sz w:val="24"/>
          <w:szCs w:val="24"/>
        </w:rPr>
        <w:t>法规。</w:t>
      </w:r>
    </w:p>
    <w:p w14:paraId="7CD98DFB">
      <w:pPr>
        <w:spacing w:before="183" w:line="360" w:lineRule="auto"/>
        <w:ind w:left="1"/>
        <w:outlineLvl w:val="9"/>
        <w:rPr>
          <w:rFonts w:ascii="宋体" w:hAnsi="宋体" w:eastAsia="宋体" w:cs="宋体"/>
          <w:sz w:val="24"/>
          <w:szCs w:val="24"/>
        </w:rPr>
      </w:pPr>
      <w:r>
        <w:rPr>
          <w:rFonts w:ascii="宋体" w:hAnsi="宋体" w:eastAsia="宋体" w:cs="宋体"/>
          <w:spacing w:val="-11"/>
          <w:sz w:val="24"/>
          <w:szCs w:val="24"/>
        </w:rPr>
        <w:t>4费用</w:t>
      </w:r>
    </w:p>
    <w:p w14:paraId="4AD57798">
      <w:pPr>
        <w:spacing w:before="183" w:line="360" w:lineRule="auto"/>
        <w:ind w:left="24" w:right="80" w:firstLine="456"/>
        <w:outlineLvl w:val="9"/>
        <w:rPr>
          <w:rFonts w:ascii="宋体" w:hAnsi="宋体" w:eastAsia="宋体" w:cs="宋体"/>
          <w:sz w:val="24"/>
          <w:szCs w:val="24"/>
        </w:rPr>
      </w:pPr>
      <w:r>
        <w:rPr>
          <w:rFonts w:ascii="宋体" w:hAnsi="宋体" w:eastAsia="宋体" w:cs="宋体"/>
          <w:spacing w:val="-3"/>
          <w:sz w:val="24"/>
          <w:szCs w:val="24"/>
        </w:rPr>
        <w:t>4.1供应商应承担所有与编写和提交竞争性谈判响应文</w:t>
      </w:r>
      <w:r>
        <w:rPr>
          <w:rFonts w:ascii="宋体" w:hAnsi="宋体" w:eastAsia="宋体" w:cs="宋体"/>
          <w:spacing w:val="-4"/>
          <w:sz w:val="24"/>
          <w:szCs w:val="24"/>
        </w:rPr>
        <w:t>件有关的费用，无论谈判过程</w:t>
      </w:r>
      <w:r>
        <w:rPr>
          <w:rFonts w:ascii="宋体" w:hAnsi="宋体" w:eastAsia="宋体" w:cs="宋体"/>
          <w:spacing w:val="-1"/>
          <w:sz w:val="24"/>
          <w:szCs w:val="24"/>
        </w:rPr>
        <w:t>中的做法和结果如何，供应商自行承担参加谈判相关的全</w:t>
      </w:r>
      <w:r>
        <w:rPr>
          <w:rFonts w:ascii="宋体" w:hAnsi="宋体" w:eastAsia="宋体" w:cs="宋体"/>
          <w:spacing w:val="-2"/>
          <w:sz w:val="24"/>
          <w:szCs w:val="24"/>
        </w:rPr>
        <w:t>部费用。</w:t>
      </w:r>
    </w:p>
    <w:p w14:paraId="6EBCF0D2">
      <w:pPr>
        <w:spacing w:before="200" w:line="360" w:lineRule="auto"/>
        <w:outlineLvl w:val="9"/>
        <w:rPr>
          <w:rFonts w:ascii="宋体" w:hAnsi="宋体" w:eastAsia="宋体" w:cs="宋体"/>
          <w:spacing w:val="-1"/>
          <w:sz w:val="35"/>
          <w:szCs w:val="35"/>
        </w:rPr>
      </w:pPr>
      <w:r>
        <w:rPr>
          <w:rFonts w:ascii="宋体" w:hAnsi="宋体" w:eastAsia="宋体" w:cs="宋体"/>
          <w:spacing w:val="-1"/>
          <w:sz w:val="35"/>
          <w:szCs w:val="35"/>
        </w:rPr>
        <w:t>B竞争性谈判文件说明</w:t>
      </w:r>
    </w:p>
    <w:p w14:paraId="5A9F6813">
      <w:pPr>
        <w:spacing w:before="126" w:line="360" w:lineRule="auto"/>
        <w:ind w:left="7"/>
        <w:outlineLvl w:val="9"/>
        <w:rPr>
          <w:rFonts w:ascii="宋体" w:hAnsi="宋体" w:eastAsia="宋体" w:cs="宋体"/>
          <w:sz w:val="24"/>
          <w:szCs w:val="24"/>
        </w:rPr>
      </w:pPr>
      <w:r>
        <w:rPr>
          <w:rFonts w:ascii="宋体" w:hAnsi="宋体" w:eastAsia="宋体" w:cs="宋体"/>
          <w:spacing w:val="-2"/>
          <w:sz w:val="24"/>
          <w:szCs w:val="24"/>
        </w:rPr>
        <w:t>5竞争性谈判文件的构成</w:t>
      </w:r>
    </w:p>
    <w:p w14:paraId="2BACC54B">
      <w:pPr>
        <w:spacing w:before="183" w:line="360" w:lineRule="auto"/>
        <w:ind w:left="2" w:right="80" w:firstLine="484"/>
        <w:outlineLvl w:val="9"/>
        <w:rPr>
          <w:rFonts w:ascii="宋体" w:hAnsi="宋体" w:eastAsia="宋体" w:cs="宋体"/>
          <w:spacing w:val="-4"/>
          <w:sz w:val="24"/>
          <w:szCs w:val="24"/>
        </w:rPr>
      </w:pPr>
      <w:r>
        <w:rPr>
          <w:rFonts w:ascii="宋体" w:hAnsi="宋体" w:eastAsia="宋体" w:cs="宋体"/>
          <w:spacing w:val="-3"/>
          <w:sz w:val="24"/>
          <w:szCs w:val="24"/>
        </w:rPr>
        <w:t>5.1竞争性谈判文件以阐明所需提供的货</w:t>
      </w:r>
      <w:r>
        <w:rPr>
          <w:rFonts w:ascii="宋体" w:hAnsi="宋体" w:eastAsia="宋体" w:cs="宋体"/>
          <w:spacing w:val="-4"/>
          <w:sz w:val="24"/>
          <w:szCs w:val="24"/>
        </w:rPr>
        <w:t>物、采购、谈判程序和合同条件。</w:t>
      </w:r>
    </w:p>
    <w:p w14:paraId="526865B0">
      <w:pPr>
        <w:spacing w:before="183" w:line="360" w:lineRule="auto"/>
        <w:ind w:left="2" w:right="80" w:firstLine="484"/>
        <w:outlineLvl w:val="9"/>
        <w:rPr>
          <w:rFonts w:ascii="宋体" w:hAnsi="宋体" w:eastAsia="宋体" w:cs="宋体"/>
          <w:sz w:val="24"/>
          <w:szCs w:val="24"/>
        </w:rPr>
      </w:pPr>
      <w:r>
        <w:rPr>
          <w:rFonts w:ascii="宋体" w:hAnsi="宋体" w:eastAsia="宋体" w:cs="宋体"/>
          <w:spacing w:val="-4"/>
          <w:sz w:val="24"/>
          <w:szCs w:val="24"/>
        </w:rPr>
        <w:t>竞争性谈</w:t>
      </w:r>
      <w:r>
        <w:rPr>
          <w:rFonts w:ascii="宋体" w:hAnsi="宋体" w:eastAsia="宋体" w:cs="宋体"/>
          <w:spacing w:val="-2"/>
          <w:sz w:val="24"/>
          <w:szCs w:val="24"/>
        </w:rPr>
        <w:t>判文件包括：</w:t>
      </w:r>
    </w:p>
    <w:p w14:paraId="575A17A8">
      <w:pPr>
        <w:spacing w:before="1" w:line="360" w:lineRule="auto"/>
        <w:ind w:left="487"/>
        <w:outlineLvl w:val="9"/>
        <w:rPr>
          <w:rFonts w:ascii="宋体" w:hAnsi="宋体" w:eastAsia="宋体" w:cs="宋体"/>
          <w:sz w:val="24"/>
          <w:szCs w:val="24"/>
        </w:rPr>
      </w:pPr>
      <w:r>
        <w:rPr>
          <w:rFonts w:ascii="宋体" w:hAnsi="宋体" w:eastAsia="宋体" w:cs="宋体"/>
          <w:spacing w:val="-2"/>
          <w:sz w:val="24"/>
          <w:szCs w:val="24"/>
        </w:rPr>
        <w:t>5.1.1竞争性谈判公告；</w:t>
      </w:r>
    </w:p>
    <w:p w14:paraId="40011DC6">
      <w:pPr>
        <w:spacing w:before="184" w:line="360" w:lineRule="auto"/>
        <w:ind w:left="487"/>
        <w:outlineLvl w:val="9"/>
        <w:rPr>
          <w:rFonts w:ascii="宋体" w:hAnsi="宋体" w:eastAsia="宋体" w:cs="宋体"/>
          <w:sz w:val="24"/>
          <w:szCs w:val="24"/>
        </w:rPr>
      </w:pPr>
      <w:r>
        <w:rPr>
          <w:rFonts w:ascii="宋体" w:hAnsi="宋体" w:eastAsia="宋体" w:cs="宋体"/>
          <w:spacing w:val="-1"/>
          <w:sz w:val="24"/>
          <w:szCs w:val="24"/>
        </w:rPr>
        <w:t>5.1.2供应商须知前附表；</w:t>
      </w:r>
    </w:p>
    <w:p w14:paraId="115FB9AA">
      <w:pPr>
        <w:spacing w:before="184" w:line="360" w:lineRule="auto"/>
        <w:ind w:left="487"/>
        <w:outlineLvl w:val="9"/>
        <w:rPr>
          <w:rFonts w:ascii="宋体" w:hAnsi="宋体" w:eastAsia="宋体" w:cs="宋体"/>
          <w:sz w:val="24"/>
          <w:szCs w:val="24"/>
        </w:rPr>
      </w:pPr>
      <w:r>
        <w:rPr>
          <w:rFonts w:ascii="宋体" w:hAnsi="宋体" w:eastAsia="宋体" w:cs="宋体"/>
          <w:spacing w:val="-2"/>
          <w:sz w:val="24"/>
          <w:szCs w:val="24"/>
        </w:rPr>
        <w:t>5.1.3供应商须知；</w:t>
      </w:r>
    </w:p>
    <w:p w14:paraId="59593722">
      <w:pPr>
        <w:spacing w:before="183" w:line="360" w:lineRule="auto"/>
        <w:ind w:left="487"/>
        <w:outlineLvl w:val="9"/>
        <w:rPr>
          <w:rFonts w:ascii="宋体" w:hAnsi="宋体" w:eastAsia="宋体" w:cs="宋体"/>
          <w:sz w:val="24"/>
          <w:szCs w:val="24"/>
        </w:rPr>
      </w:pPr>
      <w:r>
        <w:rPr>
          <w:rFonts w:ascii="宋体" w:hAnsi="宋体" w:eastAsia="宋体" w:cs="宋体"/>
          <w:spacing w:val="-2"/>
          <w:sz w:val="24"/>
          <w:szCs w:val="24"/>
        </w:rPr>
        <w:t>5.1.4政府采购合同；</w:t>
      </w:r>
    </w:p>
    <w:p w14:paraId="39DB8926">
      <w:pPr>
        <w:spacing w:before="184" w:line="360" w:lineRule="auto"/>
        <w:ind w:left="487"/>
        <w:outlineLvl w:val="9"/>
        <w:rPr>
          <w:rFonts w:ascii="宋体" w:hAnsi="宋体" w:eastAsia="宋体" w:cs="宋体"/>
          <w:sz w:val="24"/>
          <w:szCs w:val="24"/>
        </w:rPr>
      </w:pPr>
      <w:r>
        <w:rPr>
          <w:rFonts w:ascii="宋体" w:hAnsi="宋体" w:eastAsia="宋体" w:cs="宋体"/>
          <w:spacing w:val="-2"/>
          <w:sz w:val="24"/>
          <w:szCs w:val="24"/>
        </w:rPr>
        <w:t>5.1.5商务要求；</w:t>
      </w:r>
    </w:p>
    <w:p w14:paraId="6EB8DBE8">
      <w:pPr>
        <w:spacing w:before="182" w:line="360" w:lineRule="auto"/>
        <w:ind w:left="487"/>
        <w:outlineLvl w:val="9"/>
        <w:rPr>
          <w:rFonts w:ascii="宋体" w:hAnsi="宋体" w:eastAsia="宋体" w:cs="宋体"/>
          <w:sz w:val="24"/>
          <w:szCs w:val="24"/>
        </w:rPr>
      </w:pPr>
      <w:r>
        <w:rPr>
          <w:rFonts w:ascii="宋体" w:hAnsi="宋体" w:eastAsia="宋体" w:cs="宋体"/>
          <w:spacing w:val="-2"/>
          <w:sz w:val="24"/>
          <w:szCs w:val="24"/>
        </w:rPr>
        <w:t>5.1.6采购内容及要求；</w:t>
      </w:r>
    </w:p>
    <w:p w14:paraId="6AD2571E">
      <w:pPr>
        <w:spacing w:before="184" w:line="360" w:lineRule="auto"/>
        <w:ind w:left="487"/>
        <w:outlineLvl w:val="9"/>
        <w:rPr>
          <w:rFonts w:ascii="宋体" w:hAnsi="宋体" w:eastAsia="宋体" w:cs="宋体"/>
          <w:sz w:val="24"/>
          <w:szCs w:val="24"/>
        </w:rPr>
      </w:pPr>
      <w:r>
        <w:rPr>
          <w:rFonts w:ascii="宋体" w:hAnsi="宋体" w:eastAsia="宋体" w:cs="宋体"/>
          <w:spacing w:val="-2"/>
          <w:sz w:val="24"/>
          <w:szCs w:val="24"/>
        </w:rPr>
        <w:t>5.1.7评审方法；</w:t>
      </w:r>
    </w:p>
    <w:p w14:paraId="4929492B">
      <w:pPr>
        <w:spacing w:before="183" w:line="360" w:lineRule="auto"/>
        <w:ind w:left="487"/>
        <w:outlineLvl w:val="9"/>
        <w:rPr>
          <w:rFonts w:ascii="宋体" w:hAnsi="宋体" w:eastAsia="宋体" w:cs="宋体"/>
          <w:sz w:val="24"/>
          <w:szCs w:val="24"/>
        </w:rPr>
      </w:pPr>
      <w:r>
        <w:rPr>
          <w:rFonts w:ascii="宋体" w:hAnsi="宋体" w:eastAsia="宋体" w:cs="宋体"/>
          <w:spacing w:val="-2"/>
          <w:sz w:val="24"/>
          <w:szCs w:val="24"/>
        </w:rPr>
        <w:t>5.1.8竞争性谈判响应文件格式</w:t>
      </w:r>
    </w:p>
    <w:p w14:paraId="33D4A69C">
      <w:pPr>
        <w:spacing w:before="183" w:line="360" w:lineRule="auto"/>
        <w:ind w:left="487"/>
        <w:outlineLvl w:val="9"/>
        <w:rPr>
          <w:rFonts w:ascii="宋体" w:hAnsi="宋体" w:eastAsia="宋体" w:cs="宋体"/>
          <w:sz w:val="24"/>
          <w:szCs w:val="24"/>
        </w:rPr>
      </w:pPr>
      <w:r>
        <w:rPr>
          <w:rFonts w:ascii="宋体" w:hAnsi="宋体" w:eastAsia="宋体" w:cs="宋体"/>
          <w:spacing w:val="-2"/>
          <w:sz w:val="24"/>
          <w:szCs w:val="24"/>
        </w:rPr>
        <w:t>5.1.9封袋正面标识式样</w:t>
      </w:r>
    </w:p>
    <w:p w14:paraId="7419F755">
      <w:pPr>
        <w:spacing w:before="182" w:line="360" w:lineRule="auto"/>
        <w:ind w:left="487"/>
        <w:outlineLvl w:val="9"/>
        <w:rPr>
          <w:rFonts w:ascii="宋体" w:hAnsi="宋体" w:eastAsia="宋体" w:cs="宋体"/>
          <w:spacing w:val="-1"/>
          <w:sz w:val="24"/>
          <w:szCs w:val="24"/>
        </w:rPr>
      </w:pPr>
      <w:r>
        <w:rPr>
          <w:rFonts w:ascii="宋体" w:hAnsi="宋体" w:eastAsia="宋体" w:cs="宋体"/>
          <w:sz w:val="24"/>
          <w:szCs w:val="24"/>
        </w:rPr>
        <w:t>5.2供应商应认真阅读竞争性谈判文件中所有</w:t>
      </w:r>
      <w:r>
        <w:rPr>
          <w:rFonts w:ascii="宋体" w:hAnsi="宋体" w:eastAsia="宋体" w:cs="宋体"/>
          <w:spacing w:val="-1"/>
          <w:sz w:val="24"/>
          <w:szCs w:val="24"/>
        </w:rPr>
        <w:t>的事项、格式、条款和规范</w:t>
      </w:r>
    </w:p>
    <w:p w14:paraId="50BBE0EC">
      <w:pPr>
        <w:spacing w:before="182" w:line="360" w:lineRule="auto"/>
        <w:outlineLvl w:val="9"/>
        <w:rPr>
          <w:rFonts w:ascii="宋体" w:hAnsi="宋体" w:eastAsia="宋体" w:cs="宋体"/>
          <w:sz w:val="24"/>
          <w:szCs w:val="24"/>
        </w:rPr>
      </w:pPr>
      <w:r>
        <w:rPr>
          <w:rFonts w:ascii="宋体" w:hAnsi="宋体" w:eastAsia="宋体" w:cs="宋体"/>
          <w:spacing w:val="-1"/>
          <w:sz w:val="24"/>
          <w:szCs w:val="24"/>
        </w:rPr>
        <w:t>要求等。</w:t>
      </w:r>
    </w:p>
    <w:p w14:paraId="2140008E">
      <w:pPr>
        <w:spacing w:before="183" w:line="360" w:lineRule="auto"/>
        <w:ind w:left="1" w:right="80" w:firstLine="485"/>
        <w:outlineLvl w:val="9"/>
        <w:rPr>
          <w:rFonts w:ascii="宋体" w:hAnsi="宋体" w:eastAsia="宋体" w:cs="宋体"/>
          <w:sz w:val="24"/>
          <w:szCs w:val="24"/>
        </w:rPr>
      </w:pPr>
      <w:r>
        <w:rPr>
          <w:rFonts w:ascii="宋体" w:hAnsi="宋体" w:eastAsia="宋体" w:cs="宋体"/>
          <w:spacing w:val="-3"/>
          <w:sz w:val="24"/>
          <w:szCs w:val="24"/>
        </w:rPr>
        <w:t>5.3供应商没有对竞争性谈判文件全面做</w:t>
      </w:r>
      <w:r>
        <w:rPr>
          <w:rFonts w:ascii="宋体" w:hAnsi="宋体" w:eastAsia="宋体" w:cs="宋体"/>
          <w:spacing w:val="-4"/>
          <w:sz w:val="24"/>
          <w:szCs w:val="24"/>
        </w:rPr>
        <w:t>出实质性响应是供应商的风险。采购人有权</w:t>
      </w:r>
      <w:r>
        <w:rPr>
          <w:rFonts w:ascii="宋体" w:hAnsi="宋体" w:eastAsia="宋体" w:cs="宋体"/>
          <w:spacing w:val="-1"/>
          <w:sz w:val="24"/>
          <w:szCs w:val="24"/>
        </w:rPr>
        <w:t>拒绝没有对竞争性谈判文件要求做出实质性响应的谈判。</w:t>
      </w:r>
    </w:p>
    <w:p w14:paraId="7194040E">
      <w:pPr>
        <w:spacing w:before="183" w:line="360" w:lineRule="auto"/>
        <w:ind w:left="4" w:right="80" w:firstLine="482"/>
        <w:outlineLvl w:val="9"/>
        <w:rPr>
          <w:rFonts w:ascii="宋体" w:hAnsi="宋体" w:eastAsia="宋体" w:cs="宋体"/>
          <w:sz w:val="24"/>
          <w:szCs w:val="24"/>
        </w:rPr>
      </w:pPr>
      <w:r>
        <w:rPr>
          <w:rFonts w:ascii="宋体" w:hAnsi="宋体" w:eastAsia="宋体" w:cs="宋体"/>
          <w:spacing w:val="-2"/>
          <w:sz w:val="24"/>
          <w:szCs w:val="24"/>
        </w:rPr>
        <w:t>5.4采购项目需要落实的政府采购政策：国务院财政部门会同有关</w:t>
      </w:r>
      <w:r>
        <w:rPr>
          <w:rFonts w:ascii="宋体" w:hAnsi="宋体" w:eastAsia="宋体" w:cs="宋体"/>
          <w:spacing w:val="-3"/>
          <w:sz w:val="24"/>
          <w:szCs w:val="24"/>
        </w:rPr>
        <w:t>部门制定的采购需求标准、预留采购份额、价格评审优惠、优先采购等</w:t>
      </w:r>
      <w:r>
        <w:rPr>
          <w:rFonts w:ascii="宋体" w:hAnsi="宋体" w:eastAsia="宋体" w:cs="宋体"/>
          <w:spacing w:val="-4"/>
          <w:sz w:val="24"/>
          <w:szCs w:val="24"/>
        </w:rPr>
        <w:t>措施，实现节约能源、保护环境、扶</w:t>
      </w:r>
      <w:r>
        <w:rPr>
          <w:rFonts w:ascii="宋体" w:hAnsi="宋体" w:eastAsia="宋体" w:cs="宋体"/>
          <w:sz w:val="24"/>
          <w:szCs w:val="24"/>
        </w:rPr>
        <w:t>持不发达地区和少数民族地区、促进中小企业</w:t>
      </w:r>
      <w:r>
        <w:rPr>
          <w:rFonts w:ascii="宋体" w:hAnsi="宋体" w:eastAsia="宋体" w:cs="宋体"/>
          <w:spacing w:val="-1"/>
          <w:sz w:val="24"/>
          <w:szCs w:val="24"/>
        </w:rPr>
        <w:t>发展等目标的政府采购政策。</w:t>
      </w:r>
    </w:p>
    <w:p w14:paraId="3F4CE672">
      <w:pPr>
        <w:spacing w:before="185" w:line="360" w:lineRule="auto"/>
        <w:ind w:left="7" w:firstLine="480"/>
        <w:outlineLvl w:val="9"/>
        <w:rPr>
          <w:rFonts w:ascii="宋体" w:hAnsi="宋体" w:eastAsia="宋体" w:cs="宋体"/>
          <w:sz w:val="24"/>
          <w:szCs w:val="24"/>
        </w:rPr>
      </w:pPr>
      <w:r>
        <w:rPr>
          <w:rFonts w:ascii="宋体" w:hAnsi="宋体" w:eastAsia="宋体" w:cs="宋体"/>
          <w:spacing w:val="-7"/>
          <w:sz w:val="24"/>
          <w:szCs w:val="24"/>
        </w:rPr>
        <w:t>5.4.1根据《政府采购促进中小企业发展管理办法</w:t>
      </w:r>
      <w:r>
        <w:rPr>
          <w:rFonts w:ascii="宋体" w:hAnsi="宋体" w:eastAsia="宋体" w:cs="宋体"/>
          <w:spacing w:val="-8"/>
          <w:sz w:val="24"/>
          <w:szCs w:val="24"/>
        </w:rPr>
        <w:t>》（财库【2020】46号）的规定中、</w:t>
      </w:r>
      <w:r>
        <w:rPr>
          <w:rFonts w:ascii="宋体" w:hAnsi="宋体" w:eastAsia="宋体" w:cs="宋体"/>
          <w:spacing w:val="-2"/>
          <w:sz w:val="24"/>
          <w:szCs w:val="24"/>
        </w:rPr>
        <w:t>小、微企业参加投标时对小型和微型企业产品的价格给予20%的扣除，</w:t>
      </w:r>
      <w:r>
        <w:rPr>
          <w:rFonts w:ascii="宋体" w:hAnsi="宋体" w:eastAsia="宋体" w:cs="宋体"/>
          <w:spacing w:val="-3"/>
          <w:sz w:val="24"/>
          <w:szCs w:val="24"/>
        </w:rPr>
        <w:t>用扣除后的价格参</w:t>
      </w:r>
      <w:r>
        <w:rPr>
          <w:rFonts w:ascii="宋体" w:hAnsi="宋体" w:eastAsia="宋体" w:cs="宋体"/>
          <w:spacing w:val="-4"/>
          <w:sz w:val="24"/>
          <w:szCs w:val="24"/>
        </w:rPr>
        <w:t>与评审。</w:t>
      </w:r>
    </w:p>
    <w:p w14:paraId="017264FC">
      <w:pPr>
        <w:spacing w:before="181" w:line="360" w:lineRule="auto"/>
        <w:ind w:left="427"/>
        <w:outlineLvl w:val="9"/>
        <w:rPr>
          <w:rFonts w:ascii="宋体" w:hAnsi="宋体" w:eastAsia="宋体" w:cs="宋体"/>
          <w:spacing w:val="-1"/>
          <w:sz w:val="24"/>
          <w:szCs w:val="24"/>
        </w:rPr>
      </w:pPr>
      <w:r>
        <w:rPr>
          <w:rFonts w:ascii="宋体" w:hAnsi="宋体" w:eastAsia="宋体" w:cs="宋体"/>
          <w:sz w:val="24"/>
          <w:szCs w:val="24"/>
        </w:rPr>
        <w:t>5.4.2《财政部司法部关于政府采购支持监狱</w:t>
      </w:r>
      <w:r>
        <w:rPr>
          <w:rFonts w:ascii="宋体" w:hAnsi="宋体" w:eastAsia="宋体" w:cs="宋体"/>
          <w:spacing w:val="-1"/>
          <w:sz w:val="24"/>
          <w:szCs w:val="24"/>
        </w:rPr>
        <w:t>企业发展有关问题的通知》--</w:t>
      </w:r>
    </w:p>
    <w:p w14:paraId="5D71BECD">
      <w:pPr>
        <w:spacing w:before="123" w:line="360" w:lineRule="auto"/>
        <w:ind w:right="80"/>
        <w:outlineLvl w:val="9"/>
        <w:rPr>
          <w:rFonts w:ascii="宋体" w:hAnsi="宋体" w:eastAsia="宋体" w:cs="宋体"/>
          <w:spacing w:val="-6"/>
          <w:sz w:val="24"/>
          <w:szCs w:val="24"/>
        </w:rPr>
      </w:pPr>
      <w:r>
        <w:rPr>
          <w:rFonts w:ascii="宋体" w:hAnsi="宋体" w:eastAsia="宋体" w:cs="宋体"/>
          <w:spacing w:val="-1"/>
          <w:sz w:val="24"/>
          <w:szCs w:val="24"/>
        </w:rPr>
        <w:t>财库</w:t>
      </w:r>
      <w:r>
        <w:rPr>
          <w:rFonts w:ascii="宋体" w:hAnsi="宋体" w:eastAsia="宋体" w:cs="宋体"/>
          <w:spacing w:val="-6"/>
          <w:sz w:val="24"/>
          <w:szCs w:val="24"/>
        </w:rPr>
        <w:t>[2014]68号；</w:t>
      </w:r>
    </w:p>
    <w:p w14:paraId="2AF25777">
      <w:pPr>
        <w:spacing w:before="123" w:line="360" w:lineRule="auto"/>
        <w:ind w:left="7" w:right="80" w:firstLine="419"/>
        <w:outlineLvl w:val="9"/>
        <w:rPr>
          <w:rFonts w:ascii="宋体" w:hAnsi="宋体" w:eastAsia="宋体" w:cs="宋体"/>
          <w:sz w:val="24"/>
          <w:szCs w:val="24"/>
        </w:rPr>
      </w:pPr>
      <w:r>
        <w:rPr>
          <w:rFonts w:ascii="宋体" w:hAnsi="宋体" w:eastAsia="宋体" w:cs="宋体"/>
          <w:spacing w:val="-4"/>
          <w:sz w:val="24"/>
          <w:szCs w:val="24"/>
        </w:rPr>
        <w:t>5.4.3《国务院办公厅关于建立政府强制采购节能产品制度的</w:t>
      </w:r>
      <w:r>
        <w:rPr>
          <w:rFonts w:ascii="宋体" w:hAnsi="宋体" w:eastAsia="宋体" w:cs="宋体"/>
          <w:spacing w:val="-5"/>
          <w:sz w:val="24"/>
          <w:szCs w:val="24"/>
        </w:rPr>
        <w:t>通知》--国办发[2007]51</w:t>
      </w:r>
      <w:r>
        <w:rPr>
          <w:rFonts w:ascii="宋体" w:hAnsi="宋体" w:eastAsia="宋体" w:cs="宋体"/>
          <w:spacing w:val="-6"/>
          <w:sz w:val="24"/>
          <w:szCs w:val="24"/>
        </w:rPr>
        <w:t>号；</w:t>
      </w:r>
    </w:p>
    <w:p w14:paraId="45392FE5">
      <w:pPr>
        <w:spacing w:before="180" w:line="360" w:lineRule="auto"/>
        <w:ind w:left="426"/>
        <w:outlineLvl w:val="9"/>
        <w:rPr>
          <w:rFonts w:ascii="宋体" w:hAnsi="宋体" w:eastAsia="宋体" w:cs="宋体"/>
          <w:sz w:val="24"/>
          <w:szCs w:val="24"/>
        </w:rPr>
      </w:pPr>
      <w:r>
        <w:rPr>
          <w:rFonts w:ascii="宋体" w:hAnsi="宋体" w:eastAsia="宋体" w:cs="宋体"/>
          <w:spacing w:val="-1"/>
          <w:sz w:val="24"/>
          <w:szCs w:val="24"/>
        </w:rPr>
        <w:t>5.4.4《节能产品政府采购实施意见》--（财库[2004]185号</w:t>
      </w:r>
      <w:r>
        <w:rPr>
          <w:rFonts w:ascii="宋体" w:hAnsi="宋体" w:eastAsia="宋体" w:cs="宋体"/>
          <w:spacing w:val="1"/>
          <w:sz w:val="24"/>
          <w:szCs w:val="24"/>
        </w:rPr>
        <w:t>）；</w:t>
      </w:r>
    </w:p>
    <w:p w14:paraId="62E727EE">
      <w:pPr>
        <w:spacing w:before="183" w:line="360" w:lineRule="auto"/>
        <w:ind w:right="80" w:firstLine="425"/>
        <w:outlineLvl w:val="9"/>
        <w:rPr>
          <w:rFonts w:ascii="宋体" w:hAnsi="宋体" w:eastAsia="宋体" w:cs="宋体"/>
          <w:sz w:val="24"/>
          <w:szCs w:val="24"/>
        </w:rPr>
      </w:pPr>
      <w:r>
        <w:rPr>
          <w:rFonts w:ascii="宋体" w:hAnsi="宋体" w:eastAsia="宋体" w:cs="宋体"/>
          <w:spacing w:val="-1"/>
          <w:sz w:val="24"/>
          <w:szCs w:val="24"/>
        </w:rPr>
        <w:t>5.4.5《环境标志产品政府采购实施的意见》--财库[2006]90号，供应商所投产品应</w:t>
      </w:r>
      <w:r>
        <w:rPr>
          <w:rFonts w:ascii="宋体" w:hAnsi="宋体" w:eastAsia="宋体" w:cs="宋体"/>
          <w:spacing w:val="-3"/>
          <w:sz w:val="24"/>
          <w:szCs w:val="24"/>
        </w:rPr>
        <w:t>优先选择财政部、国家发展改革委公布的环境标志产品政府</w:t>
      </w:r>
      <w:r>
        <w:rPr>
          <w:rFonts w:ascii="宋体" w:hAnsi="宋体" w:eastAsia="宋体" w:cs="宋体"/>
          <w:spacing w:val="-4"/>
          <w:sz w:val="24"/>
          <w:szCs w:val="24"/>
        </w:rPr>
        <w:t>采购清单目录内的产品（须提</w:t>
      </w:r>
      <w:r>
        <w:rPr>
          <w:rFonts w:ascii="宋体" w:hAnsi="宋体" w:eastAsia="宋体" w:cs="宋体"/>
          <w:spacing w:val="-1"/>
          <w:sz w:val="24"/>
          <w:szCs w:val="24"/>
        </w:rPr>
        <w:t>供节能、环保认证证书复印件加盖公章</w:t>
      </w:r>
      <w:r>
        <w:rPr>
          <w:rFonts w:ascii="宋体" w:hAnsi="宋体" w:eastAsia="宋体" w:cs="宋体"/>
          <w:spacing w:val="3"/>
          <w:sz w:val="24"/>
          <w:szCs w:val="24"/>
        </w:rPr>
        <w:t>）；</w:t>
      </w:r>
    </w:p>
    <w:p w14:paraId="72233AA4">
      <w:pPr>
        <w:spacing w:before="182" w:line="360" w:lineRule="auto"/>
        <w:ind w:right="97" w:firstLine="426"/>
        <w:outlineLvl w:val="9"/>
        <w:rPr>
          <w:rFonts w:ascii="宋体" w:hAnsi="宋体" w:eastAsia="宋体" w:cs="宋体"/>
          <w:sz w:val="24"/>
          <w:szCs w:val="24"/>
        </w:rPr>
      </w:pPr>
      <w:r>
        <w:rPr>
          <w:rFonts w:ascii="宋体" w:hAnsi="宋体" w:eastAsia="宋体" w:cs="宋体"/>
          <w:spacing w:val="1"/>
          <w:sz w:val="24"/>
          <w:szCs w:val="24"/>
        </w:rPr>
        <w:t>5.4.6《财政部民政部中国残疾人联合会关于促进残疾人</w:t>
      </w:r>
      <w:r>
        <w:rPr>
          <w:rFonts w:ascii="宋体" w:hAnsi="宋体" w:eastAsia="宋体" w:cs="宋体"/>
          <w:sz w:val="24"/>
          <w:szCs w:val="24"/>
        </w:rPr>
        <w:t>就业政府采购政策的通知》</w:t>
      </w:r>
      <w:r>
        <w:rPr>
          <w:rFonts w:ascii="宋体" w:hAnsi="宋体" w:eastAsia="宋体" w:cs="宋体"/>
          <w:spacing w:val="-2"/>
          <w:sz w:val="24"/>
          <w:szCs w:val="24"/>
        </w:rPr>
        <w:t>--（财库〔2017〕141号</w:t>
      </w:r>
      <w:r>
        <w:rPr>
          <w:rFonts w:ascii="宋体" w:hAnsi="宋体" w:eastAsia="宋体" w:cs="宋体"/>
          <w:spacing w:val="3"/>
          <w:sz w:val="24"/>
          <w:szCs w:val="24"/>
        </w:rPr>
        <w:t>）；</w:t>
      </w:r>
    </w:p>
    <w:p w14:paraId="13B174C9">
      <w:pPr>
        <w:spacing w:before="182" w:line="360" w:lineRule="auto"/>
        <w:ind w:left="486"/>
        <w:outlineLvl w:val="9"/>
        <w:rPr>
          <w:rFonts w:ascii="宋体" w:hAnsi="宋体" w:eastAsia="宋体" w:cs="宋体"/>
          <w:sz w:val="24"/>
          <w:szCs w:val="24"/>
        </w:rPr>
      </w:pPr>
      <w:r>
        <w:rPr>
          <w:rFonts w:ascii="宋体" w:hAnsi="宋体" w:eastAsia="宋体" w:cs="宋体"/>
          <w:spacing w:val="-1"/>
          <w:sz w:val="24"/>
          <w:szCs w:val="24"/>
        </w:rPr>
        <w:t>5.4.7《政府采购贫困地区农副产品实施方案》--（财库〔2019〕41号</w:t>
      </w:r>
      <w:r>
        <w:rPr>
          <w:rFonts w:ascii="宋体" w:hAnsi="宋体" w:eastAsia="宋体" w:cs="宋体"/>
          <w:spacing w:val="3"/>
          <w:sz w:val="24"/>
          <w:szCs w:val="24"/>
        </w:rPr>
        <w:t>）；</w:t>
      </w:r>
    </w:p>
    <w:p w14:paraId="3AF37DAA">
      <w:pPr>
        <w:spacing w:before="226" w:line="360" w:lineRule="auto"/>
        <w:ind w:left="19" w:right="4" w:firstLine="467"/>
        <w:outlineLvl w:val="9"/>
        <w:rPr>
          <w:rFonts w:ascii="宋体" w:hAnsi="宋体" w:eastAsia="宋体" w:cs="宋体"/>
          <w:sz w:val="24"/>
          <w:szCs w:val="24"/>
        </w:rPr>
      </w:pPr>
      <w:r>
        <w:rPr>
          <w:rFonts w:ascii="宋体" w:hAnsi="宋体" w:eastAsia="宋体" w:cs="宋体"/>
          <w:spacing w:val="-4"/>
          <w:sz w:val="24"/>
          <w:szCs w:val="24"/>
        </w:rPr>
        <w:t>5.4.8《关于在政府采购活动中查询及使用信用记录有关问题的</w:t>
      </w:r>
      <w:r>
        <w:rPr>
          <w:rFonts w:ascii="宋体" w:hAnsi="宋体" w:eastAsia="宋体" w:cs="宋体"/>
          <w:spacing w:val="-5"/>
          <w:sz w:val="24"/>
          <w:szCs w:val="24"/>
        </w:rPr>
        <w:t>通知》（财库〔2016〕</w:t>
      </w:r>
      <w:r>
        <w:rPr>
          <w:rFonts w:ascii="宋体" w:hAnsi="宋体" w:eastAsia="宋体" w:cs="宋体"/>
          <w:spacing w:val="-11"/>
          <w:sz w:val="24"/>
          <w:szCs w:val="24"/>
        </w:rPr>
        <w:t>125号</w:t>
      </w:r>
      <w:r>
        <w:rPr>
          <w:rFonts w:ascii="宋体" w:hAnsi="宋体" w:eastAsia="宋体" w:cs="宋体"/>
          <w:sz w:val="24"/>
          <w:szCs w:val="24"/>
        </w:rPr>
        <w:t>）；</w:t>
      </w:r>
    </w:p>
    <w:p w14:paraId="14209B40">
      <w:pPr>
        <w:spacing w:before="257" w:line="360" w:lineRule="auto"/>
        <w:ind w:left="481"/>
        <w:outlineLvl w:val="9"/>
        <w:rPr>
          <w:rFonts w:hint="eastAsia" w:ascii="宋体" w:hAnsi="宋体" w:eastAsia="宋体" w:cs="宋体"/>
          <w:spacing w:val="-35"/>
          <w:sz w:val="24"/>
          <w:szCs w:val="24"/>
          <w:lang w:eastAsia="zh-CN"/>
        </w:rPr>
      </w:pPr>
      <w:r>
        <w:rPr>
          <w:rFonts w:ascii="宋体" w:hAnsi="宋体" w:eastAsia="宋体" w:cs="宋体"/>
          <w:spacing w:val="-1"/>
          <w:sz w:val="24"/>
          <w:szCs w:val="24"/>
        </w:rPr>
        <w:t>5.4.9《关于开展政府采购信用担保试点工作的通知》（财库【2011】124</w:t>
      </w:r>
    </w:p>
    <w:p w14:paraId="2A04A9FC">
      <w:pPr>
        <w:spacing w:before="257" w:line="360" w:lineRule="auto"/>
        <w:outlineLvl w:val="9"/>
        <w:rPr>
          <w:rFonts w:ascii="宋体" w:hAnsi="宋体" w:eastAsia="宋体" w:cs="宋体"/>
          <w:sz w:val="24"/>
          <w:szCs w:val="24"/>
        </w:rPr>
      </w:pPr>
      <w:r>
        <w:rPr>
          <w:rFonts w:ascii="宋体" w:hAnsi="宋体" w:eastAsia="宋体" w:cs="宋体"/>
          <w:spacing w:val="-1"/>
          <w:sz w:val="24"/>
          <w:szCs w:val="24"/>
        </w:rPr>
        <w:t>号）。</w:t>
      </w:r>
    </w:p>
    <w:p w14:paraId="16FEA657">
      <w:pPr>
        <w:spacing w:before="221" w:line="360" w:lineRule="auto"/>
        <w:ind w:firstLine="485"/>
        <w:outlineLvl w:val="9"/>
        <w:rPr>
          <w:rFonts w:ascii="宋体" w:hAnsi="宋体" w:eastAsia="宋体" w:cs="宋体"/>
          <w:sz w:val="24"/>
          <w:szCs w:val="24"/>
        </w:rPr>
      </w:pPr>
      <w:r>
        <w:rPr>
          <w:rFonts w:ascii="宋体" w:hAnsi="宋体" w:eastAsia="宋体" w:cs="宋体"/>
          <w:spacing w:val="-1"/>
          <w:sz w:val="24"/>
          <w:szCs w:val="24"/>
        </w:rPr>
        <w:t>5.4.10为了进一步推动金融支持政策更好适应市场主体的需要，扎实落实国务院关</w:t>
      </w:r>
      <w:r>
        <w:rPr>
          <w:rFonts w:ascii="宋体" w:hAnsi="宋体" w:eastAsia="宋体" w:cs="宋体"/>
          <w:spacing w:val="-7"/>
          <w:sz w:val="24"/>
          <w:szCs w:val="24"/>
        </w:rPr>
        <w:t>于支持中小企业发展的政策措施，积极发挥政府采购政策功能，有效</w:t>
      </w:r>
      <w:r>
        <w:rPr>
          <w:rFonts w:ascii="宋体" w:hAnsi="宋体" w:eastAsia="宋体" w:cs="宋体"/>
          <w:spacing w:val="-8"/>
          <w:sz w:val="24"/>
          <w:szCs w:val="24"/>
        </w:rPr>
        <w:t>缓解中小企业融资难、</w:t>
      </w:r>
      <w:r>
        <w:rPr>
          <w:rFonts w:ascii="宋体" w:hAnsi="宋体" w:eastAsia="宋体" w:cs="宋体"/>
          <w:spacing w:val="-3"/>
          <w:sz w:val="24"/>
          <w:szCs w:val="24"/>
        </w:rPr>
        <w:t>融资贵问题，根据中办、国办《关于促进中小企业健康发展</w:t>
      </w:r>
      <w:r>
        <w:rPr>
          <w:rFonts w:ascii="宋体" w:hAnsi="宋体" w:eastAsia="宋体" w:cs="宋体"/>
          <w:spacing w:val="-4"/>
          <w:sz w:val="24"/>
          <w:szCs w:val="24"/>
        </w:rPr>
        <w:t>的指导意见》、财政部、工信</w:t>
      </w:r>
      <w:r>
        <w:rPr>
          <w:rFonts w:ascii="宋体" w:hAnsi="宋体" w:eastAsia="宋体" w:cs="宋体"/>
          <w:spacing w:val="-1"/>
          <w:sz w:val="24"/>
          <w:szCs w:val="24"/>
        </w:rPr>
        <w:t>部《政府采购促进中小企业发展管理办法》（财库〔2020〕46号）、《陕西省中小企业政府采购信用融资办法》（陕财办采[2018]23号）、《陕西省财政厅关于加快推进我省中小企业政府采购信用融资工作的通知》（陕财办采[2020]15号）等有关规定，按照市</w:t>
      </w:r>
      <w:r>
        <w:rPr>
          <w:rFonts w:ascii="宋体" w:hAnsi="宋体" w:eastAsia="宋体" w:cs="宋体"/>
          <w:spacing w:val="-3"/>
          <w:sz w:val="24"/>
          <w:szCs w:val="24"/>
        </w:rPr>
        <w:t>场主导、财政引导、银企自愿、风险自担的原则，中标（成</w:t>
      </w:r>
      <w:r>
        <w:rPr>
          <w:rFonts w:ascii="宋体" w:hAnsi="宋体" w:eastAsia="宋体" w:cs="宋体"/>
          <w:spacing w:val="-4"/>
          <w:sz w:val="24"/>
          <w:szCs w:val="24"/>
        </w:rPr>
        <w:t>交）供应商可根据自身资金需</w:t>
      </w:r>
      <w:r>
        <w:rPr>
          <w:rFonts w:ascii="宋体" w:hAnsi="宋体" w:eastAsia="宋体" w:cs="宋体"/>
          <w:spacing w:val="-1"/>
          <w:sz w:val="24"/>
          <w:szCs w:val="24"/>
        </w:rPr>
        <w:t>求，登录陕西省政府采购信用融资平台</w:t>
      </w:r>
    </w:p>
    <w:p w14:paraId="28020BCE">
      <w:pPr>
        <w:spacing w:before="147" w:line="360" w:lineRule="auto"/>
        <w:ind w:right="80" w:firstLine="12"/>
        <w:outlineLvl w:val="9"/>
        <w:rPr>
          <w:rFonts w:ascii="宋体" w:hAnsi="宋体" w:eastAsia="宋体" w:cs="宋体"/>
          <w:sz w:val="24"/>
          <w:szCs w:val="24"/>
        </w:rPr>
      </w:pPr>
      <w:r>
        <w:rPr>
          <w:rFonts w:ascii="宋体" w:hAnsi="宋体" w:eastAsia="宋体" w:cs="宋体"/>
          <w:spacing w:val="-1"/>
          <w:sz w:val="24"/>
          <w:szCs w:val="24"/>
        </w:rPr>
        <w:t>（</w:t>
      </w:r>
      <w:r>
        <w:rPr>
          <w:position w:val="1"/>
          <w:sz w:val="24"/>
          <w:szCs w:val="24"/>
        </w:rPr>
        <w:drawing>
          <wp:inline distT="0" distB="0" distL="0" distR="0">
            <wp:extent cx="190500" cy="142875"/>
            <wp:effectExtent l="0" t="0" r="0" b="0"/>
            <wp:docPr id="28" name="IM 28"/>
            <wp:cNvGraphicFramePr/>
            <a:graphic xmlns:a="http://schemas.openxmlformats.org/drawingml/2006/main">
              <a:graphicData uri="http://schemas.openxmlformats.org/drawingml/2006/picture">
                <pic:pic xmlns:pic="http://schemas.openxmlformats.org/drawingml/2006/picture">
                  <pic:nvPicPr>
                    <pic:cNvPr id="28" name="IM 28"/>
                    <pic:cNvPicPr/>
                  </pic:nvPicPr>
                  <pic:blipFill>
                    <a:blip r:embed="rId48"/>
                    <a:stretch>
                      <a:fillRect/>
                    </a:stretch>
                  </pic:blipFill>
                  <pic:spPr>
                    <a:xfrm>
                      <a:off x="0" y="0"/>
                      <a:ext cx="190500" cy="143255"/>
                    </a:xfrm>
                    <a:prstGeom prst="rect">
                      <a:avLst/>
                    </a:prstGeom>
                  </pic:spPr>
                </pic:pic>
              </a:graphicData>
            </a:graphic>
          </wp:inline>
        </w:drawing>
      </w:r>
      <w:r>
        <w:fldChar w:fldCharType="begin"/>
      </w:r>
      <w:r>
        <w:instrText xml:space="preserve"> HYPERLINK "http://www.ccgp-shaanxi.gov.cn/zcdservice/zcd/shanxi/" </w:instrText>
      </w:r>
      <w:r>
        <w:fldChar w:fldCharType="separate"/>
      </w:r>
      <w:r>
        <w:rPr>
          <w:rFonts w:ascii="宋体" w:hAnsi="宋体" w:eastAsia="宋体" w:cs="宋体"/>
          <w:spacing w:val="-1"/>
          <w:sz w:val="24"/>
          <w:szCs w:val="24"/>
        </w:rPr>
        <w:t>http://www.ccgp-shaanxi.gov.cn/zcdservice/zcd</w:t>
      </w:r>
      <w:r>
        <w:rPr>
          <w:rFonts w:ascii="宋体" w:hAnsi="宋体" w:eastAsia="宋体" w:cs="宋体"/>
          <w:spacing w:val="-2"/>
          <w:sz w:val="24"/>
          <w:szCs w:val="24"/>
        </w:rPr>
        <w:t>/shanxi/</w:t>
      </w:r>
      <w:r>
        <w:rPr>
          <w:rFonts w:ascii="宋体" w:hAnsi="宋体" w:eastAsia="宋体" w:cs="宋体"/>
          <w:spacing w:val="-2"/>
          <w:sz w:val="24"/>
          <w:szCs w:val="24"/>
        </w:rPr>
        <w:fldChar w:fldCharType="end"/>
      </w:r>
      <w:r>
        <w:rPr>
          <w:rFonts w:ascii="宋体" w:hAnsi="宋体" w:eastAsia="宋体" w:cs="宋体"/>
          <w:spacing w:val="-2"/>
          <w:sz w:val="24"/>
          <w:szCs w:val="24"/>
        </w:rPr>
        <w:t>）在线申请，依法参加</w:t>
      </w:r>
      <w:r>
        <w:rPr>
          <w:rFonts w:ascii="宋体" w:hAnsi="宋体" w:eastAsia="宋体" w:cs="宋体"/>
          <w:spacing w:val="-1"/>
          <w:sz w:val="24"/>
          <w:szCs w:val="24"/>
        </w:rPr>
        <w:t>政府采购信用融资活动。</w:t>
      </w:r>
    </w:p>
    <w:p w14:paraId="503515D5">
      <w:pPr>
        <w:spacing w:before="16" w:line="360" w:lineRule="auto"/>
        <w:ind w:left="1" w:firstLine="45"/>
        <w:outlineLvl w:val="9"/>
        <w:rPr>
          <w:rFonts w:ascii="宋体" w:hAnsi="宋体" w:eastAsia="宋体" w:cs="宋体"/>
          <w:spacing w:val="-1"/>
          <w:sz w:val="24"/>
          <w:szCs w:val="24"/>
        </w:rPr>
      </w:pPr>
      <w:r>
        <w:rPr>
          <w:rFonts w:ascii="宋体" w:hAnsi="宋体" w:eastAsia="宋体" w:cs="宋体"/>
          <w:spacing w:val="-8"/>
          <w:sz w:val="24"/>
          <w:szCs w:val="24"/>
        </w:rPr>
        <w:t>目前的合作银行有：北京银行、中国建设银行、中信</w:t>
      </w:r>
      <w:r>
        <w:rPr>
          <w:rFonts w:ascii="宋体" w:hAnsi="宋体" w:eastAsia="宋体" w:cs="宋体"/>
          <w:spacing w:val="-9"/>
          <w:sz w:val="24"/>
          <w:szCs w:val="24"/>
        </w:rPr>
        <w:t>银行、中国平安银行、中国光大银行、</w:t>
      </w:r>
      <w:r>
        <w:rPr>
          <w:rFonts w:ascii="宋体" w:hAnsi="宋体" w:eastAsia="宋体" w:cs="宋体"/>
          <w:spacing w:val="-3"/>
          <w:sz w:val="24"/>
          <w:szCs w:val="24"/>
        </w:rPr>
        <w:t>浦发银行、兴业银行、中国工商银行、秦农银行、浙商银</w:t>
      </w:r>
      <w:r>
        <w:rPr>
          <w:rFonts w:ascii="宋体" w:hAnsi="宋体" w:eastAsia="宋体" w:cs="宋体"/>
          <w:spacing w:val="-4"/>
          <w:sz w:val="24"/>
          <w:szCs w:val="24"/>
        </w:rPr>
        <w:t>行、中国银行、西安银行、中国</w:t>
      </w:r>
      <w:r>
        <w:rPr>
          <w:rFonts w:ascii="宋体" w:hAnsi="宋体" w:eastAsia="宋体" w:cs="宋体"/>
          <w:spacing w:val="-1"/>
          <w:sz w:val="24"/>
          <w:szCs w:val="24"/>
        </w:rPr>
        <w:t>农业银行、中国邮政储蓄银行（排名不分先后）。</w:t>
      </w:r>
    </w:p>
    <w:p w14:paraId="55997B31">
      <w:pPr>
        <w:spacing w:before="16" w:line="360" w:lineRule="auto"/>
        <w:ind w:left="1" w:firstLine="45"/>
        <w:outlineLvl w:val="9"/>
        <w:rPr>
          <w:rFonts w:ascii="宋体" w:hAnsi="宋体" w:eastAsia="宋体" w:cs="宋体"/>
          <w:spacing w:val="-1"/>
          <w:sz w:val="24"/>
          <w:szCs w:val="24"/>
        </w:rPr>
      </w:pPr>
      <w:r>
        <w:rPr>
          <w:rFonts w:ascii="宋体" w:hAnsi="宋体" w:eastAsia="宋体" w:cs="宋体"/>
          <w:spacing w:val="-1"/>
          <w:sz w:val="24"/>
          <w:szCs w:val="24"/>
        </w:rPr>
        <w:t>6竞争性谈判文件的澄清</w:t>
      </w:r>
    </w:p>
    <w:p w14:paraId="6853FED7">
      <w:pPr>
        <w:spacing w:before="16" w:line="360" w:lineRule="auto"/>
        <w:ind w:left="1" w:firstLine="287" w:firstLineChars="121"/>
        <w:outlineLvl w:val="9"/>
        <w:rPr>
          <w:rFonts w:ascii="宋体" w:hAnsi="宋体" w:eastAsia="宋体" w:cs="宋体"/>
          <w:spacing w:val="-1"/>
          <w:sz w:val="24"/>
          <w:szCs w:val="24"/>
        </w:rPr>
      </w:pPr>
      <w:r>
        <w:rPr>
          <w:rFonts w:ascii="宋体" w:hAnsi="宋体" w:eastAsia="宋体" w:cs="宋体"/>
          <w:spacing w:val="-1"/>
          <w:sz w:val="24"/>
          <w:szCs w:val="24"/>
        </w:rPr>
        <w:t>6.1任何要求对竞争性谈判文件澄清的供应商，均应以书面形式在谈判截止时间2日前通知采购代理机构。采购代理机构将以书面形式予以答复，并在其认为必要时，将不标明查询来源的书面答复通知竞争性谈判文件收受人。</w:t>
      </w:r>
    </w:p>
    <w:p w14:paraId="0E7B4361">
      <w:pPr>
        <w:spacing w:before="122" w:line="360" w:lineRule="auto"/>
        <w:ind w:firstLine="240" w:firstLineChars="100"/>
        <w:outlineLvl w:val="9"/>
        <w:rPr>
          <w:rFonts w:ascii="宋体" w:hAnsi="宋体" w:eastAsia="宋体" w:cs="宋体"/>
          <w:sz w:val="24"/>
          <w:szCs w:val="24"/>
        </w:rPr>
      </w:pPr>
      <w:r>
        <w:rPr>
          <w:rFonts w:ascii="宋体" w:hAnsi="宋体" w:eastAsia="宋体" w:cs="宋体"/>
          <w:sz w:val="24"/>
          <w:szCs w:val="24"/>
        </w:rPr>
        <w:t>6.2供应商收到上述通知后，应当立即向采购</w:t>
      </w:r>
      <w:r>
        <w:rPr>
          <w:rFonts w:ascii="宋体" w:hAnsi="宋体" w:eastAsia="宋体" w:cs="宋体"/>
          <w:spacing w:val="-1"/>
          <w:sz w:val="24"/>
          <w:szCs w:val="24"/>
        </w:rPr>
        <w:t>代理机构发出回函予以确认。</w:t>
      </w:r>
    </w:p>
    <w:p w14:paraId="74F09216">
      <w:pPr>
        <w:spacing w:before="184" w:line="360" w:lineRule="auto"/>
        <w:ind w:firstLine="238" w:firstLineChars="100"/>
        <w:outlineLvl w:val="9"/>
        <w:rPr>
          <w:rFonts w:ascii="宋体" w:hAnsi="宋体" w:eastAsia="宋体" w:cs="宋体"/>
          <w:sz w:val="24"/>
          <w:szCs w:val="24"/>
        </w:rPr>
      </w:pPr>
      <w:r>
        <w:rPr>
          <w:rFonts w:ascii="宋体" w:hAnsi="宋体" w:eastAsia="宋体" w:cs="宋体"/>
          <w:spacing w:val="-1"/>
          <w:sz w:val="24"/>
          <w:szCs w:val="24"/>
        </w:rPr>
        <w:t>6.3该澄清的内容为竞争性谈判文件的组成部分。</w:t>
      </w:r>
    </w:p>
    <w:p w14:paraId="7AE41634">
      <w:pPr>
        <w:spacing w:before="183" w:line="360" w:lineRule="auto"/>
        <w:ind w:left="6"/>
        <w:outlineLvl w:val="9"/>
        <w:rPr>
          <w:rFonts w:ascii="宋体" w:hAnsi="宋体" w:eastAsia="宋体" w:cs="宋体"/>
          <w:sz w:val="24"/>
          <w:szCs w:val="24"/>
        </w:rPr>
      </w:pPr>
      <w:r>
        <w:rPr>
          <w:rFonts w:ascii="宋体" w:hAnsi="宋体" w:eastAsia="宋体" w:cs="宋体"/>
          <w:spacing w:val="-2"/>
          <w:sz w:val="24"/>
          <w:szCs w:val="24"/>
        </w:rPr>
        <w:t>7竞争性谈判文件的修改</w:t>
      </w:r>
    </w:p>
    <w:p w14:paraId="763DE61B">
      <w:pPr>
        <w:spacing w:before="181" w:line="360" w:lineRule="auto"/>
        <w:ind w:left="2" w:right="61" w:firstLine="483"/>
        <w:outlineLvl w:val="9"/>
        <w:rPr>
          <w:rFonts w:ascii="宋体" w:hAnsi="宋体" w:eastAsia="宋体" w:cs="宋体"/>
          <w:sz w:val="24"/>
          <w:szCs w:val="24"/>
        </w:rPr>
      </w:pPr>
      <w:r>
        <w:rPr>
          <w:rFonts w:ascii="宋体" w:hAnsi="宋体" w:eastAsia="宋体" w:cs="宋体"/>
          <w:spacing w:val="-3"/>
          <w:sz w:val="24"/>
          <w:szCs w:val="24"/>
        </w:rPr>
        <w:t>7.1在竞争性谈判截止期前，无论出于</w:t>
      </w:r>
      <w:r>
        <w:rPr>
          <w:rFonts w:ascii="宋体" w:hAnsi="宋体" w:eastAsia="宋体" w:cs="宋体"/>
          <w:spacing w:val="-4"/>
          <w:sz w:val="24"/>
          <w:szCs w:val="24"/>
        </w:rPr>
        <w:t>何种原因，采购人可主动地或在解答供应商要</w:t>
      </w:r>
      <w:r>
        <w:rPr>
          <w:rFonts w:ascii="宋体" w:hAnsi="宋体" w:eastAsia="宋体" w:cs="宋体"/>
          <w:spacing w:val="-1"/>
          <w:sz w:val="24"/>
          <w:szCs w:val="24"/>
        </w:rPr>
        <w:t>求澄清的问题时对竞争性谈判文件进行修改。</w:t>
      </w:r>
    </w:p>
    <w:p w14:paraId="2C779931">
      <w:pPr>
        <w:spacing w:before="183" w:line="360" w:lineRule="auto"/>
        <w:ind w:right="61" w:firstLine="486"/>
        <w:outlineLvl w:val="9"/>
        <w:rPr>
          <w:rFonts w:ascii="宋体" w:hAnsi="宋体" w:eastAsia="宋体" w:cs="宋体"/>
          <w:sz w:val="24"/>
          <w:szCs w:val="24"/>
        </w:rPr>
      </w:pPr>
      <w:r>
        <w:rPr>
          <w:rFonts w:ascii="宋体" w:hAnsi="宋体" w:eastAsia="宋体" w:cs="宋体"/>
          <w:spacing w:val="-3"/>
          <w:sz w:val="24"/>
          <w:szCs w:val="24"/>
        </w:rPr>
        <w:t>7.2竞争性谈判文件的修改将以书面形</w:t>
      </w:r>
      <w:r>
        <w:rPr>
          <w:rFonts w:ascii="宋体" w:hAnsi="宋体" w:eastAsia="宋体" w:cs="宋体"/>
          <w:spacing w:val="-4"/>
          <w:sz w:val="24"/>
          <w:szCs w:val="24"/>
        </w:rPr>
        <w:t>式通知所有竞争性谈判文件的收受人，供应商</w:t>
      </w:r>
      <w:r>
        <w:rPr>
          <w:rFonts w:ascii="宋体" w:hAnsi="宋体" w:eastAsia="宋体" w:cs="宋体"/>
          <w:spacing w:val="-1"/>
          <w:sz w:val="24"/>
          <w:szCs w:val="24"/>
        </w:rPr>
        <w:t>在收到该通知后应立即以书面形式予以确认。</w:t>
      </w:r>
    </w:p>
    <w:p w14:paraId="7D140635">
      <w:pPr>
        <w:spacing w:before="183" w:line="360" w:lineRule="auto"/>
        <w:ind w:left="6" w:firstLine="479"/>
        <w:outlineLvl w:val="9"/>
        <w:rPr>
          <w:rFonts w:ascii="宋体" w:hAnsi="宋体" w:eastAsia="宋体" w:cs="宋体"/>
          <w:sz w:val="24"/>
          <w:szCs w:val="24"/>
        </w:rPr>
      </w:pPr>
      <w:r>
        <w:rPr>
          <w:rFonts w:ascii="宋体" w:hAnsi="宋体" w:eastAsia="宋体" w:cs="宋体"/>
          <w:spacing w:val="-3"/>
          <w:sz w:val="24"/>
          <w:szCs w:val="24"/>
        </w:rPr>
        <w:t>7.3为使供应商在准备竞争性谈判响应</w:t>
      </w:r>
      <w:r>
        <w:rPr>
          <w:rFonts w:ascii="宋体" w:hAnsi="宋体" w:eastAsia="宋体" w:cs="宋体"/>
          <w:spacing w:val="-4"/>
          <w:sz w:val="24"/>
          <w:szCs w:val="24"/>
        </w:rPr>
        <w:t>文件时，有充分的时间对竞争性谈判文件的修</w:t>
      </w:r>
      <w:r>
        <w:rPr>
          <w:rFonts w:ascii="宋体" w:hAnsi="宋体" w:eastAsia="宋体" w:cs="宋体"/>
          <w:spacing w:val="-8"/>
          <w:sz w:val="24"/>
          <w:szCs w:val="24"/>
        </w:rPr>
        <w:t>改进行研究考虑，采购人可自行决定，酌情推迟竞争性谈判响应文件截止日期和谈判时间，</w:t>
      </w:r>
      <w:r>
        <w:rPr>
          <w:rFonts w:ascii="宋体" w:hAnsi="宋体" w:eastAsia="宋体" w:cs="宋体"/>
          <w:spacing w:val="-1"/>
          <w:sz w:val="24"/>
          <w:szCs w:val="24"/>
        </w:rPr>
        <w:t>并以书面形式通知所有已领取竞争性谈判文件的供应商。</w:t>
      </w:r>
    </w:p>
    <w:p w14:paraId="590A2CE4">
      <w:pPr>
        <w:spacing w:before="183" w:line="360" w:lineRule="auto"/>
        <w:ind w:left="1" w:right="61" w:firstLine="484"/>
        <w:outlineLvl w:val="9"/>
        <w:rPr>
          <w:rFonts w:ascii="宋体" w:hAnsi="宋体" w:eastAsia="宋体" w:cs="宋体"/>
          <w:sz w:val="24"/>
          <w:szCs w:val="24"/>
        </w:rPr>
      </w:pPr>
      <w:r>
        <w:rPr>
          <w:rFonts w:ascii="宋体" w:hAnsi="宋体" w:eastAsia="宋体" w:cs="宋体"/>
          <w:spacing w:val="-3"/>
          <w:sz w:val="24"/>
          <w:szCs w:val="24"/>
        </w:rPr>
        <w:t>7.4竞争性谈判文件修改书将构成竞争</w:t>
      </w:r>
      <w:r>
        <w:rPr>
          <w:rFonts w:ascii="宋体" w:hAnsi="宋体" w:eastAsia="宋体" w:cs="宋体"/>
          <w:spacing w:val="-4"/>
          <w:sz w:val="24"/>
          <w:szCs w:val="24"/>
        </w:rPr>
        <w:t>性谈判文件的一部分，对采购人和供应商都具</w:t>
      </w:r>
      <w:r>
        <w:rPr>
          <w:rFonts w:ascii="宋体" w:hAnsi="宋体" w:eastAsia="宋体" w:cs="宋体"/>
          <w:spacing w:val="-3"/>
          <w:sz w:val="24"/>
          <w:szCs w:val="24"/>
        </w:rPr>
        <w:t>有约束力。</w:t>
      </w:r>
    </w:p>
    <w:p w14:paraId="533AA8FA">
      <w:pPr>
        <w:spacing w:before="184" w:line="360" w:lineRule="auto"/>
        <w:ind w:left="1"/>
        <w:outlineLvl w:val="9"/>
        <w:rPr>
          <w:rFonts w:ascii="宋体" w:hAnsi="宋体" w:eastAsia="宋体" w:cs="宋体"/>
          <w:sz w:val="24"/>
          <w:szCs w:val="24"/>
        </w:rPr>
      </w:pPr>
      <w:r>
        <w:rPr>
          <w:rFonts w:ascii="宋体" w:hAnsi="宋体" w:eastAsia="宋体" w:cs="宋体"/>
          <w:spacing w:val="-1"/>
          <w:sz w:val="24"/>
          <w:szCs w:val="24"/>
        </w:rPr>
        <w:t>8竞争性谈判文件的获取</w:t>
      </w:r>
    </w:p>
    <w:p w14:paraId="1FFB7909">
      <w:pPr>
        <w:spacing w:before="182" w:line="360" w:lineRule="auto"/>
        <w:ind w:left="6" w:right="61" w:firstLine="473"/>
        <w:jc w:val="both"/>
        <w:outlineLvl w:val="9"/>
        <w:rPr>
          <w:rFonts w:ascii="宋体" w:hAnsi="宋体" w:eastAsia="宋体" w:cs="宋体"/>
          <w:sz w:val="24"/>
          <w:szCs w:val="24"/>
        </w:rPr>
      </w:pPr>
      <w:r>
        <w:rPr>
          <w:rFonts w:ascii="宋体" w:hAnsi="宋体" w:eastAsia="宋体" w:cs="宋体"/>
          <w:spacing w:val="-4"/>
          <w:sz w:val="24"/>
          <w:szCs w:val="24"/>
        </w:rPr>
        <w:t>采购公告发布后，有意向的供应商应从采购代理机构获取竞争性谈判文件及平台报名</w:t>
      </w:r>
      <w:r>
        <w:rPr>
          <w:rFonts w:ascii="宋体" w:hAnsi="宋体" w:eastAsia="宋体" w:cs="宋体"/>
          <w:spacing w:val="-3"/>
          <w:sz w:val="24"/>
          <w:szCs w:val="24"/>
        </w:rPr>
        <w:t>并下载谈判文件，仅作为本次采购使用。供</w:t>
      </w:r>
      <w:r>
        <w:rPr>
          <w:rFonts w:ascii="宋体" w:hAnsi="宋体" w:eastAsia="宋体" w:cs="宋体"/>
          <w:spacing w:val="-4"/>
          <w:sz w:val="24"/>
          <w:szCs w:val="24"/>
        </w:rPr>
        <w:t>应商自行转让或复制的竞争性谈判文件视为无效文件。</w:t>
      </w:r>
    </w:p>
    <w:p w14:paraId="72CC6CBC">
      <w:pPr>
        <w:spacing w:before="1" w:line="360" w:lineRule="auto"/>
        <w:ind w:left="1"/>
        <w:outlineLvl w:val="9"/>
        <w:rPr>
          <w:rFonts w:ascii="宋体" w:hAnsi="宋体" w:eastAsia="宋体" w:cs="宋体"/>
          <w:sz w:val="24"/>
          <w:szCs w:val="24"/>
        </w:rPr>
      </w:pPr>
      <w:r>
        <w:rPr>
          <w:rFonts w:ascii="宋体" w:hAnsi="宋体" w:eastAsia="宋体" w:cs="宋体"/>
          <w:spacing w:val="-2"/>
          <w:sz w:val="24"/>
          <w:szCs w:val="24"/>
        </w:rPr>
        <w:t>9解释权归属</w:t>
      </w:r>
    </w:p>
    <w:p w14:paraId="3995DA24">
      <w:pPr>
        <w:spacing w:line="240" w:lineRule="auto"/>
        <w:ind w:right="0"/>
        <w:outlineLvl w:val="9"/>
        <w:rPr>
          <w:rFonts w:hint="eastAsia" w:ascii="宋体" w:hAnsi="宋体" w:eastAsia="宋体" w:cs="宋体"/>
          <w:spacing w:val="11"/>
          <w:sz w:val="24"/>
          <w:szCs w:val="24"/>
          <w:lang w:eastAsia="zh-CN"/>
        </w:rPr>
      </w:pPr>
      <w:r>
        <w:rPr>
          <w:rFonts w:ascii="宋体" w:hAnsi="宋体" w:eastAsia="宋体" w:cs="宋体"/>
          <w:spacing w:val="-3"/>
          <w:sz w:val="24"/>
          <w:szCs w:val="24"/>
        </w:rPr>
        <w:t>本次竞争性谈判文件的解释权归采购代理构</w:t>
      </w:r>
    </w:p>
    <w:p w14:paraId="543B19F0">
      <w:pPr>
        <w:spacing w:line="240" w:lineRule="auto"/>
        <w:ind w:right="0"/>
        <w:outlineLvl w:val="9"/>
        <w:rPr>
          <w:rFonts w:ascii="宋体" w:hAnsi="宋体" w:eastAsia="宋体" w:cs="宋体"/>
          <w:spacing w:val="8"/>
          <w:sz w:val="35"/>
          <w:szCs w:val="35"/>
        </w:rPr>
      </w:pPr>
      <w:r>
        <w:rPr>
          <w:rFonts w:ascii="宋体" w:hAnsi="宋体" w:eastAsia="宋体" w:cs="宋体"/>
          <w:spacing w:val="8"/>
          <w:sz w:val="35"/>
          <w:szCs w:val="35"/>
        </w:rPr>
        <w:t>C竞争性谈判响应文件的写</w:t>
      </w:r>
    </w:p>
    <w:p w14:paraId="669D5268">
      <w:pPr>
        <w:spacing w:before="182" w:line="360" w:lineRule="auto"/>
        <w:ind w:right="3737"/>
        <w:outlineLvl w:val="9"/>
        <w:rPr>
          <w:rFonts w:ascii="宋体" w:hAnsi="宋体" w:eastAsia="宋体" w:cs="宋体"/>
          <w:sz w:val="24"/>
          <w:szCs w:val="24"/>
        </w:rPr>
      </w:pPr>
      <w:r>
        <w:rPr>
          <w:rFonts w:ascii="宋体" w:hAnsi="宋体" w:eastAsia="宋体" w:cs="宋体"/>
          <w:spacing w:val="-6"/>
          <w:sz w:val="24"/>
          <w:szCs w:val="24"/>
        </w:rPr>
        <w:t>10谈判语言</w:t>
      </w:r>
    </w:p>
    <w:p w14:paraId="04CDD134">
      <w:pPr>
        <w:spacing w:before="181" w:line="360" w:lineRule="auto"/>
        <w:ind w:left="498"/>
        <w:outlineLvl w:val="9"/>
        <w:rPr>
          <w:rFonts w:ascii="宋体" w:hAnsi="宋体" w:eastAsia="宋体" w:cs="宋体"/>
          <w:sz w:val="24"/>
          <w:szCs w:val="24"/>
        </w:rPr>
      </w:pPr>
      <w:r>
        <w:rPr>
          <w:rFonts w:ascii="宋体" w:hAnsi="宋体" w:eastAsia="宋体" w:cs="宋体"/>
          <w:spacing w:val="-2"/>
          <w:sz w:val="24"/>
          <w:szCs w:val="24"/>
        </w:rPr>
        <w:t>10.1由供应商编写的竞争性谈判响应文件和往来信件应以中文</w:t>
      </w:r>
      <w:r>
        <w:rPr>
          <w:rFonts w:ascii="宋体" w:hAnsi="宋体" w:eastAsia="宋体" w:cs="宋体"/>
          <w:spacing w:val="-3"/>
          <w:sz w:val="24"/>
          <w:szCs w:val="24"/>
        </w:rPr>
        <w:t>书写。</w:t>
      </w:r>
    </w:p>
    <w:p w14:paraId="089A04FD">
      <w:pPr>
        <w:spacing w:before="184" w:line="360" w:lineRule="auto"/>
        <w:ind w:left="18"/>
        <w:outlineLvl w:val="9"/>
        <w:rPr>
          <w:rFonts w:ascii="宋体" w:hAnsi="宋体" w:eastAsia="宋体" w:cs="宋体"/>
          <w:sz w:val="24"/>
          <w:szCs w:val="24"/>
        </w:rPr>
      </w:pPr>
      <w:r>
        <w:rPr>
          <w:rFonts w:ascii="宋体" w:hAnsi="宋体" w:eastAsia="宋体" w:cs="宋体"/>
          <w:spacing w:val="-7"/>
          <w:sz w:val="24"/>
          <w:szCs w:val="24"/>
        </w:rPr>
        <w:t>11计量单位</w:t>
      </w:r>
    </w:p>
    <w:p w14:paraId="617BAA0D">
      <w:pPr>
        <w:spacing w:before="181" w:line="360" w:lineRule="auto"/>
        <w:ind w:right="61" w:firstLine="497"/>
        <w:outlineLvl w:val="9"/>
        <w:rPr>
          <w:rFonts w:ascii="宋体" w:hAnsi="宋体" w:eastAsia="宋体" w:cs="宋体"/>
          <w:sz w:val="24"/>
          <w:szCs w:val="24"/>
        </w:rPr>
      </w:pPr>
      <w:r>
        <w:rPr>
          <w:rFonts w:ascii="宋体" w:hAnsi="宋体" w:eastAsia="宋体" w:cs="宋体"/>
          <w:spacing w:val="-1"/>
          <w:sz w:val="24"/>
          <w:szCs w:val="24"/>
        </w:rPr>
        <w:t>11.1除在竞争性谈判文件中有特殊要求外，计量单位应使用中华人民共和国法定计量单位及通用图形符号。</w:t>
      </w:r>
    </w:p>
    <w:p w14:paraId="771101C8">
      <w:pPr>
        <w:spacing w:before="183" w:line="360" w:lineRule="auto"/>
        <w:ind w:left="1" w:right="61" w:firstLine="496"/>
        <w:outlineLvl w:val="9"/>
        <w:rPr>
          <w:rFonts w:ascii="宋体" w:hAnsi="宋体" w:eastAsia="宋体" w:cs="宋体"/>
          <w:sz w:val="24"/>
          <w:szCs w:val="24"/>
        </w:rPr>
      </w:pPr>
      <w:r>
        <w:rPr>
          <w:rFonts w:ascii="宋体" w:hAnsi="宋体" w:eastAsia="宋体" w:cs="宋体"/>
          <w:spacing w:val="-1"/>
          <w:sz w:val="24"/>
          <w:szCs w:val="24"/>
        </w:rPr>
        <w:t>11.2本次采购、谈判报价、谈判、评审和合同授予均以项目为单位，供应商必须就</w:t>
      </w:r>
      <w:r>
        <w:rPr>
          <w:rFonts w:ascii="宋体" w:hAnsi="宋体" w:eastAsia="宋体" w:cs="宋体"/>
          <w:spacing w:val="-3"/>
          <w:sz w:val="24"/>
          <w:szCs w:val="24"/>
        </w:rPr>
        <w:t>整个项目进行响应，不得将整个项目中的内容拆开谈判</w:t>
      </w:r>
      <w:r>
        <w:rPr>
          <w:rFonts w:ascii="宋体" w:hAnsi="宋体" w:eastAsia="宋体" w:cs="宋体"/>
          <w:spacing w:val="-4"/>
          <w:sz w:val="24"/>
          <w:szCs w:val="24"/>
        </w:rPr>
        <w:t>。拆开谈判的，按无效竞争性谈判</w:t>
      </w:r>
      <w:r>
        <w:rPr>
          <w:rFonts w:ascii="宋体" w:hAnsi="宋体" w:eastAsia="宋体" w:cs="宋体"/>
          <w:spacing w:val="-2"/>
          <w:sz w:val="24"/>
          <w:szCs w:val="24"/>
        </w:rPr>
        <w:t>响应文件处理。</w:t>
      </w:r>
    </w:p>
    <w:p w14:paraId="4A4D5410">
      <w:pPr>
        <w:spacing w:before="184" w:line="360" w:lineRule="auto"/>
        <w:ind w:left="18"/>
        <w:outlineLvl w:val="9"/>
        <w:rPr>
          <w:rFonts w:ascii="宋体" w:hAnsi="宋体" w:eastAsia="宋体" w:cs="宋体"/>
          <w:sz w:val="24"/>
          <w:szCs w:val="24"/>
        </w:rPr>
      </w:pPr>
      <w:r>
        <w:rPr>
          <w:rFonts w:ascii="宋体" w:hAnsi="宋体" w:eastAsia="宋体" w:cs="宋体"/>
          <w:spacing w:val="-2"/>
          <w:sz w:val="24"/>
          <w:szCs w:val="24"/>
        </w:rPr>
        <w:t>12竞争性谈判响应文件的构成</w:t>
      </w:r>
    </w:p>
    <w:p w14:paraId="2A8A9493">
      <w:pPr>
        <w:spacing w:before="182" w:line="360" w:lineRule="auto"/>
        <w:ind w:left="498"/>
        <w:outlineLvl w:val="9"/>
        <w:rPr>
          <w:rFonts w:ascii="宋体" w:hAnsi="宋体" w:eastAsia="宋体" w:cs="宋体"/>
          <w:spacing w:val="-1"/>
          <w:sz w:val="24"/>
          <w:szCs w:val="24"/>
        </w:rPr>
      </w:pPr>
      <w:r>
        <w:rPr>
          <w:rFonts w:ascii="宋体" w:hAnsi="宋体" w:eastAsia="宋体" w:cs="宋体"/>
          <w:spacing w:val="-1"/>
          <w:sz w:val="24"/>
          <w:szCs w:val="24"/>
        </w:rPr>
        <w:t>12.1供应商编写的竞争性谈判响应文件应包括下列部分：</w:t>
      </w:r>
    </w:p>
    <w:p w14:paraId="37CFB628">
      <w:pPr>
        <w:spacing w:before="123" w:line="360" w:lineRule="auto"/>
        <w:ind w:left="497"/>
        <w:outlineLvl w:val="9"/>
        <w:rPr>
          <w:rFonts w:ascii="宋体" w:hAnsi="宋体" w:eastAsia="宋体" w:cs="宋体"/>
          <w:sz w:val="24"/>
          <w:szCs w:val="24"/>
        </w:rPr>
      </w:pPr>
      <w:r>
        <w:rPr>
          <w:rFonts w:ascii="宋体" w:hAnsi="宋体" w:eastAsia="宋体" w:cs="宋体"/>
          <w:spacing w:val="-5"/>
          <w:sz w:val="24"/>
          <w:szCs w:val="24"/>
        </w:rPr>
        <w:t>12.1.1响应函（格式</w:t>
      </w:r>
      <w:r>
        <w:rPr>
          <w:rFonts w:ascii="宋体" w:hAnsi="宋体" w:eastAsia="宋体" w:cs="宋体"/>
          <w:spacing w:val="-63"/>
          <w:sz w:val="24"/>
          <w:szCs w:val="24"/>
        </w:rPr>
        <w:t>）；</w:t>
      </w:r>
    </w:p>
    <w:p w14:paraId="22CF1ADA">
      <w:pPr>
        <w:spacing w:before="182" w:line="360" w:lineRule="auto"/>
        <w:ind w:left="497"/>
        <w:outlineLvl w:val="9"/>
        <w:rPr>
          <w:rFonts w:ascii="宋体" w:hAnsi="宋体" w:eastAsia="宋体" w:cs="宋体"/>
          <w:sz w:val="24"/>
          <w:szCs w:val="24"/>
        </w:rPr>
      </w:pPr>
      <w:r>
        <w:rPr>
          <w:rFonts w:ascii="宋体" w:hAnsi="宋体" w:eastAsia="宋体" w:cs="宋体"/>
          <w:spacing w:val="-2"/>
          <w:sz w:val="24"/>
          <w:szCs w:val="24"/>
        </w:rPr>
        <w:t>12.1.2第一次谈判报价表；</w:t>
      </w:r>
    </w:p>
    <w:p w14:paraId="7F77DFEF">
      <w:pPr>
        <w:spacing w:before="185" w:line="360" w:lineRule="auto"/>
        <w:ind w:left="497"/>
        <w:outlineLvl w:val="9"/>
        <w:rPr>
          <w:rFonts w:ascii="宋体" w:hAnsi="宋体" w:eastAsia="宋体" w:cs="宋体"/>
          <w:spacing w:val="-1"/>
          <w:sz w:val="24"/>
          <w:szCs w:val="24"/>
        </w:rPr>
      </w:pPr>
      <w:r>
        <w:rPr>
          <w:rFonts w:ascii="宋体" w:hAnsi="宋体" w:eastAsia="宋体" w:cs="宋体"/>
          <w:spacing w:val="-1"/>
          <w:sz w:val="24"/>
          <w:szCs w:val="24"/>
        </w:rPr>
        <w:t>12.1.3竞争性谈判响应文件格式的所有内容。具体见竞争性谈判响应文件</w:t>
      </w:r>
    </w:p>
    <w:p w14:paraId="6C416795">
      <w:pPr>
        <w:spacing w:before="185" w:line="360" w:lineRule="auto"/>
        <w:outlineLvl w:val="9"/>
        <w:rPr>
          <w:rFonts w:ascii="宋体" w:hAnsi="宋体" w:eastAsia="宋体" w:cs="宋体"/>
          <w:sz w:val="24"/>
          <w:szCs w:val="24"/>
        </w:rPr>
      </w:pPr>
      <w:r>
        <w:rPr>
          <w:rFonts w:ascii="宋体" w:hAnsi="宋体" w:eastAsia="宋体" w:cs="宋体"/>
          <w:spacing w:val="-1"/>
          <w:sz w:val="24"/>
          <w:szCs w:val="24"/>
        </w:rPr>
        <w:t>格式</w:t>
      </w:r>
    </w:p>
    <w:p w14:paraId="305F8CC3">
      <w:pPr>
        <w:spacing w:before="183" w:line="360" w:lineRule="auto"/>
        <w:ind w:right="80" w:firstLine="496"/>
        <w:outlineLvl w:val="9"/>
        <w:rPr>
          <w:rFonts w:ascii="宋体" w:hAnsi="宋体" w:eastAsia="宋体" w:cs="宋体"/>
          <w:sz w:val="24"/>
          <w:szCs w:val="24"/>
        </w:rPr>
      </w:pPr>
      <w:r>
        <w:rPr>
          <w:rFonts w:ascii="宋体" w:hAnsi="宋体" w:eastAsia="宋体" w:cs="宋体"/>
          <w:spacing w:val="-1"/>
          <w:sz w:val="24"/>
          <w:szCs w:val="24"/>
        </w:rPr>
        <w:t>12.2供应商的所有资格证明文件均应当为合法、有效文件，否则将被视为该文件未</w:t>
      </w:r>
      <w:r>
        <w:rPr>
          <w:rFonts w:ascii="宋体" w:hAnsi="宋体" w:eastAsia="宋体" w:cs="宋体"/>
          <w:spacing w:val="-4"/>
          <w:sz w:val="24"/>
          <w:szCs w:val="24"/>
        </w:rPr>
        <w:t>递交。</w:t>
      </w:r>
    </w:p>
    <w:p w14:paraId="5C89DAED">
      <w:pPr>
        <w:spacing w:before="180" w:line="360" w:lineRule="auto"/>
        <w:ind w:left="497"/>
        <w:outlineLvl w:val="9"/>
        <w:rPr>
          <w:rFonts w:hint="eastAsia" w:ascii="宋体" w:hAnsi="宋体" w:eastAsia="宋体" w:cs="宋体"/>
          <w:spacing w:val="-1"/>
          <w:sz w:val="24"/>
          <w:szCs w:val="24"/>
          <w:lang w:val="en-US" w:eastAsia="zh-CN"/>
        </w:rPr>
      </w:pPr>
      <w:r>
        <w:rPr>
          <w:rFonts w:ascii="宋体" w:hAnsi="宋体" w:eastAsia="宋体" w:cs="宋体"/>
          <w:spacing w:val="-1"/>
          <w:sz w:val="24"/>
          <w:szCs w:val="24"/>
        </w:rPr>
        <w:t>12.3上述文件应当按照竞争性谈判文件规定的格式填写、签署</w:t>
      </w:r>
      <w:r>
        <w:rPr>
          <w:rFonts w:hint="eastAsia" w:ascii="宋体" w:hAnsi="宋体" w:eastAsia="宋体" w:cs="宋体"/>
          <w:spacing w:val="-1"/>
          <w:sz w:val="24"/>
          <w:szCs w:val="24"/>
          <w:lang w:eastAsia="zh-CN"/>
        </w:rPr>
        <w:t>、</w:t>
      </w:r>
      <w:r>
        <w:rPr>
          <w:rFonts w:ascii="宋体" w:hAnsi="宋体" w:eastAsia="宋体" w:cs="宋体"/>
          <w:spacing w:val="-1"/>
          <w:sz w:val="24"/>
          <w:szCs w:val="24"/>
        </w:rPr>
        <w:t>盖章</w:t>
      </w:r>
      <w:r>
        <w:rPr>
          <w:rFonts w:hint="eastAsia" w:ascii="宋体" w:hAnsi="宋体" w:eastAsia="宋体" w:cs="宋体"/>
          <w:spacing w:val="-1"/>
          <w:sz w:val="24"/>
          <w:szCs w:val="24"/>
          <w:lang w:val="en-US" w:eastAsia="zh-CN"/>
        </w:rPr>
        <w:t>及逐</w:t>
      </w:r>
    </w:p>
    <w:p w14:paraId="01714A0C">
      <w:pPr>
        <w:spacing w:before="180" w:line="360" w:lineRule="auto"/>
        <w:outlineLvl w:val="9"/>
        <w:rPr>
          <w:rFonts w:ascii="宋体" w:hAnsi="宋体" w:eastAsia="宋体" w:cs="宋体"/>
          <w:sz w:val="24"/>
          <w:szCs w:val="24"/>
        </w:rPr>
      </w:pPr>
      <w:r>
        <w:rPr>
          <w:rFonts w:hint="eastAsia" w:ascii="宋体" w:hAnsi="宋体" w:eastAsia="宋体" w:cs="宋体"/>
          <w:spacing w:val="-1"/>
          <w:sz w:val="24"/>
          <w:szCs w:val="24"/>
          <w:lang w:val="en-US" w:eastAsia="zh-CN"/>
        </w:rPr>
        <w:t>页盖章</w:t>
      </w:r>
      <w:r>
        <w:rPr>
          <w:rFonts w:ascii="宋体" w:hAnsi="宋体" w:eastAsia="宋体" w:cs="宋体"/>
          <w:spacing w:val="-1"/>
          <w:sz w:val="24"/>
          <w:szCs w:val="24"/>
        </w:rPr>
        <w:t>。</w:t>
      </w:r>
    </w:p>
    <w:p w14:paraId="619DD0FE">
      <w:pPr>
        <w:spacing w:before="184" w:line="360" w:lineRule="auto"/>
        <w:ind w:left="17"/>
        <w:outlineLvl w:val="9"/>
        <w:rPr>
          <w:rFonts w:ascii="宋体" w:hAnsi="宋体" w:eastAsia="宋体" w:cs="宋体"/>
          <w:sz w:val="24"/>
          <w:szCs w:val="24"/>
        </w:rPr>
      </w:pPr>
      <w:r>
        <w:rPr>
          <w:rFonts w:ascii="宋体" w:hAnsi="宋体" w:eastAsia="宋体" w:cs="宋体"/>
          <w:spacing w:val="-6"/>
          <w:sz w:val="24"/>
          <w:szCs w:val="24"/>
        </w:rPr>
        <w:t>13谈判报价</w:t>
      </w:r>
    </w:p>
    <w:p w14:paraId="72E87503">
      <w:pPr>
        <w:spacing w:before="184" w:line="360" w:lineRule="auto"/>
        <w:ind w:left="497"/>
        <w:outlineLvl w:val="9"/>
        <w:rPr>
          <w:rFonts w:ascii="宋体" w:hAnsi="宋体" w:eastAsia="宋体" w:cs="宋体"/>
          <w:sz w:val="24"/>
          <w:szCs w:val="24"/>
        </w:rPr>
      </w:pPr>
      <w:r>
        <w:rPr>
          <w:rFonts w:ascii="宋体" w:hAnsi="宋体" w:eastAsia="宋体" w:cs="宋体"/>
          <w:spacing w:val="-2"/>
          <w:sz w:val="24"/>
          <w:szCs w:val="24"/>
        </w:rPr>
        <w:t>13.1所有谈判均以人民币报价。</w:t>
      </w:r>
    </w:p>
    <w:p w14:paraId="7F81A23D">
      <w:pPr>
        <w:spacing w:before="185" w:line="360" w:lineRule="auto"/>
        <w:ind w:firstLine="497"/>
        <w:outlineLvl w:val="9"/>
        <w:rPr>
          <w:rFonts w:ascii="宋体" w:hAnsi="宋体" w:eastAsia="宋体" w:cs="宋体"/>
          <w:sz w:val="24"/>
          <w:szCs w:val="24"/>
        </w:rPr>
      </w:pPr>
      <w:r>
        <w:rPr>
          <w:rFonts w:ascii="宋体" w:hAnsi="宋体" w:eastAsia="宋体" w:cs="宋体"/>
          <w:spacing w:val="-1"/>
          <w:sz w:val="24"/>
          <w:szCs w:val="24"/>
        </w:rPr>
        <w:t>13.2供应商依据竞争性谈判文件提供的货物及服务要求等资料并自行考虑风险因素计算谈判报价，一旦成交，谈判报价将不会因国家政策调整及</w:t>
      </w:r>
      <w:r>
        <w:rPr>
          <w:rFonts w:ascii="宋体" w:hAnsi="宋体" w:eastAsia="宋体" w:cs="宋体"/>
          <w:spacing w:val="-2"/>
          <w:sz w:val="24"/>
          <w:szCs w:val="24"/>
        </w:rPr>
        <w:t>市场变化因素而得到调整。</w:t>
      </w:r>
    </w:p>
    <w:p w14:paraId="4F5885D2">
      <w:pPr>
        <w:spacing w:before="184" w:line="360" w:lineRule="auto"/>
        <w:ind w:left="497"/>
        <w:outlineLvl w:val="9"/>
        <w:rPr>
          <w:rFonts w:ascii="宋体" w:hAnsi="宋体" w:eastAsia="宋体" w:cs="宋体"/>
          <w:sz w:val="24"/>
          <w:szCs w:val="24"/>
        </w:rPr>
      </w:pPr>
      <w:r>
        <w:rPr>
          <w:rFonts w:ascii="宋体" w:hAnsi="宋体" w:eastAsia="宋体" w:cs="宋体"/>
          <w:spacing w:val="-1"/>
          <w:sz w:val="24"/>
          <w:szCs w:val="24"/>
        </w:rPr>
        <w:t>13.3供应商应对所列的所有服务进行响应，不得将采购内容拆开谈判。</w:t>
      </w:r>
    </w:p>
    <w:p w14:paraId="562D4941">
      <w:pPr>
        <w:spacing w:before="183" w:line="360" w:lineRule="auto"/>
        <w:ind w:left="497"/>
        <w:outlineLvl w:val="9"/>
        <w:rPr>
          <w:rFonts w:ascii="宋体" w:hAnsi="宋体" w:eastAsia="宋体" w:cs="宋体"/>
          <w:sz w:val="24"/>
          <w:szCs w:val="24"/>
        </w:rPr>
      </w:pPr>
      <w:r>
        <w:rPr>
          <w:rFonts w:ascii="宋体" w:hAnsi="宋体" w:eastAsia="宋体" w:cs="宋体"/>
          <w:spacing w:val="-1"/>
          <w:sz w:val="24"/>
          <w:szCs w:val="24"/>
        </w:rPr>
        <w:t>13.4采购人只接受供应商提供的唯一谈判响应方案，不接受备选方案。</w:t>
      </w:r>
    </w:p>
    <w:p w14:paraId="415F3011">
      <w:pPr>
        <w:spacing w:before="184" w:line="360" w:lineRule="auto"/>
        <w:ind w:left="17"/>
        <w:outlineLvl w:val="9"/>
        <w:rPr>
          <w:rFonts w:ascii="宋体" w:hAnsi="宋体" w:eastAsia="宋体" w:cs="宋体"/>
          <w:sz w:val="24"/>
          <w:szCs w:val="24"/>
        </w:rPr>
      </w:pPr>
      <w:r>
        <w:rPr>
          <w:rFonts w:ascii="宋体" w:hAnsi="宋体" w:eastAsia="宋体" w:cs="宋体"/>
          <w:spacing w:val="-2"/>
          <w:sz w:val="24"/>
          <w:szCs w:val="24"/>
        </w:rPr>
        <w:t>14证明供应商资格的证明文件</w:t>
      </w:r>
    </w:p>
    <w:p w14:paraId="2CB5A728">
      <w:pPr>
        <w:spacing w:before="183" w:line="360" w:lineRule="auto"/>
        <w:ind w:left="23" w:right="80" w:firstLine="474"/>
        <w:outlineLvl w:val="9"/>
        <w:rPr>
          <w:rFonts w:ascii="宋体" w:hAnsi="宋体" w:eastAsia="宋体" w:cs="宋体"/>
          <w:sz w:val="24"/>
          <w:szCs w:val="24"/>
        </w:rPr>
      </w:pPr>
      <w:r>
        <w:rPr>
          <w:rFonts w:ascii="宋体" w:hAnsi="宋体" w:eastAsia="宋体" w:cs="宋体"/>
          <w:spacing w:val="-1"/>
          <w:sz w:val="24"/>
          <w:szCs w:val="24"/>
        </w:rPr>
        <w:t>14.1供应商必须按要求提交证明文件，以证明其有资格参加谈判和成交后有履行合</w:t>
      </w:r>
      <w:r>
        <w:rPr>
          <w:rFonts w:ascii="宋体" w:hAnsi="宋体" w:eastAsia="宋体" w:cs="宋体"/>
          <w:spacing w:val="-2"/>
          <w:sz w:val="24"/>
          <w:szCs w:val="24"/>
        </w:rPr>
        <w:t>同的能力，并作为其竞争性谈判响应文件的一部分。</w:t>
      </w:r>
    </w:p>
    <w:p w14:paraId="5650142D">
      <w:pPr>
        <w:spacing w:before="182" w:line="360" w:lineRule="auto"/>
        <w:ind w:left="497"/>
        <w:outlineLvl w:val="9"/>
        <w:rPr>
          <w:rFonts w:ascii="宋体" w:hAnsi="宋体" w:eastAsia="宋体" w:cs="宋体"/>
          <w:sz w:val="24"/>
          <w:szCs w:val="24"/>
        </w:rPr>
      </w:pPr>
      <w:r>
        <w:rPr>
          <w:rFonts w:ascii="宋体" w:hAnsi="宋体" w:eastAsia="宋体" w:cs="宋体"/>
          <w:spacing w:val="-2"/>
          <w:sz w:val="24"/>
          <w:szCs w:val="24"/>
        </w:rPr>
        <w:t>14.2供应商应具有履行合同所需的财务、技术和生产能力；</w:t>
      </w:r>
    </w:p>
    <w:p w14:paraId="567360E3">
      <w:pPr>
        <w:spacing w:before="183" w:line="360" w:lineRule="auto"/>
        <w:ind w:left="1" w:right="82" w:firstLine="495"/>
        <w:outlineLvl w:val="9"/>
        <w:rPr>
          <w:rFonts w:ascii="宋体" w:hAnsi="宋体" w:eastAsia="宋体" w:cs="宋体"/>
          <w:sz w:val="24"/>
          <w:szCs w:val="24"/>
        </w:rPr>
      </w:pPr>
      <w:r>
        <w:rPr>
          <w:rFonts w:ascii="宋体" w:hAnsi="宋体" w:eastAsia="宋体" w:cs="宋体"/>
          <w:spacing w:val="1"/>
          <w:sz w:val="24"/>
          <w:szCs w:val="24"/>
        </w:rPr>
        <w:t>14.3供应商应有能力履行竞争性谈判文</w:t>
      </w:r>
      <w:r>
        <w:rPr>
          <w:rFonts w:ascii="宋体" w:hAnsi="宋体" w:eastAsia="宋体" w:cs="宋体"/>
          <w:sz w:val="24"/>
          <w:szCs w:val="24"/>
        </w:rPr>
        <w:t>件所规定的由供应商在服务地点提供服务的</w:t>
      </w:r>
      <w:r>
        <w:rPr>
          <w:rFonts w:ascii="宋体" w:hAnsi="宋体" w:eastAsia="宋体" w:cs="宋体"/>
          <w:spacing w:val="-2"/>
          <w:sz w:val="24"/>
          <w:szCs w:val="24"/>
        </w:rPr>
        <w:t>人员及技术支持和服务；</w:t>
      </w:r>
    </w:p>
    <w:p w14:paraId="1E01E376">
      <w:pPr>
        <w:spacing w:before="182" w:line="360" w:lineRule="auto"/>
        <w:ind w:left="497"/>
        <w:outlineLvl w:val="9"/>
        <w:rPr>
          <w:rFonts w:ascii="宋体" w:hAnsi="宋体" w:eastAsia="宋体" w:cs="宋体"/>
          <w:sz w:val="24"/>
          <w:szCs w:val="24"/>
        </w:rPr>
      </w:pPr>
      <w:r>
        <w:rPr>
          <w:rFonts w:ascii="宋体" w:hAnsi="宋体" w:eastAsia="宋体" w:cs="宋体"/>
          <w:spacing w:val="-1"/>
          <w:sz w:val="24"/>
          <w:szCs w:val="24"/>
        </w:rPr>
        <w:t>14.4供应商认为能够证明供应商及其提供</w:t>
      </w:r>
      <w:r>
        <w:rPr>
          <w:rFonts w:ascii="宋体" w:hAnsi="宋体" w:eastAsia="宋体" w:cs="宋体"/>
          <w:spacing w:val="-2"/>
          <w:sz w:val="24"/>
          <w:szCs w:val="24"/>
        </w:rPr>
        <w:t>服务的等其他文件。</w:t>
      </w:r>
    </w:p>
    <w:p w14:paraId="18C07C82">
      <w:pPr>
        <w:spacing w:before="185" w:line="360" w:lineRule="auto"/>
        <w:ind w:left="17"/>
        <w:outlineLvl w:val="9"/>
        <w:rPr>
          <w:rFonts w:ascii="宋体" w:hAnsi="宋体" w:eastAsia="宋体" w:cs="宋体"/>
          <w:sz w:val="24"/>
          <w:szCs w:val="24"/>
        </w:rPr>
      </w:pPr>
      <w:r>
        <w:rPr>
          <w:rFonts w:ascii="宋体" w:hAnsi="宋体" w:eastAsia="宋体" w:cs="宋体"/>
          <w:spacing w:val="-2"/>
          <w:sz w:val="24"/>
          <w:szCs w:val="24"/>
        </w:rPr>
        <w:t>15证明服务符合竞争性谈判文件规定的文件</w:t>
      </w:r>
    </w:p>
    <w:p w14:paraId="15934AC1">
      <w:pPr>
        <w:spacing w:before="182" w:line="360" w:lineRule="auto"/>
        <w:ind w:left="4" w:right="80" w:firstLine="492"/>
        <w:outlineLvl w:val="9"/>
        <w:rPr>
          <w:rFonts w:ascii="宋体" w:hAnsi="宋体" w:eastAsia="宋体" w:cs="宋体"/>
          <w:sz w:val="24"/>
          <w:szCs w:val="24"/>
        </w:rPr>
      </w:pPr>
      <w:r>
        <w:rPr>
          <w:rFonts w:ascii="宋体" w:hAnsi="宋体" w:eastAsia="宋体" w:cs="宋体"/>
          <w:spacing w:val="-1"/>
          <w:sz w:val="24"/>
          <w:szCs w:val="24"/>
        </w:rPr>
        <w:t>15.1供应商所提供的服务须符合法律、法规、相关规章及国家强制性技术标准和竞</w:t>
      </w:r>
      <w:r>
        <w:rPr>
          <w:rFonts w:ascii="宋体" w:hAnsi="宋体" w:eastAsia="宋体" w:cs="宋体"/>
          <w:spacing w:val="-2"/>
          <w:sz w:val="24"/>
          <w:szCs w:val="24"/>
        </w:rPr>
        <w:t>争性谈判文件的规定。</w:t>
      </w:r>
    </w:p>
    <w:p w14:paraId="6E9BA501">
      <w:pPr>
        <w:spacing w:before="182" w:line="360" w:lineRule="auto"/>
        <w:ind w:left="497"/>
        <w:outlineLvl w:val="9"/>
        <w:rPr>
          <w:rFonts w:ascii="宋体" w:hAnsi="宋体" w:eastAsia="宋体" w:cs="宋体"/>
          <w:sz w:val="24"/>
          <w:szCs w:val="24"/>
        </w:rPr>
      </w:pPr>
      <w:r>
        <w:rPr>
          <w:rFonts w:ascii="宋体" w:hAnsi="宋体" w:eastAsia="宋体" w:cs="宋体"/>
          <w:spacing w:val="-1"/>
          <w:sz w:val="24"/>
          <w:szCs w:val="24"/>
        </w:rPr>
        <w:t>15.2供应商应对竞争性谈判文件中的各项条款做出清晰准确的答复。</w:t>
      </w:r>
    </w:p>
    <w:p w14:paraId="3F21B72B">
      <w:pPr>
        <w:spacing w:before="184" w:line="360" w:lineRule="auto"/>
        <w:ind w:left="495"/>
        <w:outlineLvl w:val="9"/>
        <w:rPr>
          <w:rFonts w:ascii="宋体" w:hAnsi="宋体" w:eastAsia="宋体" w:cs="宋体"/>
          <w:sz w:val="24"/>
          <w:szCs w:val="24"/>
        </w:rPr>
      </w:pPr>
      <w:r>
        <w:rPr>
          <w:rFonts w:ascii="宋体" w:hAnsi="宋体" w:eastAsia="宋体" w:cs="宋体"/>
          <w:spacing w:val="-1"/>
          <w:sz w:val="24"/>
          <w:szCs w:val="24"/>
        </w:rPr>
        <w:t>15.3提交文件可以是文字资料也可以是图纸、图片等资料。</w:t>
      </w:r>
    </w:p>
    <w:p w14:paraId="2FBB1C21">
      <w:pPr>
        <w:spacing w:before="183" w:line="360" w:lineRule="auto"/>
        <w:ind w:left="17"/>
        <w:outlineLvl w:val="9"/>
        <w:rPr>
          <w:rFonts w:ascii="宋体" w:hAnsi="宋体" w:eastAsia="宋体" w:cs="宋体"/>
          <w:sz w:val="24"/>
          <w:szCs w:val="24"/>
        </w:rPr>
      </w:pPr>
      <w:r>
        <w:rPr>
          <w:rFonts w:ascii="宋体" w:hAnsi="宋体" w:eastAsia="宋体" w:cs="宋体"/>
          <w:spacing w:val="-4"/>
          <w:sz w:val="24"/>
          <w:szCs w:val="24"/>
        </w:rPr>
        <w:t>16谈判保证金</w:t>
      </w:r>
    </w:p>
    <w:p w14:paraId="027C0662">
      <w:pPr>
        <w:spacing w:before="181" w:line="360" w:lineRule="auto"/>
        <w:ind w:left="480"/>
        <w:outlineLvl w:val="9"/>
        <w:rPr>
          <w:rFonts w:ascii="宋体" w:hAnsi="宋体" w:eastAsia="宋体" w:cs="宋体"/>
          <w:sz w:val="24"/>
          <w:szCs w:val="24"/>
        </w:rPr>
      </w:pPr>
      <w:r>
        <w:rPr>
          <w:rFonts w:ascii="宋体" w:hAnsi="宋体" w:eastAsia="宋体" w:cs="宋体"/>
          <w:spacing w:val="-2"/>
          <w:sz w:val="24"/>
          <w:szCs w:val="24"/>
        </w:rPr>
        <w:t>信用承诺书代替。</w:t>
      </w:r>
    </w:p>
    <w:p w14:paraId="294F3896">
      <w:pPr>
        <w:spacing w:before="184" w:line="360" w:lineRule="auto"/>
        <w:ind w:left="17"/>
        <w:outlineLvl w:val="9"/>
        <w:rPr>
          <w:rFonts w:ascii="宋体" w:hAnsi="宋体" w:eastAsia="宋体" w:cs="宋体"/>
          <w:sz w:val="24"/>
          <w:szCs w:val="24"/>
        </w:rPr>
      </w:pPr>
      <w:r>
        <w:rPr>
          <w:rFonts w:ascii="宋体" w:hAnsi="宋体" w:eastAsia="宋体" w:cs="宋体"/>
          <w:spacing w:val="-4"/>
          <w:sz w:val="24"/>
          <w:szCs w:val="24"/>
        </w:rPr>
        <w:t>17谈判有效期</w:t>
      </w:r>
    </w:p>
    <w:p w14:paraId="458FDF28">
      <w:pPr>
        <w:spacing w:before="183" w:line="360" w:lineRule="auto"/>
        <w:ind w:right="80" w:firstLine="497"/>
        <w:outlineLvl w:val="9"/>
        <w:rPr>
          <w:rFonts w:ascii="宋体" w:hAnsi="宋体" w:eastAsia="宋体" w:cs="宋体"/>
          <w:spacing w:val="-1"/>
          <w:sz w:val="24"/>
          <w:szCs w:val="24"/>
        </w:rPr>
      </w:pPr>
      <w:r>
        <w:rPr>
          <w:rFonts w:ascii="宋体" w:hAnsi="宋体" w:eastAsia="宋体" w:cs="宋体"/>
          <w:spacing w:val="-1"/>
          <w:sz w:val="24"/>
          <w:szCs w:val="24"/>
        </w:rPr>
        <w:t>17.1竞争性谈判响应文件从开标之日起，</w:t>
      </w:r>
      <w:r>
        <w:rPr>
          <w:rFonts w:ascii="宋体" w:hAnsi="宋体" w:eastAsia="宋体" w:cs="宋体"/>
          <w:b/>
          <w:bCs/>
          <w:spacing w:val="-1"/>
          <w:sz w:val="24"/>
          <w:szCs w:val="24"/>
        </w:rPr>
        <w:t>谈判有效期为</w:t>
      </w:r>
      <w:r>
        <w:rPr>
          <w:rFonts w:hint="eastAsia" w:ascii="宋体" w:hAnsi="宋体" w:eastAsia="宋体" w:cs="宋体"/>
          <w:b/>
          <w:bCs/>
          <w:spacing w:val="-1"/>
          <w:sz w:val="24"/>
          <w:szCs w:val="24"/>
          <w:lang w:val="en-US" w:eastAsia="zh-CN"/>
        </w:rPr>
        <w:t>100</w:t>
      </w:r>
      <w:r>
        <w:rPr>
          <w:rFonts w:ascii="宋体" w:hAnsi="宋体" w:eastAsia="宋体" w:cs="宋体"/>
          <w:b/>
          <w:bCs/>
          <w:spacing w:val="-1"/>
          <w:sz w:val="24"/>
          <w:szCs w:val="24"/>
        </w:rPr>
        <w:t>天</w:t>
      </w:r>
      <w:r>
        <w:rPr>
          <w:rFonts w:ascii="宋体" w:hAnsi="宋体" w:eastAsia="宋体" w:cs="宋体"/>
          <w:spacing w:val="-1"/>
          <w:sz w:val="24"/>
          <w:szCs w:val="24"/>
        </w:rPr>
        <w:t>。谈判有效期不满足要求的谈判属于无效谈判情形。</w:t>
      </w:r>
    </w:p>
    <w:p w14:paraId="59D85D7C">
      <w:pPr>
        <w:spacing w:before="122" w:line="360" w:lineRule="auto"/>
        <w:ind w:left="499"/>
        <w:outlineLvl w:val="9"/>
        <w:rPr>
          <w:rFonts w:ascii="宋体" w:hAnsi="宋体" w:eastAsia="宋体" w:cs="宋体"/>
          <w:sz w:val="24"/>
          <w:szCs w:val="24"/>
        </w:rPr>
      </w:pPr>
      <w:r>
        <w:rPr>
          <w:rFonts w:ascii="宋体" w:hAnsi="宋体" w:eastAsia="宋体" w:cs="宋体"/>
          <w:spacing w:val="-1"/>
          <w:sz w:val="24"/>
          <w:szCs w:val="24"/>
        </w:rPr>
        <w:t>17.2成交供应商的竞争性谈判响应文件有效期延长</w:t>
      </w:r>
      <w:r>
        <w:rPr>
          <w:rFonts w:ascii="宋体" w:hAnsi="宋体" w:eastAsia="宋体" w:cs="宋体"/>
          <w:spacing w:val="-2"/>
          <w:sz w:val="24"/>
          <w:szCs w:val="24"/>
        </w:rPr>
        <w:t>至合同执行完毕。</w:t>
      </w:r>
    </w:p>
    <w:p w14:paraId="7C307AEC">
      <w:pPr>
        <w:spacing w:before="182" w:line="360" w:lineRule="auto"/>
        <w:ind w:left="3" w:right="120" w:firstLine="496"/>
        <w:outlineLvl w:val="9"/>
        <w:rPr>
          <w:rFonts w:ascii="宋体" w:hAnsi="宋体" w:eastAsia="宋体" w:cs="宋体"/>
          <w:sz w:val="24"/>
          <w:szCs w:val="24"/>
        </w:rPr>
      </w:pPr>
      <w:r>
        <w:rPr>
          <w:rFonts w:ascii="宋体" w:hAnsi="宋体" w:eastAsia="宋体" w:cs="宋体"/>
          <w:spacing w:val="-4"/>
          <w:sz w:val="24"/>
          <w:szCs w:val="24"/>
        </w:rPr>
        <w:t>17.3特殊情况下，采购人可于谈判有效期满之前要求供应商同意延长有效期，要求</w:t>
      </w:r>
      <w:r>
        <w:rPr>
          <w:rFonts w:ascii="宋体" w:hAnsi="宋体" w:eastAsia="宋体" w:cs="宋体"/>
          <w:spacing w:val="-3"/>
          <w:sz w:val="24"/>
          <w:szCs w:val="24"/>
        </w:rPr>
        <w:t>与答复均应为书面形式。供应商可以拒绝上述要求，其</w:t>
      </w:r>
      <w:r>
        <w:rPr>
          <w:rFonts w:ascii="宋体" w:hAnsi="宋体" w:eastAsia="宋体" w:cs="宋体"/>
          <w:spacing w:val="-4"/>
          <w:sz w:val="24"/>
          <w:szCs w:val="24"/>
        </w:rPr>
        <w:t>谈判保证金不被没收。对于同意该</w:t>
      </w:r>
      <w:r>
        <w:rPr>
          <w:rFonts w:ascii="宋体" w:hAnsi="宋体" w:eastAsia="宋体" w:cs="宋体"/>
          <w:spacing w:val="-3"/>
          <w:sz w:val="24"/>
          <w:szCs w:val="24"/>
        </w:rPr>
        <w:t>要求的供应商，既不要求也不允许其修改竞争性谈判响</w:t>
      </w:r>
      <w:r>
        <w:rPr>
          <w:rFonts w:ascii="宋体" w:hAnsi="宋体" w:eastAsia="宋体" w:cs="宋体"/>
          <w:spacing w:val="-4"/>
          <w:sz w:val="24"/>
          <w:szCs w:val="24"/>
        </w:rPr>
        <w:t>应文件，但将要求其相应延长谈判</w:t>
      </w:r>
      <w:r>
        <w:rPr>
          <w:rFonts w:ascii="宋体" w:hAnsi="宋体" w:eastAsia="宋体" w:cs="宋体"/>
          <w:spacing w:val="-1"/>
          <w:sz w:val="24"/>
          <w:szCs w:val="24"/>
        </w:rPr>
        <w:t>保证金的有效期，有关退还和没收谈判保证金的规定在谈判</w:t>
      </w:r>
      <w:r>
        <w:rPr>
          <w:rFonts w:ascii="宋体" w:hAnsi="宋体" w:eastAsia="宋体" w:cs="宋体"/>
          <w:spacing w:val="-2"/>
          <w:sz w:val="24"/>
          <w:szCs w:val="24"/>
        </w:rPr>
        <w:t>有效期的延长期内继续有效。</w:t>
      </w:r>
    </w:p>
    <w:p w14:paraId="4A2B8F06">
      <w:pPr>
        <w:spacing w:before="183" w:line="360" w:lineRule="auto"/>
        <w:ind w:left="19"/>
        <w:outlineLvl w:val="9"/>
        <w:rPr>
          <w:rFonts w:ascii="宋体" w:hAnsi="宋体" w:eastAsia="宋体" w:cs="宋体"/>
          <w:sz w:val="24"/>
          <w:szCs w:val="24"/>
        </w:rPr>
      </w:pPr>
      <w:r>
        <w:rPr>
          <w:rFonts w:ascii="宋体" w:hAnsi="宋体" w:eastAsia="宋体" w:cs="宋体"/>
          <w:spacing w:val="-2"/>
          <w:sz w:val="24"/>
          <w:szCs w:val="24"/>
        </w:rPr>
        <w:t>18竞争性谈判响应文件的签署及规定</w:t>
      </w:r>
    </w:p>
    <w:p w14:paraId="73EC9610">
      <w:pPr>
        <w:spacing w:before="181" w:line="360" w:lineRule="auto"/>
        <w:ind w:left="1" w:firstLine="498"/>
        <w:outlineLvl w:val="9"/>
        <w:rPr>
          <w:rFonts w:ascii="宋体" w:hAnsi="宋体" w:eastAsia="宋体" w:cs="宋体"/>
          <w:sz w:val="24"/>
          <w:szCs w:val="24"/>
        </w:rPr>
      </w:pPr>
      <w:r>
        <w:rPr>
          <w:rFonts w:ascii="宋体" w:hAnsi="宋体" w:eastAsia="宋体" w:cs="宋体"/>
          <w:sz w:val="24"/>
          <w:szCs w:val="24"/>
        </w:rPr>
        <w:t>18.1纸质谈判响应文件正本和所有副本均需用A4幅面纸张打印或用不褪色的蓝(黑)</w:t>
      </w:r>
      <w:r>
        <w:rPr>
          <w:rFonts w:ascii="宋体" w:hAnsi="宋体" w:eastAsia="宋体" w:cs="宋体"/>
          <w:spacing w:val="-1"/>
          <w:sz w:val="24"/>
          <w:szCs w:val="24"/>
        </w:rPr>
        <w:t>色墨水(汁)书写,</w:t>
      </w:r>
      <w:r>
        <w:rPr>
          <w:rFonts w:hint="eastAsia" w:ascii="宋体" w:hAnsi="宋体" w:eastAsia="宋体" w:cs="宋体"/>
          <w:spacing w:val="-2"/>
          <w:sz w:val="24"/>
          <w:szCs w:val="24"/>
          <w:lang w:val="en-US" w:eastAsia="zh-CN"/>
        </w:rPr>
        <w:t>所有标有法定代表人的地方都需要亲笔签名，</w:t>
      </w:r>
      <w:r>
        <w:rPr>
          <w:rFonts w:ascii="宋体" w:hAnsi="宋体" w:eastAsia="宋体" w:cs="宋体"/>
          <w:spacing w:val="-3"/>
          <w:sz w:val="24"/>
          <w:szCs w:val="24"/>
        </w:rPr>
        <w:t>谈判响应文件若由授权代表签署，须按采购文件规定的格式</w:t>
      </w:r>
      <w:r>
        <w:rPr>
          <w:rFonts w:ascii="宋体" w:hAnsi="宋体" w:eastAsia="宋体" w:cs="宋体"/>
          <w:spacing w:val="-4"/>
          <w:sz w:val="24"/>
          <w:szCs w:val="24"/>
        </w:rPr>
        <w:t>提供的“法定代表人授权委托书”原件附在谈判响应文件中。所有要求签字（名）处，均须由签字（名）</w:t>
      </w:r>
      <w:r>
        <w:rPr>
          <w:rFonts w:ascii="宋体" w:hAnsi="宋体" w:eastAsia="宋体" w:cs="宋体"/>
          <w:spacing w:val="-5"/>
          <w:sz w:val="24"/>
          <w:szCs w:val="24"/>
        </w:rPr>
        <w:t>者本人用不褪</w:t>
      </w:r>
      <w:r>
        <w:rPr>
          <w:rFonts w:ascii="宋体" w:hAnsi="宋体" w:eastAsia="宋体" w:cs="宋体"/>
          <w:spacing w:val="-3"/>
          <w:sz w:val="24"/>
          <w:szCs w:val="24"/>
        </w:rPr>
        <w:t>色的蓝(黑)色墨水(汁)书写，不得用任何形式的图章代替。所有谈判响应</w:t>
      </w:r>
      <w:r>
        <w:rPr>
          <w:rFonts w:ascii="宋体" w:hAnsi="宋体" w:eastAsia="宋体" w:cs="宋体"/>
          <w:spacing w:val="-4"/>
          <w:sz w:val="24"/>
          <w:szCs w:val="24"/>
        </w:rPr>
        <w:t>文件正本和副本</w:t>
      </w:r>
      <w:r>
        <w:rPr>
          <w:rFonts w:ascii="宋体" w:hAnsi="宋体" w:eastAsia="宋体" w:cs="宋体"/>
          <w:spacing w:val="1"/>
          <w:sz w:val="24"/>
          <w:szCs w:val="24"/>
        </w:rPr>
        <w:t>须按规定的顺序编排、并编制目录、逐页标</w:t>
      </w:r>
      <w:r>
        <w:rPr>
          <w:rFonts w:ascii="宋体" w:hAnsi="宋体" w:eastAsia="宋体" w:cs="宋体"/>
          <w:sz w:val="24"/>
          <w:szCs w:val="24"/>
        </w:rPr>
        <w:t>注连续页码，每一页的正下方清楚标明页码，</w:t>
      </w:r>
      <w:r>
        <w:rPr>
          <w:rFonts w:ascii="宋体" w:hAnsi="宋体" w:eastAsia="宋体" w:cs="宋体"/>
          <w:spacing w:val="-1"/>
          <w:sz w:val="24"/>
          <w:szCs w:val="24"/>
        </w:rPr>
        <w:t>并统一装订（胶装）成册。</w:t>
      </w:r>
    </w:p>
    <w:p w14:paraId="5EC40BE8">
      <w:pPr>
        <w:spacing w:before="103" w:line="360" w:lineRule="auto"/>
        <w:ind w:left="3" w:right="200" w:firstLine="496"/>
        <w:outlineLvl w:val="9"/>
        <w:rPr>
          <w:rFonts w:ascii="宋体" w:hAnsi="宋体" w:eastAsia="宋体" w:cs="宋体"/>
          <w:sz w:val="24"/>
          <w:szCs w:val="24"/>
        </w:rPr>
      </w:pPr>
      <w:r>
        <w:rPr>
          <w:rFonts w:ascii="宋体" w:hAnsi="宋体" w:eastAsia="宋体" w:cs="宋体"/>
          <w:spacing w:val="-4"/>
          <w:sz w:val="24"/>
          <w:szCs w:val="24"/>
        </w:rPr>
        <w:t>18.2除供应商对错处作必要修改外，谈判响应文件中不许有加行、涂抹或改写。若</w:t>
      </w:r>
      <w:r>
        <w:rPr>
          <w:rFonts w:ascii="宋体" w:hAnsi="宋体" w:eastAsia="宋体" w:cs="宋体"/>
          <w:spacing w:val="-1"/>
          <w:sz w:val="24"/>
          <w:szCs w:val="24"/>
        </w:rPr>
        <w:t>有修改须由授权代表或法定代表人在修改处签字。</w:t>
      </w:r>
    </w:p>
    <w:p w14:paraId="60FF1238">
      <w:pPr>
        <w:spacing w:before="180" w:line="360" w:lineRule="auto"/>
        <w:ind w:left="499"/>
        <w:outlineLvl w:val="9"/>
        <w:rPr>
          <w:rFonts w:ascii="宋体" w:hAnsi="宋体" w:eastAsia="宋体" w:cs="宋体"/>
          <w:sz w:val="24"/>
          <w:szCs w:val="24"/>
        </w:rPr>
      </w:pPr>
      <w:r>
        <w:rPr>
          <w:rFonts w:ascii="宋体" w:hAnsi="宋体" w:eastAsia="宋体" w:cs="宋体"/>
          <w:spacing w:val="-1"/>
          <w:sz w:val="24"/>
          <w:szCs w:val="24"/>
        </w:rPr>
        <w:t>18.3供应商名称应填写全称，谈判响应文件必须逐页加盖供应商公章</w:t>
      </w:r>
    </w:p>
    <w:p w14:paraId="63660859">
      <w:pPr>
        <w:spacing w:before="183" w:line="360" w:lineRule="auto"/>
        <w:ind w:left="499"/>
        <w:outlineLvl w:val="9"/>
        <w:rPr>
          <w:rFonts w:ascii="宋体" w:hAnsi="宋体" w:eastAsia="宋体" w:cs="宋体"/>
          <w:sz w:val="24"/>
          <w:szCs w:val="24"/>
        </w:rPr>
      </w:pPr>
      <w:r>
        <w:rPr>
          <w:rFonts w:ascii="宋体" w:hAnsi="宋体" w:eastAsia="宋体" w:cs="宋体"/>
          <w:spacing w:val="-1"/>
          <w:sz w:val="24"/>
          <w:szCs w:val="24"/>
        </w:rPr>
        <w:t>18.4采购人拒绝接受以电报、电话、传真、电子邮件形式的投标。</w:t>
      </w:r>
    </w:p>
    <w:p w14:paraId="4F3A2A6F">
      <w:pPr>
        <w:spacing w:before="182" w:line="360" w:lineRule="auto"/>
        <w:ind w:left="499"/>
        <w:outlineLvl w:val="9"/>
        <w:rPr>
          <w:rFonts w:ascii="宋体" w:hAnsi="宋体" w:eastAsia="宋体" w:cs="宋体"/>
          <w:sz w:val="24"/>
          <w:szCs w:val="24"/>
        </w:rPr>
      </w:pPr>
      <w:r>
        <w:rPr>
          <w:rFonts w:ascii="宋体" w:hAnsi="宋体" w:eastAsia="宋体" w:cs="宋体"/>
          <w:spacing w:val="-1"/>
          <w:sz w:val="24"/>
          <w:szCs w:val="24"/>
        </w:rPr>
        <w:t>18.5未按上述要求编制及签署的谈判响应文件视为</w:t>
      </w:r>
      <w:r>
        <w:rPr>
          <w:rFonts w:ascii="宋体" w:hAnsi="宋体" w:eastAsia="宋体" w:cs="宋体"/>
          <w:spacing w:val="-2"/>
          <w:sz w:val="24"/>
          <w:szCs w:val="24"/>
        </w:rPr>
        <w:t>无效谈判响应文件。</w:t>
      </w:r>
    </w:p>
    <w:p w14:paraId="31C2B2D7">
      <w:pPr>
        <w:spacing w:before="181" w:line="360" w:lineRule="auto"/>
        <w:ind w:left="4" w:right="200" w:firstLine="495"/>
        <w:outlineLvl w:val="9"/>
        <w:rPr>
          <w:rFonts w:hint="eastAsia" w:ascii="宋体" w:hAnsi="宋体" w:eastAsia="宋体" w:cs="宋体"/>
          <w:sz w:val="24"/>
          <w:szCs w:val="24"/>
          <w:lang w:eastAsia="zh-CN"/>
        </w:rPr>
      </w:pPr>
      <w:r>
        <w:rPr>
          <w:rFonts w:ascii="宋体" w:hAnsi="宋体" w:eastAsia="宋体" w:cs="宋体"/>
          <w:spacing w:val="-2"/>
          <w:sz w:val="24"/>
          <w:szCs w:val="24"/>
        </w:rPr>
        <w:t>18.6电子谈判文件下载。供应商登录全国公共资源交易平台（陕西省）网站〖首</w:t>
      </w:r>
      <w:r>
        <w:rPr>
          <w:rFonts w:ascii="宋体" w:hAnsi="宋体" w:eastAsia="宋体" w:cs="宋体"/>
          <w:spacing w:val="-17"/>
          <w:sz w:val="24"/>
          <w:szCs w:val="24"/>
        </w:rPr>
        <w:t>页·〉电子交易平台·〉企业端〗后，选择项目点击“我要投标</w:t>
      </w:r>
      <w:r>
        <w:rPr>
          <w:rFonts w:ascii="宋体" w:hAnsi="宋体" w:eastAsia="宋体" w:cs="宋体"/>
          <w:spacing w:val="-18"/>
          <w:sz w:val="24"/>
          <w:szCs w:val="24"/>
        </w:rPr>
        <w:t>”，参与投标活动。然后即</w:t>
      </w:r>
      <w:r>
        <w:rPr>
          <w:rFonts w:ascii="宋体" w:hAnsi="宋体" w:eastAsia="宋体" w:cs="宋体"/>
          <w:spacing w:val="-1"/>
          <w:sz w:val="24"/>
          <w:szCs w:val="24"/>
        </w:rPr>
        <w:t>可在〖我的项目〗中点击“项目流程&gt;交易文件</w:t>
      </w:r>
      <w:r>
        <w:rPr>
          <w:rFonts w:ascii="宋体" w:hAnsi="宋体" w:eastAsia="宋体" w:cs="宋体"/>
          <w:spacing w:val="-2"/>
          <w:sz w:val="24"/>
          <w:szCs w:val="24"/>
        </w:rPr>
        <w:t>下载”下载电子谈判文件。</w:t>
      </w:r>
      <w:r>
        <w:rPr>
          <w:rFonts w:ascii="宋体" w:hAnsi="宋体" w:eastAsia="宋体" w:cs="宋体"/>
          <w:sz w:val="24"/>
          <w:szCs w:val="24"/>
        </w:rPr>
        <w:t>CA锁购买：榆林市市民大厦三楼窗口,电话091</w:t>
      </w:r>
      <w:r>
        <w:rPr>
          <w:rFonts w:ascii="宋体" w:hAnsi="宋体" w:eastAsia="宋体" w:cs="宋体"/>
          <w:spacing w:val="-1"/>
          <w:sz w:val="24"/>
          <w:szCs w:val="24"/>
        </w:rPr>
        <w:t>-3515031</w:t>
      </w:r>
    </w:p>
    <w:p w14:paraId="3AF8FDDB">
      <w:pPr>
        <w:spacing w:line="240" w:lineRule="auto"/>
        <w:ind w:right="0" w:firstLine="0"/>
        <w:outlineLvl w:val="9"/>
        <w:rPr>
          <w:rFonts w:ascii="宋体" w:hAnsi="宋体" w:eastAsia="宋体" w:cs="宋体"/>
          <w:sz w:val="35"/>
          <w:szCs w:val="35"/>
        </w:rPr>
      </w:pPr>
      <w:r>
        <w:rPr>
          <w:rFonts w:ascii="宋体" w:hAnsi="宋体" w:eastAsia="宋体" w:cs="宋体"/>
          <w:spacing w:val="8"/>
          <w:sz w:val="35"/>
          <w:szCs w:val="35"/>
        </w:rPr>
        <w:t>D竞争性谈判响应文件的递交</w:t>
      </w:r>
    </w:p>
    <w:p w14:paraId="63F810F8">
      <w:pPr>
        <w:spacing w:before="1" w:line="360" w:lineRule="auto"/>
        <w:ind w:left="19"/>
        <w:outlineLvl w:val="9"/>
        <w:rPr>
          <w:rFonts w:ascii="宋体" w:hAnsi="宋体" w:eastAsia="宋体" w:cs="宋体"/>
          <w:sz w:val="24"/>
          <w:szCs w:val="24"/>
        </w:rPr>
      </w:pPr>
      <w:r>
        <w:rPr>
          <w:rFonts w:ascii="宋体" w:hAnsi="宋体" w:eastAsia="宋体" w:cs="宋体"/>
          <w:spacing w:val="-2"/>
          <w:sz w:val="24"/>
          <w:szCs w:val="24"/>
        </w:rPr>
        <w:t>19竞争性谈判响应文件的密封和标记</w:t>
      </w:r>
    </w:p>
    <w:p w14:paraId="25A1398A">
      <w:pPr>
        <w:spacing w:before="183" w:line="360" w:lineRule="auto"/>
        <w:ind w:left="5" w:right="200" w:firstLine="494"/>
        <w:outlineLvl w:val="9"/>
        <w:rPr>
          <w:rFonts w:ascii="宋体" w:hAnsi="宋体" w:eastAsia="宋体" w:cs="宋体"/>
          <w:sz w:val="24"/>
          <w:szCs w:val="24"/>
        </w:rPr>
      </w:pPr>
      <w:r>
        <w:rPr>
          <w:rFonts w:ascii="宋体" w:hAnsi="宋体" w:eastAsia="宋体" w:cs="宋体"/>
          <w:spacing w:val="-4"/>
          <w:sz w:val="24"/>
          <w:szCs w:val="24"/>
        </w:rPr>
        <w:t>19.1开标后成交供应商应提交正本壹份、副本贰份</w:t>
      </w:r>
      <w:r>
        <w:rPr>
          <w:rFonts w:ascii="宋体" w:hAnsi="宋体" w:eastAsia="宋体" w:cs="宋体"/>
          <w:spacing w:val="-5"/>
          <w:sz w:val="24"/>
          <w:szCs w:val="24"/>
        </w:rPr>
        <w:t>递交至代</w:t>
      </w:r>
      <w:r>
        <w:rPr>
          <w:rFonts w:ascii="宋体" w:hAnsi="宋体" w:eastAsia="宋体" w:cs="宋体"/>
          <w:spacing w:val="-4"/>
          <w:sz w:val="24"/>
          <w:szCs w:val="24"/>
        </w:rPr>
        <w:t>理机构。</w:t>
      </w:r>
    </w:p>
    <w:p w14:paraId="4B7D6AE3">
      <w:pPr>
        <w:spacing w:before="185" w:line="360" w:lineRule="auto"/>
        <w:ind w:left="5"/>
        <w:outlineLvl w:val="9"/>
        <w:rPr>
          <w:rFonts w:ascii="宋体" w:hAnsi="宋体" w:eastAsia="宋体" w:cs="宋体"/>
          <w:sz w:val="24"/>
          <w:szCs w:val="24"/>
        </w:rPr>
      </w:pPr>
      <w:r>
        <w:rPr>
          <w:rFonts w:ascii="宋体" w:hAnsi="宋体" w:eastAsia="宋体" w:cs="宋体"/>
          <w:spacing w:val="-1"/>
          <w:sz w:val="24"/>
          <w:szCs w:val="24"/>
        </w:rPr>
        <w:t>20竞争性谈判响应文件的递交</w:t>
      </w:r>
    </w:p>
    <w:p w14:paraId="0EDDB4FC">
      <w:pPr>
        <w:spacing w:before="182" w:line="360" w:lineRule="auto"/>
        <w:ind w:left="485"/>
        <w:outlineLvl w:val="9"/>
        <w:rPr>
          <w:rFonts w:ascii="宋体" w:hAnsi="宋体" w:eastAsia="宋体" w:cs="宋体"/>
          <w:sz w:val="24"/>
          <w:szCs w:val="24"/>
        </w:rPr>
      </w:pPr>
      <w:r>
        <w:rPr>
          <w:rFonts w:ascii="宋体" w:hAnsi="宋体" w:eastAsia="宋体" w:cs="宋体"/>
          <w:spacing w:val="-1"/>
          <w:sz w:val="24"/>
          <w:szCs w:val="24"/>
        </w:rPr>
        <w:t>20.1无论供应商成交与否，其竞争性谈判响应文件恕不退还。</w:t>
      </w:r>
    </w:p>
    <w:p w14:paraId="6BE5519D">
      <w:pPr>
        <w:spacing w:before="124" w:line="360" w:lineRule="auto"/>
        <w:ind w:right="61" w:firstLine="482"/>
        <w:outlineLvl w:val="9"/>
        <w:rPr>
          <w:rFonts w:ascii="宋体" w:hAnsi="宋体" w:eastAsia="宋体" w:cs="宋体"/>
          <w:spacing w:val="-1"/>
          <w:sz w:val="24"/>
          <w:szCs w:val="24"/>
        </w:rPr>
      </w:pPr>
      <w:r>
        <w:rPr>
          <w:rFonts w:ascii="宋体" w:hAnsi="宋体" w:eastAsia="宋体" w:cs="宋体"/>
          <w:spacing w:val="-1"/>
          <w:sz w:val="24"/>
          <w:szCs w:val="24"/>
        </w:rPr>
        <w:t>20.2响应文件可于提交响应文件截止时间前任意时段进行提交，逾期将拒绝接收。</w:t>
      </w:r>
    </w:p>
    <w:p w14:paraId="273245B1">
      <w:pPr>
        <w:spacing w:before="124" w:line="360" w:lineRule="auto"/>
        <w:ind w:right="61" w:firstLine="482"/>
        <w:outlineLvl w:val="9"/>
        <w:rPr>
          <w:rFonts w:ascii="宋体" w:hAnsi="宋体" w:eastAsia="宋体" w:cs="宋体"/>
          <w:sz w:val="24"/>
          <w:szCs w:val="24"/>
        </w:rPr>
      </w:pPr>
      <w:r>
        <w:rPr>
          <w:rFonts w:ascii="宋体" w:hAnsi="宋体" w:eastAsia="宋体" w:cs="宋体"/>
          <w:sz w:val="24"/>
          <w:szCs w:val="24"/>
        </w:rPr>
        <w:t>20.3采购人或采购代理机构有权按本须知的规定，</w:t>
      </w:r>
      <w:r>
        <w:rPr>
          <w:rFonts w:ascii="宋体" w:hAnsi="宋体" w:eastAsia="宋体" w:cs="宋体"/>
          <w:spacing w:val="-1"/>
          <w:sz w:val="24"/>
          <w:szCs w:val="24"/>
        </w:rPr>
        <w:t>通过修改竞争性谈判文件延长谈</w:t>
      </w:r>
      <w:r>
        <w:rPr>
          <w:rFonts w:ascii="宋体" w:hAnsi="宋体" w:eastAsia="宋体" w:cs="宋体"/>
          <w:spacing w:val="-3"/>
          <w:sz w:val="24"/>
          <w:szCs w:val="24"/>
        </w:rPr>
        <w:t>判截止时间。在此情况下，采购人和供应商受谈判截止时</w:t>
      </w:r>
      <w:r>
        <w:rPr>
          <w:rFonts w:ascii="宋体" w:hAnsi="宋体" w:eastAsia="宋体" w:cs="宋体"/>
          <w:spacing w:val="-4"/>
          <w:sz w:val="24"/>
          <w:szCs w:val="24"/>
        </w:rPr>
        <w:t>间制约的所有权利和义务均应当</w:t>
      </w:r>
      <w:r>
        <w:rPr>
          <w:rFonts w:ascii="宋体" w:hAnsi="宋体" w:eastAsia="宋体" w:cs="宋体"/>
          <w:spacing w:val="-2"/>
          <w:sz w:val="24"/>
          <w:szCs w:val="24"/>
        </w:rPr>
        <w:t>延长至新的截止期。</w:t>
      </w:r>
    </w:p>
    <w:p w14:paraId="6D780305">
      <w:pPr>
        <w:spacing w:before="181" w:line="360" w:lineRule="auto"/>
        <w:ind w:left="4" w:right="61" w:firstLine="478"/>
        <w:outlineLvl w:val="9"/>
        <w:rPr>
          <w:rFonts w:ascii="宋体" w:hAnsi="宋体" w:eastAsia="宋体" w:cs="宋体"/>
          <w:sz w:val="24"/>
          <w:szCs w:val="24"/>
        </w:rPr>
      </w:pPr>
      <w:r>
        <w:rPr>
          <w:rFonts w:ascii="宋体" w:hAnsi="宋体" w:eastAsia="宋体" w:cs="宋体"/>
          <w:sz w:val="24"/>
          <w:szCs w:val="24"/>
        </w:rPr>
        <w:t>20.4采购人及采购代理机构将拒绝接收竞争性谈判</w:t>
      </w:r>
      <w:r>
        <w:rPr>
          <w:rFonts w:ascii="宋体" w:hAnsi="宋体" w:eastAsia="宋体" w:cs="宋体"/>
          <w:spacing w:val="-1"/>
          <w:sz w:val="24"/>
          <w:szCs w:val="24"/>
        </w:rPr>
        <w:t>文件规定的谈判截止时间之后递</w:t>
      </w:r>
      <w:r>
        <w:rPr>
          <w:rFonts w:ascii="宋体" w:hAnsi="宋体" w:eastAsia="宋体" w:cs="宋体"/>
          <w:spacing w:val="-2"/>
          <w:sz w:val="24"/>
          <w:szCs w:val="24"/>
        </w:rPr>
        <w:t>交的任何竞争性谈判响应文件。</w:t>
      </w:r>
    </w:p>
    <w:p w14:paraId="773D2CC3">
      <w:pPr>
        <w:spacing w:before="183" w:line="360" w:lineRule="auto"/>
        <w:ind w:left="2"/>
        <w:outlineLvl w:val="9"/>
        <w:rPr>
          <w:rFonts w:ascii="宋体" w:hAnsi="宋体" w:eastAsia="宋体" w:cs="宋体"/>
          <w:sz w:val="24"/>
          <w:szCs w:val="24"/>
        </w:rPr>
      </w:pPr>
      <w:r>
        <w:rPr>
          <w:rFonts w:ascii="宋体" w:hAnsi="宋体" w:eastAsia="宋体" w:cs="宋体"/>
          <w:spacing w:val="-1"/>
          <w:sz w:val="24"/>
          <w:szCs w:val="24"/>
        </w:rPr>
        <w:t>21竞争性谈判响应文件的修改与撤回</w:t>
      </w:r>
    </w:p>
    <w:p w14:paraId="34A67A5A">
      <w:pPr>
        <w:spacing w:before="182" w:line="360" w:lineRule="auto"/>
        <w:ind w:right="61" w:firstLine="482"/>
        <w:outlineLvl w:val="9"/>
        <w:rPr>
          <w:rFonts w:ascii="宋体" w:hAnsi="宋体" w:eastAsia="宋体" w:cs="宋体"/>
          <w:sz w:val="24"/>
          <w:szCs w:val="24"/>
        </w:rPr>
      </w:pPr>
      <w:r>
        <w:rPr>
          <w:rFonts w:ascii="宋体" w:hAnsi="宋体" w:eastAsia="宋体" w:cs="宋体"/>
          <w:sz w:val="24"/>
          <w:szCs w:val="24"/>
        </w:rPr>
        <w:t>21.1供应商在谈判截止时间前，可以对所递交的竞</w:t>
      </w:r>
      <w:r>
        <w:rPr>
          <w:rFonts w:ascii="宋体" w:hAnsi="宋体" w:eastAsia="宋体" w:cs="宋体"/>
          <w:spacing w:val="-1"/>
          <w:sz w:val="24"/>
          <w:szCs w:val="24"/>
        </w:rPr>
        <w:t>争性谈判响应文件进行补充、修</w:t>
      </w:r>
      <w:r>
        <w:rPr>
          <w:rFonts w:ascii="宋体" w:hAnsi="宋体" w:eastAsia="宋体" w:cs="宋体"/>
          <w:spacing w:val="-3"/>
          <w:sz w:val="24"/>
          <w:szCs w:val="24"/>
        </w:rPr>
        <w:t>改或者撤回，并书面通知采购代理机构。补充、修改的内</w:t>
      </w:r>
      <w:r>
        <w:rPr>
          <w:rFonts w:ascii="宋体" w:hAnsi="宋体" w:eastAsia="宋体" w:cs="宋体"/>
          <w:spacing w:val="-4"/>
          <w:sz w:val="24"/>
          <w:szCs w:val="24"/>
        </w:rPr>
        <w:t>容应当按竞争性谈判文件要求签</w:t>
      </w:r>
      <w:r>
        <w:rPr>
          <w:rFonts w:ascii="宋体" w:hAnsi="宋体" w:eastAsia="宋体" w:cs="宋体"/>
          <w:spacing w:val="-1"/>
          <w:sz w:val="24"/>
          <w:szCs w:val="24"/>
        </w:rPr>
        <w:t>署、盖章，并作为竞争性谈判响应文件的组成部分。</w:t>
      </w:r>
    </w:p>
    <w:p w14:paraId="1DF34F08">
      <w:pPr>
        <w:spacing w:before="183" w:line="360" w:lineRule="auto"/>
        <w:ind w:left="482"/>
        <w:outlineLvl w:val="9"/>
        <w:rPr>
          <w:rFonts w:ascii="宋体" w:hAnsi="宋体" w:eastAsia="宋体" w:cs="宋体"/>
          <w:sz w:val="24"/>
          <w:szCs w:val="24"/>
        </w:rPr>
      </w:pPr>
      <w:r>
        <w:rPr>
          <w:rFonts w:ascii="宋体" w:hAnsi="宋体" w:eastAsia="宋体" w:cs="宋体"/>
          <w:sz w:val="24"/>
          <w:szCs w:val="24"/>
        </w:rPr>
        <w:t>21.2谈判截止时间后，供应商不得对其竞</w:t>
      </w:r>
      <w:r>
        <w:rPr>
          <w:rFonts w:ascii="宋体" w:hAnsi="宋体" w:eastAsia="宋体" w:cs="宋体"/>
          <w:spacing w:val="-1"/>
          <w:sz w:val="24"/>
          <w:szCs w:val="24"/>
        </w:rPr>
        <w:t>争性谈判响应文件做任何修改。</w:t>
      </w:r>
    </w:p>
    <w:p w14:paraId="37BF3F10">
      <w:pPr>
        <w:spacing w:before="184" w:line="360" w:lineRule="auto"/>
        <w:ind w:right="61" w:firstLine="481"/>
        <w:outlineLvl w:val="9"/>
        <w:rPr>
          <w:rFonts w:ascii="宋体" w:hAnsi="宋体" w:eastAsia="宋体" w:cs="宋体"/>
          <w:sz w:val="24"/>
          <w:szCs w:val="24"/>
        </w:rPr>
      </w:pPr>
      <w:r>
        <w:rPr>
          <w:rFonts w:ascii="宋体" w:hAnsi="宋体" w:eastAsia="宋体" w:cs="宋体"/>
          <w:sz w:val="24"/>
          <w:szCs w:val="24"/>
        </w:rPr>
        <w:t>21.3从谈判截止期至供应商在谈判函格式中确定的</w:t>
      </w:r>
      <w:r>
        <w:rPr>
          <w:rFonts w:ascii="宋体" w:hAnsi="宋体" w:eastAsia="宋体" w:cs="宋体"/>
          <w:spacing w:val="-1"/>
          <w:sz w:val="24"/>
          <w:szCs w:val="24"/>
        </w:rPr>
        <w:t>谈判有效期之间，供应商不得撤销其谈判，否则其谈判保证金将按照本须知的规定不予退还。</w:t>
      </w:r>
    </w:p>
    <w:p w14:paraId="0F67CD3C">
      <w:pPr>
        <w:spacing w:before="201" w:line="360" w:lineRule="auto"/>
        <w:outlineLvl w:val="9"/>
        <w:rPr>
          <w:rFonts w:ascii="宋体" w:hAnsi="宋体" w:eastAsia="宋体" w:cs="宋体"/>
          <w:sz w:val="35"/>
          <w:szCs w:val="35"/>
        </w:rPr>
      </w:pPr>
      <w:r>
        <w:rPr>
          <w:rFonts w:ascii="宋体" w:hAnsi="宋体" w:eastAsia="宋体" w:cs="宋体"/>
          <w:spacing w:val="7"/>
          <w:sz w:val="35"/>
          <w:szCs w:val="35"/>
        </w:rPr>
        <w:t>E开标与评审</w:t>
      </w:r>
    </w:p>
    <w:p w14:paraId="23048E3F">
      <w:pPr>
        <w:spacing w:before="180" w:line="360" w:lineRule="auto"/>
        <w:ind w:left="2"/>
        <w:outlineLvl w:val="9"/>
        <w:rPr>
          <w:rFonts w:ascii="宋体" w:hAnsi="宋体" w:eastAsia="宋体" w:cs="宋体"/>
          <w:sz w:val="24"/>
          <w:szCs w:val="24"/>
        </w:rPr>
      </w:pPr>
      <w:r>
        <w:rPr>
          <w:rFonts w:ascii="宋体" w:hAnsi="宋体" w:eastAsia="宋体" w:cs="宋体"/>
          <w:spacing w:val="-6"/>
          <w:sz w:val="24"/>
          <w:szCs w:val="24"/>
        </w:rPr>
        <w:t>22开标</w:t>
      </w:r>
    </w:p>
    <w:p w14:paraId="772F7BCC">
      <w:pPr>
        <w:spacing w:before="181" w:line="360" w:lineRule="auto"/>
        <w:ind w:left="3" w:firstLine="479"/>
        <w:outlineLvl w:val="9"/>
        <w:rPr>
          <w:rFonts w:ascii="宋体" w:hAnsi="宋体" w:eastAsia="宋体" w:cs="宋体"/>
          <w:sz w:val="24"/>
          <w:szCs w:val="24"/>
        </w:rPr>
      </w:pPr>
      <w:r>
        <w:rPr>
          <w:rFonts w:ascii="宋体" w:hAnsi="宋体" w:eastAsia="宋体" w:cs="宋体"/>
          <w:spacing w:val="-5"/>
          <w:sz w:val="24"/>
          <w:szCs w:val="24"/>
        </w:rPr>
        <w:t>22.1采购代理机构在规定的时间和地点组织谈判。谈判时所有供应商代表自愿参加，</w:t>
      </w:r>
      <w:r>
        <w:rPr>
          <w:rFonts w:ascii="宋体" w:hAnsi="宋体" w:eastAsia="宋体" w:cs="宋体"/>
          <w:spacing w:val="-1"/>
          <w:sz w:val="24"/>
          <w:szCs w:val="24"/>
        </w:rPr>
        <w:t>不参加的视为认同开标结果，参加谈判的代表应签名报到以证明其出席。</w:t>
      </w:r>
    </w:p>
    <w:p w14:paraId="6C94254F">
      <w:pPr>
        <w:spacing w:before="182" w:line="360" w:lineRule="auto"/>
        <w:ind w:left="482"/>
        <w:outlineLvl w:val="9"/>
        <w:rPr>
          <w:rFonts w:ascii="宋体" w:hAnsi="宋体" w:eastAsia="宋体" w:cs="宋体"/>
          <w:sz w:val="24"/>
          <w:szCs w:val="24"/>
        </w:rPr>
      </w:pPr>
      <w:r>
        <w:rPr>
          <w:rFonts w:ascii="宋体" w:hAnsi="宋体" w:eastAsia="宋体" w:cs="宋体"/>
          <w:sz w:val="24"/>
          <w:szCs w:val="24"/>
        </w:rPr>
        <w:t>22.2谈判有效供应商不足三家的，按照国家相</w:t>
      </w:r>
      <w:r>
        <w:rPr>
          <w:rFonts w:ascii="宋体" w:hAnsi="宋体" w:eastAsia="宋体" w:cs="宋体"/>
          <w:spacing w:val="-1"/>
          <w:sz w:val="24"/>
          <w:szCs w:val="24"/>
        </w:rPr>
        <w:t>关法律、法规及有关规定执行。</w:t>
      </w:r>
    </w:p>
    <w:p w14:paraId="31A317BB">
      <w:pPr>
        <w:spacing w:before="183" w:line="360" w:lineRule="auto"/>
        <w:ind w:left="482"/>
        <w:outlineLvl w:val="9"/>
        <w:rPr>
          <w:rFonts w:ascii="宋体" w:hAnsi="宋体" w:eastAsia="宋体" w:cs="宋体"/>
          <w:sz w:val="24"/>
          <w:szCs w:val="24"/>
        </w:rPr>
      </w:pPr>
      <w:r>
        <w:rPr>
          <w:rFonts w:ascii="宋体" w:hAnsi="宋体" w:eastAsia="宋体" w:cs="宋体"/>
          <w:spacing w:val="-1"/>
          <w:sz w:val="24"/>
          <w:szCs w:val="24"/>
        </w:rPr>
        <w:t>22.3采购代理机构将做开标记录，存档备查。</w:t>
      </w:r>
    </w:p>
    <w:p w14:paraId="46646892">
      <w:pPr>
        <w:spacing w:before="184" w:line="360" w:lineRule="auto"/>
        <w:ind w:right="64" w:firstLine="481"/>
        <w:outlineLvl w:val="9"/>
        <w:rPr>
          <w:rFonts w:ascii="宋体" w:hAnsi="宋体" w:eastAsia="宋体" w:cs="宋体"/>
          <w:sz w:val="24"/>
          <w:szCs w:val="24"/>
        </w:rPr>
      </w:pPr>
      <w:r>
        <w:rPr>
          <w:rFonts w:ascii="宋体" w:hAnsi="宋体" w:eastAsia="宋体" w:cs="宋体"/>
          <w:spacing w:val="1"/>
          <w:sz w:val="24"/>
          <w:szCs w:val="24"/>
        </w:rPr>
        <w:t>22.4在开标、评审过程中，如因停电、断网、系统故障等特殊原因导致开、</w:t>
      </w:r>
      <w:r>
        <w:rPr>
          <w:rFonts w:ascii="宋体" w:hAnsi="宋体" w:eastAsia="宋体" w:cs="宋体"/>
          <w:sz w:val="24"/>
          <w:szCs w:val="24"/>
        </w:rPr>
        <w:t>评标无</w:t>
      </w:r>
      <w:r>
        <w:rPr>
          <w:rFonts w:ascii="宋体" w:hAnsi="宋体" w:eastAsia="宋体" w:cs="宋体"/>
          <w:spacing w:val="-1"/>
          <w:sz w:val="24"/>
          <w:szCs w:val="24"/>
        </w:rPr>
        <w:t>法正常进行时，视具体情况确定是否停止开评标活动。</w:t>
      </w:r>
    </w:p>
    <w:p w14:paraId="02630517">
      <w:pPr>
        <w:spacing w:before="182" w:line="360" w:lineRule="auto"/>
        <w:ind w:left="2"/>
        <w:outlineLvl w:val="9"/>
        <w:rPr>
          <w:rFonts w:ascii="宋体" w:hAnsi="宋体" w:eastAsia="宋体" w:cs="宋体"/>
          <w:sz w:val="24"/>
          <w:szCs w:val="24"/>
        </w:rPr>
      </w:pPr>
      <w:r>
        <w:rPr>
          <w:rFonts w:ascii="宋体" w:hAnsi="宋体" w:eastAsia="宋体" w:cs="宋体"/>
          <w:spacing w:val="-2"/>
          <w:sz w:val="24"/>
          <w:szCs w:val="24"/>
        </w:rPr>
        <w:t>23对供应商资格的审查</w:t>
      </w:r>
    </w:p>
    <w:p w14:paraId="7247FB5C">
      <w:pPr>
        <w:spacing w:before="185" w:line="360" w:lineRule="auto"/>
        <w:ind w:left="2" w:right="61" w:firstLine="480"/>
        <w:outlineLvl w:val="9"/>
        <w:rPr>
          <w:rFonts w:ascii="宋体" w:hAnsi="宋体" w:eastAsia="宋体" w:cs="宋体"/>
          <w:sz w:val="24"/>
          <w:szCs w:val="24"/>
        </w:rPr>
      </w:pPr>
      <w:r>
        <w:rPr>
          <w:rFonts w:ascii="宋体" w:hAnsi="宋体" w:eastAsia="宋体" w:cs="宋体"/>
          <w:spacing w:val="1"/>
          <w:sz w:val="24"/>
          <w:szCs w:val="24"/>
        </w:rPr>
        <w:t>23.1开标结束后，采购人和采购代理机构应当依法对供应商的资格证明</w:t>
      </w:r>
      <w:r>
        <w:rPr>
          <w:rFonts w:ascii="宋体" w:hAnsi="宋体" w:eastAsia="宋体" w:cs="宋体"/>
          <w:sz w:val="24"/>
          <w:szCs w:val="24"/>
        </w:rPr>
        <w:t>文件进行审</w:t>
      </w:r>
      <w:r>
        <w:rPr>
          <w:rFonts w:ascii="宋体" w:hAnsi="宋体" w:eastAsia="宋体" w:cs="宋体"/>
          <w:spacing w:val="-3"/>
          <w:sz w:val="24"/>
          <w:szCs w:val="24"/>
        </w:rPr>
        <w:t>查，不符合竞争性谈判文件要求的按无效谈判响应</w:t>
      </w:r>
      <w:r>
        <w:rPr>
          <w:rFonts w:ascii="宋体" w:hAnsi="宋体" w:eastAsia="宋体" w:cs="宋体"/>
          <w:spacing w:val="-4"/>
          <w:sz w:val="24"/>
          <w:szCs w:val="24"/>
        </w:rPr>
        <w:t>处理，不得进入后续评审，签字确认检查结果。</w:t>
      </w:r>
    </w:p>
    <w:p w14:paraId="0DF7D73D">
      <w:pPr>
        <w:spacing w:before="182" w:line="360" w:lineRule="auto"/>
        <w:ind w:left="482"/>
        <w:outlineLvl w:val="9"/>
        <w:rPr>
          <w:rFonts w:ascii="宋体" w:hAnsi="宋体" w:eastAsia="宋体" w:cs="宋体"/>
          <w:spacing w:val="-1"/>
          <w:sz w:val="24"/>
          <w:szCs w:val="24"/>
        </w:rPr>
      </w:pPr>
      <w:r>
        <w:rPr>
          <w:rFonts w:ascii="宋体" w:hAnsi="宋体" w:eastAsia="宋体" w:cs="宋体"/>
          <w:spacing w:val="-1"/>
          <w:sz w:val="24"/>
          <w:szCs w:val="24"/>
        </w:rPr>
        <w:t>23.2不符合竞争性谈判文件要求的按无效文件处理，不得进入后续评审工</w:t>
      </w:r>
    </w:p>
    <w:p w14:paraId="42001B52">
      <w:pPr>
        <w:spacing w:before="182" w:line="360" w:lineRule="auto"/>
        <w:outlineLvl w:val="9"/>
        <w:rPr>
          <w:rFonts w:ascii="宋体" w:hAnsi="宋体" w:eastAsia="宋体" w:cs="宋体"/>
          <w:sz w:val="24"/>
          <w:szCs w:val="24"/>
        </w:rPr>
      </w:pPr>
      <w:r>
        <w:rPr>
          <w:rFonts w:ascii="宋体" w:hAnsi="宋体" w:eastAsia="宋体" w:cs="宋体"/>
          <w:spacing w:val="-1"/>
          <w:sz w:val="24"/>
          <w:szCs w:val="24"/>
        </w:rPr>
        <w:t>作。</w:t>
      </w:r>
    </w:p>
    <w:p w14:paraId="409A912F">
      <w:pPr>
        <w:spacing w:before="183" w:line="360" w:lineRule="auto"/>
        <w:ind w:left="482"/>
        <w:outlineLvl w:val="9"/>
        <w:rPr>
          <w:rFonts w:ascii="宋体" w:hAnsi="宋体" w:eastAsia="宋体" w:cs="宋体"/>
          <w:sz w:val="24"/>
          <w:szCs w:val="24"/>
        </w:rPr>
      </w:pPr>
      <w:r>
        <w:rPr>
          <w:rFonts w:ascii="宋体" w:hAnsi="宋体" w:eastAsia="宋体" w:cs="宋体"/>
          <w:spacing w:val="-2"/>
          <w:sz w:val="24"/>
          <w:szCs w:val="24"/>
        </w:rPr>
        <w:t>23.3合格供应商不足三家的，不得评标。</w:t>
      </w:r>
    </w:p>
    <w:p w14:paraId="5B4AE906">
      <w:pPr>
        <w:spacing w:before="183" w:line="360" w:lineRule="auto"/>
        <w:ind w:left="2"/>
        <w:outlineLvl w:val="9"/>
        <w:rPr>
          <w:rFonts w:ascii="宋体" w:hAnsi="宋体" w:eastAsia="宋体" w:cs="宋体"/>
          <w:sz w:val="24"/>
          <w:szCs w:val="24"/>
        </w:rPr>
      </w:pPr>
      <w:r>
        <w:rPr>
          <w:rFonts w:ascii="宋体" w:hAnsi="宋体" w:eastAsia="宋体" w:cs="宋体"/>
          <w:spacing w:val="-2"/>
          <w:sz w:val="24"/>
          <w:szCs w:val="24"/>
        </w:rPr>
        <w:t>24对供应商资格的审查</w:t>
      </w:r>
    </w:p>
    <w:p w14:paraId="21C7864C">
      <w:pPr>
        <w:spacing w:before="184" w:line="360" w:lineRule="auto"/>
        <w:ind w:left="4" w:right="61" w:firstLine="478"/>
        <w:outlineLvl w:val="9"/>
        <w:rPr>
          <w:rFonts w:ascii="宋体" w:hAnsi="宋体" w:eastAsia="宋体" w:cs="宋体"/>
          <w:sz w:val="24"/>
          <w:szCs w:val="24"/>
        </w:rPr>
      </w:pPr>
      <w:r>
        <w:rPr>
          <w:rFonts w:ascii="宋体" w:hAnsi="宋体" w:eastAsia="宋体" w:cs="宋体"/>
          <w:spacing w:val="1"/>
          <w:sz w:val="24"/>
          <w:szCs w:val="24"/>
        </w:rPr>
        <w:t>24.1开标结束后，谈判小组应当依法对供应商的资格证明文件进行审查，不符</w:t>
      </w:r>
      <w:r>
        <w:rPr>
          <w:rFonts w:ascii="宋体" w:hAnsi="宋体" w:eastAsia="宋体" w:cs="宋体"/>
          <w:sz w:val="24"/>
          <w:szCs w:val="24"/>
        </w:rPr>
        <w:t>合竞争性谈判文件要求的按无效谈判响应处理，不得</w:t>
      </w:r>
      <w:r>
        <w:rPr>
          <w:rFonts w:ascii="宋体" w:hAnsi="宋体" w:eastAsia="宋体" w:cs="宋体"/>
          <w:spacing w:val="-1"/>
          <w:sz w:val="24"/>
          <w:szCs w:val="24"/>
        </w:rPr>
        <w:t>进入后续评审，签字确认检查结果。</w:t>
      </w:r>
    </w:p>
    <w:p w14:paraId="711257C7">
      <w:pPr>
        <w:spacing w:before="123" w:line="360" w:lineRule="auto"/>
        <w:ind w:left="483"/>
        <w:outlineLvl w:val="9"/>
        <w:rPr>
          <w:rFonts w:ascii="宋体" w:hAnsi="宋体" w:eastAsia="宋体" w:cs="宋体"/>
          <w:spacing w:val="-1"/>
          <w:sz w:val="24"/>
          <w:szCs w:val="24"/>
        </w:rPr>
      </w:pPr>
      <w:r>
        <w:rPr>
          <w:rFonts w:ascii="宋体" w:hAnsi="宋体" w:eastAsia="宋体" w:cs="宋体"/>
          <w:spacing w:val="-1"/>
          <w:sz w:val="24"/>
          <w:szCs w:val="24"/>
        </w:rPr>
        <w:t>24.2不符合竞争性谈判文件要求的按无效文件处理，不得进入后续评审工</w:t>
      </w:r>
    </w:p>
    <w:p w14:paraId="52D62287">
      <w:pPr>
        <w:spacing w:before="123" w:line="360" w:lineRule="auto"/>
        <w:outlineLvl w:val="9"/>
        <w:rPr>
          <w:rFonts w:ascii="宋体" w:hAnsi="宋体" w:eastAsia="宋体" w:cs="宋体"/>
          <w:sz w:val="24"/>
          <w:szCs w:val="24"/>
        </w:rPr>
      </w:pPr>
      <w:r>
        <w:rPr>
          <w:rFonts w:ascii="宋体" w:hAnsi="宋体" w:eastAsia="宋体" w:cs="宋体"/>
          <w:spacing w:val="-1"/>
          <w:sz w:val="24"/>
          <w:szCs w:val="24"/>
        </w:rPr>
        <w:t>作。</w:t>
      </w:r>
    </w:p>
    <w:p w14:paraId="3493232E">
      <w:pPr>
        <w:spacing w:before="182" w:line="360" w:lineRule="auto"/>
        <w:ind w:left="483"/>
        <w:outlineLvl w:val="9"/>
        <w:rPr>
          <w:rFonts w:ascii="宋体" w:hAnsi="宋体" w:eastAsia="宋体" w:cs="宋体"/>
          <w:sz w:val="24"/>
          <w:szCs w:val="24"/>
        </w:rPr>
      </w:pPr>
      <w:r>
        <w:rPr>
          <w:rFonts w:ascii="宋体" w:hAnsi="宋体" w:eastAsia="宋体" w:cs="宋体"/>
          <w:spacing w:val="-2"/>
          <w:sz w:val="24"/>
          <w:szCs w:val="24"/>
        </w:rPr>
        <w:t>24.3合格供应商不足三家的，不得评标。</w:t>
      </w:r>
    </w:p>
    <w:p w14:paraId="6360891B">
      <w:pPr>
        <w:spacing w:before="183" w:line="360" w:lineRule="auto"/>
        <w:ind w:left="3"/>
        <w:outlineLvl w:val="9"/>
        <w:rPr>
          <w:rFonts w:ascii="宋体" w:hAnsi="宋体" w:eastAsia="宋体" w:cs="宋体"/>
          <w:sz w:val="24"/>
          <w:szCs w:val="24"/>
        </w:rPr>
      </w:pPr>
      <w:r>
        <w:rPr>
          <w:rFonts w:ascii="宋体" w:hAnsi="宋体" w:eastAsia="宋体" w:cs="宋体"/>
          <w:spacing w:val="-6"/>
          <w:sz w:val="24"/>
          <w:szCs w:val="24"/>
        </w:rPr>
        <w:t>25评标</w:t>
      </w:r>
    </w:p>
    <w:p w14:paraId="284F1476">
      <w:pPr>
        <w:spacing w:before="181" w:line="360" w:lineRule="auto"/>
        <w:ind w:left="4" w:right="82" w:firstLine="479"/>
        <w:outlineLvl w:val="9"/>
        <w:rPr>
          <w:rFonts w:ascii="宋体" w:hAnsi="宋体" w:eastAsia="宋体" w:cs="宋体"/>
          <w:sz w:val="24"/>
          <w:szCs w:val="24"/>
        </w:rPr>
      </w:pPr>
      <w:r>
        <w:rPr>
          <w:rFonts w:ascii="宋体" w:hAnsi="宋体" w:eastAsia="宋体" w:cs="宋体"/>
          <w:spacing w:val="1"/>
          <w:sz w:val="24"/>
          <w:szCs w:val="24"/>
        </w:rPr>
        <w:t>25.1谈判小组对通过资格审查的供应商进行商务、技术符合性审查，审查不</w:t>
      </w:r>
      <w:r>
        <w:rPr>
          <w:rFonts w:ascii="宋体" w:hAnsi="宋体" w:eastAsia="宋体" w:cs="宋体"/>
          <w:sz w:val="24"/>
          <w:szCs w:val="24"/>
        </w:rPr>
        <w:t>合格者</w:t>
      </w:r>
      <w:r>
        <w:rPr>
          <w:rFonts w:ascii="宋体" w:hAnsi="宋体" w:eastAsia="宋体" w:cs="宋体"/>
          <w:spacing w:val="-2"/>
          <w:sz w:val="24"/>
          <w:szCs w:val="24"/>
        </w:rPr>
        <w:t>不进入下一步评审。</w:t>
      </w:r>
    </w:p>
    <w:p w14:paraId="78F103AE">
      <w:pPr>
        <w:spacing w:before="181" w:line="360" w:lineRule="auto"/>
        <w:ind w:firstLine="482"/>
        <w:outlineLvl w:val="9"/>
        <w:rPr>
          <w:rFonts w:ascii="宋体" w:hAnsi="宋体" w:eastAsia="宋体" w:cs="宋体"/>
          <w:sz w:val="24"/>
          <w:szCs w:val="24"/>
        </w:rPr>
      </w:pPr>
      <w:r>
        <w:rPr>
          <w:rFonts w:ascii="宋体" w:hAnsi="宋体" w:eastAsia="宋体" w:cs="宋体"/>
          <w:sz w:val="24"/>
          <w:szCs w:val="24"/>
        </w:rPr>
        <w:t>25.2对竞争性谈判响应文件含义不明确、同类问题</w:t>
      </w:r>
      <w:r>
        <w:rPr>
          <w:rFonts w:ascii="宋体" w:hAnsi="宋体" w:eastAsia="宋体" w:cs="宋体"/>
          <w:spacing w:val="-1"/>
          <w:sz w:val="24"/>
          <w:szCs w:val="24"/>
        </w:rPr>
        <w:t>表述不一致或者有明显文字和计</w:t>
      </w:r>
      <w:r>
        <w:rPr>
          <w:rFonts w:ascii="宋体" w:hAnsi="宋体" w:eastAsia="宋体" w:cs="宋体"/>
          <w:spacing w:val="-7"/>
          <w:sz w:val="24"/>
          <w:szCs w:val="24"/>
        </w:rPr>
        <w:t>算错误的内容，谈判小组可以要求供应商在规定的时间内做出必要</w:t>
      </w:r>
      <w:r>
        <w:rPr>
          <w:rFonts w:ascii="宋体" w:hAnsi="宋体" w:eastAsia="宋体" w:cs="宋体"/>
          <w:spacing w:val="-8"/>
          <w:sz w:val="24"/>
          <w:szCs w:val="24"/>
        </w:rPr>
        <w:t>的澄清、说明或者纠正。</w:t>
      </w:r>
      <w:r>
        <w:rPr>
          <w:rFonts w:ascii="宋体" w:hAnsi="宋体" w:eastAsia="宋体" w:cs="宋体"/>
          <w:spacing w:val="-3"/>
          <w:sz w:val="24"/>
          <w:szCs w:val="24"/>
        </w:rPr>
        <w:t>供应商的澄清、说明或者补正应当采用书面形式，有其授</w:t>
      </w:r>
      <w:r>
        <w:rPr>
          <w:rFonts w:ascii="宋体" w:hAnsi="宋体" w:eastAsia="宋体" w:cs="宋体"/>
          <w:spacing w:val="-4"/>
          <w:sz w:val="24"/>
          <w:szCs w:val="24"/>
        </w:rPr>
        <w:t>权的代表签字，并不得超出竞争</w:t>
      </w:r>
      <w:r>
        <w:rPr>
          <w:rFonts w:ascii="宋体" w:hAnsi="宋体" w:eastAsia="宋体" w:cs="宋体"/>
          <w:sz w:val="24"/>
          <w:szCs w:val="24"/>
        </w:rPr>
        <w:t>性谈判响应文件的范围或者改变竞争性谈判</w:t>
      </w:r>
      <w:r>
        <w:rPr>
          <w:rFonts w:ascii="宋体" w:hAnsi="宋体" w:eastAsia="宋体" w:cs="宋体"/>
          <w:spacing w:val="-1"/>
          <w:sz w:val="24"/>
          <w:szCs w:val="24"/>
        </w:rPr>
        <w:t>响应文件的实质性内容。</w:t>
      </w:r>
    </w:p>
    <w:p w14:paraId="55C33D4A">
      <w:pPr>
        <w:spacing w:before="183" w:line="360" w:lineRule="auto"/>
        <w:ind w:left="483"/>
        <w:outlineLvl w:val="9"/>
        <w:rPr>
          <w:rFonts w:ascii="宋体" w:hAnsi="宋体" w:eastAsia="宋体" w:cs="宋体"/>
          <w:sz w:val="24"/>
          <w:szCs w:val="24"/>
        </w:rPr>
      </w:pPr>
      <w:r>
        <w:rPr>
          <w:rFonts w:ascii="宋体" w:hAnsi="宋体" w:eastAsia="宋体" w:cs="宋体"/>
          <w:spacing w:val="-1"/>
          <w:sz w:val="24"/>
          <w:szCs w:val="24"/>
        </w:rPr>
        <w:t>25.3澄清文件将作为竞争性谈判响应文件的一部分。</w:t>
      </w:r>
    </w:p>
    <w:p w14:paraId="5A89203D">
      <w:pPr>
        <w:spacing w:before="184" w:line="360" w:lineRule="auto"/>
        <w:ind w:left="483"/>
        <w:outlineLvl w:val="9"/>
        <w:rPr>
          <w:rFonts w:ascii="宋体" w:hAnsi="宋体" w:eastAsia="宋体" w:cs="宋体"/>
          <w:sz w:val="24"/>
          <w:szCs w:val="24"/>
        </w:rPr>
      </w:pPr>
      <w:r>
        <w:rPr>
          <w:rFonts w:ascii="宋体" w:hAnsi="宋体" w:eastAsia="宋体" w:cs="宋体"/>
          <w:spacing w:val="-1"/>
          <w:sz w:val="24"/>
          <w:szCs w:val="24"/>
        </w:rPr>
        <w:t>25.4算术错误将按以下方法更正：</w:t>
      </w:r>
    </w:p>
    <w:p w14:paraId="55ACEA65">
      <w:pPr>
        <w:spacing w:before="183" w:line="360" w:lineRule="auto"/>
        <w:ind w:left="483"/>
        <w:outlineLvl w:val="9"/>
        <w:rPr>
          <w:rFonts w:ascii="宋体" w:hAnsi="宋体" w:eastAsia="宋体" w:cs="宋体"/>
          <w:sz w:val="24"/>
          <w:szCs w:val="24"/>
        </w:rPr>
      </w:pPr>
      <w:r>
        <w:rPr>
          <w:rFonts w:ascii="宋体" w:hAnsi="宋体" w:eastAsia="宋体" w:cs="宋体"/>
          <w:sz w:val="24"/>
          <w:szCs w:val="24"/>
        </w:rPr>
        <w:t>25.4.1竞争性谈判响应文件的大写金额和小写金</w:t>
      </w:r>
      <w:r>
        <w:rPr>
          <w:rFonts w:ascii="宋体" w:hAnsi="宋体" w:eastAsia="宋体" w:cs="宋体"/>
          <w:spacing w:val="-1"/>
          <w:sz w:val="24"/>
          <w:szCs w:val="24"/>
        </w:rPr>
        <w:t>额不一致的，以大写金额为准；</w:t>
      </w:r>
    </w:p>
    <w:p w14:paraId="1091B0F1">
      <w:pPr>
        <w:spacing w:before="183" w:line="360" w:lineRule="auto"/>
        <w:ind w:left="483"/>
        <w:outlineLvl w:val="9"/>
        <w:rPr>
          <w:rFonts w:ascii="宋体" w:hAnsi="宋体" w:eastAsia="宋体" w:cs="宋体"/>
          <w:sz w:val="24"/>
          <w:szCs w:val="24"/>
        </w:rPr>
      </w:pPr>
      <w:r>
        <w:rPr>
          <w:rFonts w:ascii="宋体" w:hAnsi="宋体" w:eastAsia="宋体" w:cs="宋体"/>
          <w:sz w:val="24"/>
          <w:szCs w:val="24"/>
        </w:rPr>
        <w:t>25.4.2总价金额与按单价汇总金额不一致</w:t>
      </w:r>
      <w:r>
        <w:rPr>
          <w:rFonts w:ascii="宋体" w:hAnsi="宋体" w:eastAsia="宋体" w:cs="宋体"/>
          <w:spacing w:val="-1"/>
          <w:sz w:val="24"/>
          <w:szCs w:val="24"/>
        </w:rPr>
        <w:t>的，以单价金额计算结果为准；</w:t>
      </w:r>
    </w:p>
    <w:p w14:paraId="0401AE53">
      <w:pPr>
        <w:spacing w:before="184" w:line="360" w:lineRule="auto"/>
        <w:ind w:left="483"/>
        <w:outlineLvl w:val="9"/>
        <w:rPr>
          <w:rFonts w:ascii="宋体" w:hAnsi="宋体" w:eastAsia="宋体" w:cs="宋体"/>
          <w:sz w:val="24"/>
          <w:szCs w:val="24"/>
        </w:rPr>
      </w:pPr>
      <w:r>
        <w:rPr>
          <w:rFonts w:ascii="宋体" w:hAnsi="宋体" w:eastAsia="宋体" w:cs="宋体"/>
          <w:sz w:val="24"/>
          <w:szCs w:val="24"/>
        </w:rPr>
        <w:t>25.4.3单价金额小数点有明显错位的，</w:t>
      </w:r>
      <w:r>
        <w:rPr>
          <w:rFonts w:ascii="宋体" w:hAnsi="宋体" w:eastAsia="宋体" w:cs="宋体"/>
          <w:spacing w:val="-1"/>
          <w:sz w:val="24"/>
          <w:szCs w:val="24"/>
        </w:rPr>
        <w:t>应当以总价为准，并修改单价；</w:t>
      </w:r>
    </w:p>
    <w:p w14:paraId="0BDBD9DE">
      <w:pPr>
        <w:spacing w:before="184" w:line="360" w:lineRule="auto"/>
        <w:ind w:left="483"/>
        <w:outlineLvl w:val="9"/>
        <w:rPr>
          <w:rFonts w:ascii="宋体" w:hAnsi="宋体" w:eastAsia="宋体" w:cs="宋体"/>
          <w:sz w:val="24"/>
          <w:szCs w:val="24"/>
        </w:rPr>
      </w:pPr>
      <w:r>
        <w:rPr>
          <w:rFonts w:ascii="宋体" w:hAnsi="宋体" w:eastAsia="宋体" w:cs="宋体"/>
          <w:sz w:val="24"/>
          <w:szCs w:val="24"/>
        </w:rPr>
        <w:t>25.4.4对不同文字文本竞争性谈判响应文件的解释</w:t>
      </w:r>
      <w:r>
        <w:rPr>
          <w:rFonts w:ascii="宋体" w:hAnsi="宋体" w:eastAsia="宋体" w:cs="宋体"/>
          <w:spacing w:val="-1"/>
          <w:sz w:val="24"/>
          <w:szCs w:val="24"/>
        </w:rPr>
        <w:t>发生异议的，以中文文本为准；</w:t>
      </w:r>
    </w:p>
    <w:p w14:paraId="04D944E8">
      <w:pPr>
        <w:spacing w:before="184" w:line="360" w:lineRule="auto"/>
        <w:ind w:left="483"/>
        <w:outlineLvl w:val="9"/>
        <w:rPr>
          <w:rFonts w:ascii="宋体" w:hAnsi="宋体" w:eastAsia="宋体" w:cs="宋体"/>
          <w:sz w:val="24"/>
          <w:szCs w:val="24"/>
        </w:rPr>
      </w:pPr>
      <w:r>
        <w:rPr>
          <w:rFonts w:ascii="宋体" w:hAnsi="宋体" w:eastAsia="宋体" w:cs="宋体"/>
          <w:sz w:val="24"/>
          <w:szCs w:val="24"/>
        </w:rPr>
        <w:t>25.4.5对于供应商不接受对其错误的更</w:t>
      </w:r>
      <w:r>
        <w:rPr>
          <w:rFonts w:ascii="宋体" w:hAnsi="宋体" w:eastAsia="宋体" w:cs="宋体"/>
          <w:spacing w:val="-1"/>
          <w:sz w:val="24"/>
          <w:szCs w:val="24"/>
        </w:rPr>
        <w:t>改，其谈判属于无效谈判情形。</w:t>
      </w:r>
    </w:p>
    <w:p w14:paraId="6B841CC2">
      <w:pPr>
        <w:spacing w:before="183" w:line="360" w:lineRule="auto"/>
        <w:ind w:left="3"/>
        <w:outlineLvl w:val="9"/>
        <w:rPr>
          <w:rFonts w:ascii="宋体" w:hAnsi="宋体" w:eastAsia="宋体" w:cs="宋体"/>
          <w:sz w:val="24"/>
          <w:szCs w:val="24"/>
        </w:rPr>
      </w:pPr>
      <w:r>
        <w:rPr>
          <w:rFonts w:ascii="宋体" w:hAnsi="宋体" w:eastAsia="宋体" w:cs="宋体"/>
          <w:spacing w:val="-1"/>
          <w:sz w:val="24"/>
          <w:szCs w:val="24"/>
        </w:rPr>
        <w:t>26竞争性谈判响应文件的评价和比较</w:t>
      </w:r>
    </w:p>
    <w:p w14:paraId="7ECD5ADB">
      <w:pPr>
        <w:spacing w:before="185" w:line="360" w:lineRule="auto"/>
        <w:ind w:left="483"/>
        <w:outlineLvl w:val="9"/>
        <w:rPr>
          <w:rFonts w:ascii="宋体" w:hAnsi="宋体" w:eastAsia="宋体" w:cs="宋体"/>
          <w:sz w:val="24"/>
          <w:szCs w:val="24"/>
        </w:rPr>
      </w:pPr>
      <w:r>
        <w:rPr>
          <w:rFonts w:ascii="宋体" w:hAnsi="宋体" w:eastAsia="宋体" w:cs="宋体"/>
          <w:spacing w:val="-1"/>
          <w:sz w:val="24"/>
          <w:szCs w:val="24"/>
        </w:rPr>
        <w:t>26.1谈判小组将对有效的竞争性谈判响应文件进行评估和比较。</w:t>
      </w:r>
    </w:p>
    <w:p w14:paraId="6E393CA6">
      <w:pPr>
        <w:spacing w:before="185" w:line="360" w:lineRule="auto"/>
        <w:ind w:left="483"/>
        <w:outlineLvl w:val="9"/>
        <w:rPr>
          <w:rFonts w:ascii="宋体" w:hAnsi="宋体" w:eastAsia="宋体" w:cs="宋体"/>
          <w:sz w:val="24"/>
          <w:szCs w:val="24"/>
        </w:rPr>
      </w:pPr>
      <w:r>
        <w:rPr>
          <w:rFonts w:ascii="宋体" w:hAnsi="宋体" w:eastAsia="宋体" w:cs="宋体"/>
          <w:spacing w:val="-1"/>
          <w:sz w:val="24"/>
          <w:szCs w:val="24"/>
        </w:rPr>
        <w:t>26.2评审时除考虑谈判报价竞争有利性以外，还将考虑以下因素：</w:t>
      </w:r>
    </w:p>
    <w:p w14:paraId="5E7B7F9E">
      <w:pPr>
        <w:spacing w:before="182" w:line="360" w:lineRule="auto"/>
        <w:ind w:right="80" w:firstLine="483"/>
        <w:outlineLvl w:val="9"/>
        <w:rPr>
          <w:rFonts w:ascii="宋体" w:hAnsi="宋体" w:eastAsia="宋体" w:cs="宋体"/>
          <w:sz w:val="24"/>
          <w:szCs w:val="24"/>
        </w:rPr>
      </w:pPr>
      <w:r>
        <w:rPr>
          <w:rFonts w:ascii="宋体" w:hAnsi="宋体" w:eastAsia="宋体" w:cs="宋体"/>
          <w:spacing w:val="1"/>
          <w:sz w:val="24"/>
          <w:szCs w:val="24"/>
        </w:rPr>
        <w:t>26.2.1竞争性谈判响应文件中各项报价的合理性，谈判小组认为供</w:t>
      </w:r>
      <w:r>
        <w:rPr>
          <w:rFonts w:ascii="宋体" w:hAnsi="宋体" w:eastAsia="宋体" w:cs="宋体"/>
          <w:sz w:val="24"/>
          <w:szCs w:val="24"/>
        </w:rPr>
        <w:t>应商的报价明显</w:t>
      </w:r>
      <w:r>
        <w:rPr>
          <w:rFonts w:ascii="宋体" w:hAnsi="宋体" w:eastAsia="宋体" w:cs="宋体"/>
          <w:spacing w:val="-3"/>
          <w:sz w:val="24"/>
          <w:szCs w:val="24"/>
        </w:rPr>
        <w:t>低于其他通过符合性审查供应商的报价，有可能影响产品质</w:t>
      </w:r>
      <w:r>
        <w:rPr>
          <w:rFonts w:ascii="宋体" w:hAnsi="宋体" w:eastAsia="宋体" w:cs="宋体"/>
          <w:spacing w:val="-4"/>
          <w:sz w:val="24"/>
          <w:szCs w:val="24"/>
        </w:rPr>
        <w:t>量或者不能诚信履约的，应当</w:t>
      </w:r>
      <w:r>
        <w:rPr>
          <w:rFonts w:ascii="宋体" w:hAnsi="宋体" w:eastAsia="宋体" w:cs="宋体"/>
          <w:spacing w:val="-3"/>
          <w:sz w:val="24"/>
          <w:szCs w:val="24"/>
        </w:rPr>
        <w:t>要求其在评标现场合理的时间内提供书面说明，必要时提交</w:t>
      </w:r>
      <w:r>
        <w:rPr>
          <w:rFonts w:ascii="宋体" w:hAnsi="宋体" w:eastAsia="宋体" w:cs="宋体"/>
          <w:spacing w:val="-4"/>
          <w:sz w:val="24"/>
          <w:szCs w:val="24"/>
        </w:rPr>
        <w:t>相关证明材料，竞争性谈判响</w:t>
      </w:r>
      <w:r>
        <w:rPr>
          <w:rFonts w:ascii="宋体" w:hAnsi="宋体" w:eastAsia="宋体" w:cs="宋体"/>
          <w:spacing w:val="-3"/>
          <w:sz w:val="24"/>
          <w:szCs w:val="24"/>
        </w:rPr>
        <w:t>应文件中各项报价的合理性，评标委员会三分之二以上专家</w:t>
      </w:r>
      <w:r>
        <w:rPr>
          <w:rFonts w:ascii="宋体" w:hAnsi="宋体" w:eastAsia="宋体" w:cs="宋体"/>
          <w:spacing w:val="-4"/>
          <w:sz w:val="24"/>
          <w:szCs w:val="24"/>
        </w:rPr>
        <w:t>认为某投标报价有低于成本价</w:t>
      </w:r>
      <w:r>
        <w:rPr>
          <w:rFonts w:ascii="宋体" w:hAnsi="宋体" w:eastAsia="宋体" w:cs="宋体"/>
          <w:spacing w:val="-1"/>
          <w:sz w:val="24"/>
          <w:szCs w:val="24"/>
        </w:rPr>
        <w:t>嫌疑的，为无效报价；</w:t>
      </w:r>
    </w:p>
    <w:p w14:paraId="49D5ABAA">
      <w:pPr>
        <w:spacing w:before="184" w:line="360" w:lineRule="auto"/>
        <w:ind w:left="483"/>
        <w:outlineLvl w:val="9"/>
        <w:rPr>
          <w:rFonts w:ascii="宋体" w:hAnsi="宋体" w:eastAsia="宋体" w:cs="宋体"/>
          <w:sz w:val="24"/>
          <w:szCs w:val="24"/>
        </w:rPr>
      </w:pPr>
      <w:r>
        <w:rPr>
          <w:rFonts w:ascii="宋体" w:hAnsi="宋体" w:eastAsia="宋体" w:cs="宋体"/>
          <w:spacing w:val="-2"/>
          <w:sz w:val="24"/>
          <w:szCs w:val="24"/>
        </w:rPr>
        <w:t>26.2.2承诺的交货期及付款方式；</w:t>
      </w:r>
    </w:p>
    <w:p w14:paraId="31DEA494">
      <w:pPr>
        <w:spacing w:before="184" w:line="360" w:lineRule="auto"/>
        <w:ind w:left="483"/>
        <w:outlineLvl w:val="9"/>
        <w:rPr>
          <w:rFonts w:ascii="宋体" w:hAnsi="宋体" w:eastAsia="宋体" w:cs="宋体"/>
          <w:sz w:val="24"/>
          <w:szCs w:val="24"/>
        </w:rPr>
      </w:pPr>
      <w:r>
        <w:rPr>
          <w:rFonts w:ascii="宋体" w:hAnsi="宋体" w:eastAsia="宋体" w:cs="宋体"/>
          <w:spacing w:val="-2"/>
          <w:sz w:val="24"/>
          <w:szCs w:val="24"/>
        </w:rPr>
        <w:t>26.2.3项目的实施方案的完整合理性；</w:t>
      </w:r>
    </w:p>
    <w:p w14:paraId="61BE06B4">
      <w:pPr>
        <w:spacing w:before="183" w:line="360" w:lineRule="auto"/>
        <w:ind w:left="483"/>
        <w:outlineLvl w:val="9"/>
        <w:rPr>
          <w:rFonts w:ascii="宋体" w:hAnsi="宋体" w:eastAsia="宋体" w:cs="宋体"/>
          <w:sz w:val="24"/>
          <w:szCs w:val="24"/>
        </w:rPr>
      </w:pPr>
      <w:r>
        <w:rPr>
          <w:rFonts w:ascii="宋体" w:hAnsi="宋体" w:eastAsia="宋体" w:cs="宋体"/>
          <w:spacing w:val="-2"/>
          <w:sz w:val="24"/>
          <w:szCs w:val="24"/>
        </w:rPr>
        <w:t>26.2.4项目的人员配备情况的合理性；</w:t>
      </w:r>
    </w:p>
    <w:p w14:paraId="0F864591">
      <w:pPr>
        <w:spacing w:before="181" w:line="360" w:lineRule="auto"/>
        <w:ind w:left="483"/>
        <w:outlineLvl w:val="9"/>
        <w:rPr>
          <w:rFonts w:ascii="宋体" w:hAnsi="宋体" w:eastAsia="宋体" w:cs="宋体"/>
          <w:sz w:val="24"/>
          <w:szCs w:val="24"/>
        </w:rPr>
      </w:pPr>
      <w:r>
        <w:rPr>
          <w:rFonts w:ascii="宋体" w:hAnsi="宋体" w:eastAsia="宋体" w:cs="宋体"/>
          <w:spacing w:val="-2"/>
          <w:sz w:val="24"/>
          <w:szCs w:val="24"/>
        </w:rPr>
        <w:t>26.2.5供应商提供服务的承诺情况；</w:t>
      </w:r>
    </w:p>
    <w:p w14:paraId="31C658FD">
      <w:pPr>
        <w:spacing w:before="185" w:line="360" w:lineRule="auto"/>
        <w:ind w:left="483"/>
        <w:outlineLvl w:val="9"/>
        <w:rPr>
          <w:rFonts w:ascii="宋体" w:hAnsi="宋体" w:eastAsia="宋体" w:cs="宋体"/>
          <w:sz w:val="24"/>
          <w:szCs w:val="24"/>
        </w:rPr>
      </w:pPr>
      <w:r>
        <w:rPr>
          <w:rFonts w:ascii="宋体" w:hAnsi="宋体" w:eastAsia="宋体" w:cs="宋体"/>
          <w:spacing w:val="-5"/>
          <w:sz w:val="24"/>
          <w:szCs w:val="24"/>
        </w:rPr>
        <w:t>26.2.6其他特殊要求因素（如安全及环保等）。</w:t>
      </w:r>
    </w:p>
    <w:p w14:paraId="50B64F15">
      <w:pPr>
        <w:spacing w:before="122" w:line="360" w:lineRule="auto"/>
        <w:ind w:left="3"/>
        <w:outlineLvl w:val="9"/>
        <w:rPr>
          <w:rFonts w:ascii="宋体" w:hAnsi="宋体" w:eastAsia="宋体" w:cs="宋体"/>
          <w:sz w:val="24"/>
          <w:szCs w:val="24"/>
        </w:rPr>
      </w:pPr>
      <w:r>
        <w:rPr>
          <w:rFonts w:ascii="宋体" w:hAnsi="宋体" w:eastAsia="宋体" w:cs="宋体"/>
          <w:spacing w:val="-2"/>
          <w:sz w:val="24"/>
          <w:szCs w:val="24"/>
        </w:rPr>
        <w:t>27评审原则及主要方法</w:t>
      </w:r>
    </w:p>
    <w:p w14:paraId="0C4270E7">
      <w:pPr>
        <w:spacing w:before="182" w:line="360" w:lineRule="auto"/>
        <w:ind w:right="61" w:firstLine="482"/>
        <w:outlineLvl w:val="9"/>
        <w:rPr>
          <w:rFonts w:ascii="宋体" w:hAnsi="宋体" w:eastAsia="宋体" w:cs="宋体"/>
          <w:sz w:val="24"/>
          <w:szCs w:val="24"/>
        </w:rPr>
      </w:pPr>
      <w:r>
        <w:rPr>
          <w:rFonts w:ascii="宋体" w:hAnsi="宋体" w:eastAsia="宋体" w:cs="宋体"/>
          <w:sz w:val="24"/>
          <w:szCs w:val="24"/>
        </w:rPr>
        <w:t>27.1谈判小组将遵循公开、公平、公正和择优的原</w:t>
      </w:r>
      <w:r>
        <w:rPr>
          <w:rFonts w:ascii="宋体" w:hAnsi="宋体" w:eastAsia="宋体" w:cs="宋体"/>
          <w:spacing w:val="-1"/>
          <w:sz w:val="24"/>
          <w:szCs w:val="24"/>
        </w:rPr>
        <w:t>则，禁止不正当竞争。对所有供应商的竞争性谈判响应文件评审，都采用相同的程序和标准。</w:t>
      </w:r>
    </w:p>
    <w:p w14:paraId="3E97EB1B">
      <w:pPr>
        <w:spacing w:before="182" w:line="360" w:lineRule="auto"/>
        <w:ind w:left="1" w:right="61" w:firstLine="1"/>
        <w:outlineLvl w:val="9"/>
        <w:rPr>
          <w:rFonts w:ascii="宋体" w:hAnsi="宋体" w:eastAsia="宋体" w:cs="宋体"/>
          <w:sz w:val="24"/>
          <w:szCs w:val="24"/>
        </w:rPr>
      </w:pPr>
      <w:r>
        <w:rPr>
          <w:rFonts w:ascii="宋体" w:hAnsi="宋体" w:eastAsia="宋体" w:cs="宋体"/>
          <w:sz w:val="24"/>
          <w:szCs w:val="24"/>
        </w:rPr>
        <w:t>27.2评审过程的保密：在竞争性谈判响应文件的审查、</w:t>
      </w:r>
      <w:r>
        <w:rPr>
          <w:rFonts w:ascii="宋体" w:hAnsi="宋体" w:eastAsia="宋体" w:cs="宋体"/>
          <w:spacing w:val="-1"/>
          <w:sz w:val="24"/>
          <w:szCs w:val="24"/>
        </w:rPr>
        <w:t>谈判、报价、成交候选供应商推</w:t>
      </w:r>
      <w:r>
        <w:rPr>
          <w:rFonts w:ascii="宋体" w:hAnsi="宋体" w:eastAsia="宋体" w:cs="宋体"/>
          <w:spacing w:val="-3"/>
          <w:sz w:val="24"/>
          <w:szCs w:val="24"/>
        </w:rPr>
        <w:t>荐以及授予合同的过程中，供应商向采购人和谈判小组</w:t>
      </w:r>
      <w:r>
        <w:rPr>
          <w:rFonts w:ascii="宋体" w:hAnsi="宋体" w:eastAsia="宋体" w:cs="宋体"/>
          <w:spacing w:val="-4"/>
          <w:sz w:val="24"/>
          <w:szCs w:val="24"/>
        </w:rPr>
        <w:t>施加影响的任何行为，都将会导致</w:t>
      </w:r>
      <w:r>
        <w:rPr>
          <w:rFonts w:ascii="宋体" w:hAnsi="宋体" w:eastAsia="宋体" w:cs="宋体"/>
          <w:spacing w:val="-3"/>
          <w:sz w:val="24"/>
          <w:szCs w:val="24"/>
        </w:rPr>
        <w:t>其报价被拒绝；成交供应商确定后，采购人不对未成交</w:t>
      </w:r>
      <w:r>
        <w:rPr>
          <w:rFonts w:ascii="宋体" w:hAnsi="宋体" w:eastAsia="宋体" w:cs="宋体"/>
          <w:spacing w:val="-4"/>
          <w:sz w:val="24"/>
          <w:szCs w:val="24"/>
        </w:rPr>
        <w:t>供应商就评审过程以及未能成交原</w:t>
      </w:r>
      <w:r>
        <w:rPr>
          <w:rFonts w:ascii="宋体" w:hAnsi="宋体" w:eastAsia="宋体" w:cs="宋体"/>
          <w:spacing w:val="-3"/>
          <w:sz w:val="24"/>
          <w:szCs w:val="24"/>
        </w:rPr>
        <w:t>因做出任何解释。未成交供应商不得向谈判小组成员或</w:t>
      </w:r>
      <w:r>
        <w:rPr>
          <w:rFonts w:ascii="宋体" w:hAnsi="宋体" w:eastAsia="宋体" w:cs="宋体"/>
          <w:spacing w:val="-4"/>
          <w:sz w:val="24"/>
          <w:szCs w:val="24"/>
        </w:rPr>
        <w:t>其他相关人员索问评审过程的情况</w:t>
      </w:r>
      <w:r>
        <w:rPr>
          <w:rFonts w:ascii="宋体" w:hAnsi="宋体" w:eastAsia="宋体" w:cs="宋体"/>
          <w:spacing w:val="-1"/>
          <w:sz w:val="24"/>
          <w:szCs w:val="24"/>
        </w:rPr>
        <w:t>和材料。与评审有关的其他任何情况均严格保密。</w:t>
      </w:r>
    </w:p>
    <w:p w14:paraId="6F9CC372">
      <w:pPr>
        <w:spacing w:before="184" w:line="360" w:lineRule="auto"/>
        <w:ind w:left="483"/>
        <w:outlineLvl w:val="9"/>
        <w:rPr>
          <w:rFonts w:ascii="宋体" w:hAnsi="宋体" w:eastAsia="宋体" w:cs="宋体"/>
          <w:sz w:val="24"/>
          <w:szCs w:val="24"/>
        </w:rPr>
      </w:pPr>
      <w:r>
        <w:rPr>
          <w:rFonts w:ascii="宋体" w:hAnsi="宋体" w:eastAsia="宋体" w:cs="宋体"/>
          <w:sz w:val="24"/>
          <w:szCs w:val="24"/>
        </w:rPr>
        <w:t>27.3竞争性谈判响应文件的初步评审</w:t>
      </w:r>
      <w:r>
        <w:rPr>
          <w:rFonts w:ascii="宋体" w:hAnsi="宋体" w:eastAsia="宋体" w:cs="宋体"/>
          <w:spacing w:val="-1"/>
          <w:sz w:val="24"/>
          <w:szCs w:val="24"/>
        </w:rPr>
        <w:t>（含资格性检查和符合性审查）</w:t>
      </w:r>
    </w:p>
    <w:p w14:paraId="6E51C759">
      <w:pPr>
        <w:spacing w:before="182" w:line="360" w:lineRule="auto"/>
        <w:ind w:right="61" w:firstLine="482"/>
        <w:jc w:val="both"/>
        <w:outlineLvl w:val="9"/>
        <w:rPr>
          <w:rFonts w:ascii="宋体" w:hAnsi="宋体" w:eastAsia="宋体" w:cs="宋体"/>
          <w:sz w:val="24"/>
          <w:szCs w:val="24"/>
        </w:rPr>
      </w:pPr>
      <w:r>
        <w:rPr>
          <w:rFonts w:ascii="宋体" w:hAnsi="宋体" w:eastAsia="宋体" w:cs="宋体"/>
          <w:sz w:val="24"/>
          <w:szCs w:val="24"/>
        </w:rPr>
        <w:t>27.3.1谈判小组将审查竞争性谈判响应文件是否完</w:t>
      </w:r>
      <w:r>
        <w:rPr>
          <w:rFonts w:ascii="宋体" w:hAnsi="宋体" w:eastAsia="宋体" w:cs="宋体"/>
          <w:spacing w:val="-1"/>
          <w:sz w:val="24"/>
          <w:szCs w:val="24"/>
        </w:rPr>
        <w:t>整、采购人和代理机构审查资格</w:t>
      </w:r>
      <w:r>
        <w:rPr>
          <w:rFonts w:ascii="宋体" w:hAnsi="宋体" w:eastAsia="宋体" w:cs="宋体"/>
          <w:spacing w:val="-3"/>
          <w:sz w:val="24"/>
          <w:szCs w:val="24"/>
        </w:rPr>
        <w:t>证明文件是否合格，谈判保证金是否合格、有无计算上的</w:t>
      </w:r>
      <w:r>
        <w:rPr>
          <w:rFonts w:ascii="宋体" w:hAnsi="宋体" w:eastAsia="宋体" w:cs="宋体"/>
          <w:spacing w:val="-4"/>
          <w:sz w:val="24"/>
          <w:szCs w:val="24"/>
        </w:rPr>
        <w:t>错误等，不合格均按无效投标处</w:t>
      </w:r>
      <w:r>
        <w:rPr>
          <w:rFonts w:ascii="宋体" w:hAnsi="宋体" w:eastAsia="宋体" w:cs="宋体"/>
          <w:spacing w:val="-5"/>
          <w:sz w:val="24"/>
          <w:szCs w:val="24"/>
        </w:rPr>
        <w:t>理。</w:t>
      </w:r>
    </w:p>
    <w:p w14:paraId="0EA8E5AA">
      <w:pPr>
        <w:spacing w:before="3" w:line="360" w:lineRule="auto"/>
        <w:ind w:right="61" w:firstLine="483"/>
        <w:outlineLvl w:val="9"/>
        <w:rPr>
          <w:rFonts w:ascii="宋体" w:hAnsi="宋体" w:eastAsia="宋体" w:cs="宋体"/>
          <w:sz w:val="24"/>
          <w:szCs w:val="24"/>
        </w:rPr>
      </w:pPr>
      <w:r>
        <w:rPr>
          <w:rFonts w:ascii="宋体" w:hAnsi="宋体" w:eastAsia="宋体" w:cs="宋体"/>
          <w:sz w:val="24"/>
          <w:szCs w:val="24"/>
        </w:rPr>
        <w:t>27.4在详细评审之前，谈判小组要审查每份竞争性</w:t>
      </w:r>
      <w:r>
        <w:rPr>
          <w:rFonts w:ascii="宋体" w:hAnsi="宋体" w:eastAsia="宋体" w:cs="宋体"/>
          <w:spacing w:val="-1"/>
          <w:sz w:val="24"/>
          <w:szCs w:val="24"/>
        </w:rPr>
        <w:t>谈判响应文件是否实质上响应了</w:t>
      </w:r>
      <w:r>
        <w:rPr>
          <w:rFonts w:ascii="宋体" w:hAnsi="宋体" w:eastAsia="宋体" w:cs="宋体"/>
          <w:spacing w:val="-3"/>
          <w:sz w:val="24"/>
          <w:szCs w:val="24"/>
        </w:rPr>
        <w:t>竞争性谈判文件的要求。实质上响应的谈判应该是与竞争性</w:t>
      </w:r>
      <w:r>
        <w:rPr>
          <w:rFonts w:ascii="宋体" w:hAnsi="宋体" w:eastAsia="宋体" w:cs="宋体"/>
          <w:spacing w:val="-4"/>
          <w:sz w:val="24"/>
          <w:szCs w:val="24"/>
        </w:rPr>
        <w:t>谈判文件要求的全部条款、条</w:t>
      </w:r>
      <w:r>
        <w:rPr>
          <w:rFonts w:ascii="宋体" w:hAnsi="宋体" w:eastAsia="宋体" w:cs="宋体"/>
          <w:spacing w:val="-3"/>
          <w:sz w:val="24"/>
          <w:szCs w:val="24"/>
        </w:rPr>
        <w:t>件和规格参数相符，没有偏离的谈判。谈判小组对供应商提</w:t>
      </w:r>
      <w:r>
        <w:rPr>
          <w:rFonts w:ascii="宋体" w:hAnsi="宋体" w:eastAsia="宋体" w:cs="宋体"/>
          <w:spacing w:val="-4"/>
          <w:sz w:val="24"/>
          <w:szCs w:val="24"/>
        </w:rPr>
        <w:t>供的响应参数、人员配置、售</w:t>
      </w:r>
      <w:r>
        <w:rPr>
          <w:rFonts w:ascii="宋体" w:hAnsi="宋体" w:eastAsia="宋体" w:cs="宋体"/>
          <w:spacing w:val="-1"/>
          <w:sz w:val="24"/>
          <w:szCs w:val="24"/>
        </w:rPr>
        <w:t>后服务承诺，能满足采购人服务要求的，则可进行二次报价。</w:t>
      </w:r>
    </w:p>
    <w:p w14:paraId="5D54BC9E">
      <w:pPr>
        <w:spacing w:before="185" w:line="360" w:lineRule="auto"/>
        <w:ind w:right="61" w:firstLine="483"/>
        <w:outlineLvl w:val="9"/>
        <w:rPr>
          <w:rFonts w:ascii="宋体" w:hAnsi="宋体" w:eastAsia="宋体" w:cs="宋体"/>
          <w:sz w:val="24"/>
          <w:szCs w:val="24"/>
        </w:rPr>
      </w:pPr>
      <w:r>
        <w:rPr>
          <w:rFonts w:ascii="宋体" w:hAnsi="宋体" w:eastAsia="宋体" w:cs="宋体"/>
          <w:sz w:val="24"/>
          <w:szCs w:val="24"/>
        </w:rPr>
        <w:t>27.5实质上没有响应竞争性谈判文件要求的谈判将</w:t>
      </w:r>
      <w:r>
        <w:rPr>
          <w:rFonts w:ascii="宋体" w:hAnsi="宋体" w:eastAsia="宋体" w:cs="宋体"/>
          <w:spacing w:val="-1"/>
          <w:sz w:val="24"/>
          <w:szCs w:val="24"/>
        </w:rPr>
        <w:t>被拒绝。供应商不得通过修正或</w:t>
      </w:r>
      <w:r>
        <w:rPr>
          <w:rFonts w:ascii="宋体" w:hAnsi="宋体" w:eastAsia="宋体" w:cs="宋体"/>
          <w:spacing w:val="-3"/>
          <w:sz w:val="24"/>
          <w:szCs w:val="24"/>
        </w:rPr>
        <w:t>撤销不合要求的偏离从而使其谈判成为实质性响应的谈判。</w:t>
      </w:r>
      <w:r>
        <w:rPr>
          <w:rFonts w:ascii="宋体" w:hAnsi="宋体" w:eastAsia="宋体" w:cs="宋体"/>
          <w:spacing w:val="-4"/>
          <w:sz w:val="24"/>
          <w:szCs w:val="24"/>
        </w:rPr>
        <w:t>供应商或竞争性谈判响应文件</w:t>
      </w:r>
      <w:r>
        <w:rPr>
          <w:rFonts w:ascii="宋体" w:hAnsi="宋体" w:eastAsia="宋体" w:cs="宋体"/>
          <w:spacing w:val="-1"/>
          <w:sz w:val="24"/>
          <w:szCs w:val="24"/>
        </w:rPr>
        <w:t>出现的下列情形将按照无效谈判处理，由谈判小组否决其谈判：</w:t>
      </w:r>
    </w:p>
    <w:p w14:paraId="4A2B3C3A">
      <w:pPr>
        <w:spacing w:before="183" w:line="360" w:lineRule="auto"/>
        <w:ind w:left="483"/>
        <w:outlineLvl w:val="9"/>
        <w:rPr>
          <w:rFonts w:ascii="宋体" w:hAnsi="宋体" w:eastAsia="宋体" w:cs="宋体"/>
          <w:sz w:val="24"/>
          <w:szCs w:val="24"/>
        </w:rPr>
      </w:pPr>
      <w:r>
        <w:rPr>
          <w:rFonts w:ascii="宋体" w:hAnsi="宋体" w:eastAsia="宋体" w:cs="宋体"/>
          <w:spacing w:val="-1"/>
          <w:sz w:val="24"/>
          <w:szCs w:val="24"/>
        </w:rPr>
        <w:t>27.5.1供应商的投标报价超过采购预</w:t>
      </w:r>
      <w:r>
        <w:rPr>
          <w:rFonts w:ascii="宋体" w:hAnsi="宋体" w:eastAsia="宋体" w:cs="宋体"/>
          <w:spacing w:val="-2"/>
          <w:sz w:val="24"/>
          <w:szCs w:val="24"/>
        </w:rPr>
        <w:t>算；</w:t>
      </w:r>
    </w:p>
    <w:p w14:paraId="6254C48C">
      <w:pPr>
        <w:spacing w:before="185" w:line="360" w:lineRule="auto"/>
        <w:ind w:left="1" w:right="61" w:firstLine="481"/>
        <w:outlineLvl w:val="9"/>
        <w:rPr>
          <w:rFonts w:ascii="宋体" w:hAnsi="宋体" w:eastAsia="宋体" w:cs="宋体"/>
          <w:sz w:val="24"/>
          <w:szCs w:val="24"/>
        </w:rPr>
      </w:pPr>
      <w:r>
        <w:rPr>
          <w:rFonts w:ascii="宋体" w:hAnsi="宋体" w:eastAsia="宋体" w:cs="宋体"/>
          <w:sz w:val="24"/>
          <w:szCs w:val="24"/>
        </w:rPr>
        <w:t>27.5.2谈判响应文件、投标函未加盖供应商公章，</w:t>
      </w:r>
      <w:r>
        <w:rPr>
          <w:rFonts w:ascii="宋体" w:hAnsi="宋体" w:eastAsia="宋体" w:cs="宋体"/>
          <w:spacing w:val="-1"/>
          <w:sz w:val="24"/>
          <w:szCs w:val="24"/>
        </w:rPr>
        <w:t>或未经法定代表人（负责人）或其授权代表签字或盖章的；</w:t>
      </w:r>
    </w:p>
    <w:p w14:paraId="3945E90C">
      <w:pPr>
        <w:spacing w:before="183" w:line="360" w:lineRule="auto"/>
        <w:ind w:left="483"/>
        <w:outlineLvl w:val="9"/>
        <w:rPr>
          <w:rFonts w:ascii="宋体" w:hAnsi="宋体" w:eastAsia="宋体" w:cs="宋体"/>
          <w:sz w:val="24"/>
          <w:szCs w:val="24"/>
        </w:rPr>
      </w:pPr>
      <w:r>
        <w:rPr>
          <w:rFonts w:ascii="宋体" w:hAnsi="宋体" w:eastAsia="宋体" w:cs="宋体"/>
          <w:spacing w:val="-1"/>
          <w:sz w:val="24"/>
          <w:szCs w:val="24"/>
        </w:rPr>
        <w:t>27.5.3供应商未按照谈判文件规定时间缴纳、未足额缴纳保证金；</w:t>
      </w:r>
    </w:p>
    <w:p w14:paraId="7E2A5E65">
      <w:pPr>
        <w:spacing w:before="185" w:line="360" w:lineRule="auto"/>
        <w:ind w:right="61" w:firstLine="483"/>
        <w:outlineLvl w:val="9"/>
        <w:rPr>
          <w:rFonts w:ascii="宋体" w:hAnsi="宋体" w:eastAsia="宋体" w:cs="宋体"/>
          <w:sz w:val="24"/>
          <w:szCs w:val="24"/>
        </w:rPr>
      </w:pPr>
      <w:r>
        <w:rPr>
          <w:rFonts w:ascii="宋体" w:hAnsi="宋体" w:eastAsia="宋体" w:cs="宋体"/>
          <w:sz w:val="24"/>
          <w:szCs w:val="24"/>
        </w:rPr>
        <w:t>27.5.4谈判响应文件没有法定代表人（负责人）授</w:t>
      </w:r>
      <w:r>
        <w:rPr>
          <w:rFonts w:ascii="宋体" w:hAnsi="宋体" w:eastAsia="宋体" w:cs="宋体"/>
          <w:spacing w:val="-1"/>
          <w:sz w:val="24"/>
          <w:szCs w:val="24"/>
        </w:rPr>
        <w:t>权书（法人直接投标除外）或授权书的合法性或有效性不符合谈判文件规定的；</w:t>
      </w:r>
    </w:p>
    <w:p w14:paraId="0152C3D7">
      <w:pPr>
        <w:spacing w:before="185" w:line="360" w:lineRule="auto"/>
        <w:ind w:left="6" w:right="61" w:firstLine="477"/>
        <w:outlineLvl w:val="9"/>
        <w:rPr>
          <w:rFonts w:ascii="宋体" w:hAnsi="宋体" w:eastAsia="宋体" w:cs="宋体"/>
          <w:sz w:val="24"/>
          <w:szCs w:val="24"/>
        </w:rPr>
      </w:pPr>
      <w:r>
        <w:rPr>
          <w:rFonts w:ascii="宋体" w:hAnsi="宋体" w:eastAsia="宋体" w:cs="宋体"/>
          <w:spacing w:val="-3"/>
          <w:sz w:val="24"/>
          <w:szCs w:val="24"/>
        </w:rPr>
        <w:t>27.5.5谈判响应文件未按采购文件规定要求装订、签署、盖</w:t>
      </w:r>
      <w:r>
        <w:rPr>
          <w:rFonts w:ascii="宋体" w:hAnsi="宋体" w:eastAsia="宋体" w:cs="宋体"/>
          <w:spacing w:val="-4"/>
          <w:sz w:val="24"/>
          <w:szCs w:val="24"/>
        </w:rPr>
        <w:t>章的,无投标有效期或有</w:t>
      </w:r>
      <w:r>
        <w:rPr>
          <w:rFonts w:ascii="宋体" w:hAnsi="宋体" w:eastAsia="宋体" w:cs="宋体"/>
          <w:spacing w:val="-2"/>
          <w:sz w:val="24"/>
          <w:szCs w:val="24"/>
        </w:rPr>
        <w:t>效期达不到采购文件要求的；</w:t>
      </w:r>
    </w:p>
    <w:p w14:paraId="365B8A36">
      <w:pPr>
        <w:spacing w:before="184" w:line="360" w:lineRule="auto"/>
        <w:ind w:left="483"/>
        <w:outlineLvl w:val="9"/>
        <w:rPr>
          <w:rFonts w:ascii="宋体" w:hAnsi="宋体" w:eastAsia="宋体" w:cs="宋体"/>
          <w:sz w:val="24"/>
          <w:szCs w:val="24"/>
        </w:rPr>
      </w:pPr>
      <w:r>
        <w:rPr>
          <w:rFonts w:ascii="宋体" w:hAnsi="宋体" w:eastAsia="宋体" w:cs="宋体"/>
          <w:spacing w:val="-1"/>
          <w:sz w:val="24"/>
          <w:szCs w:val="24"/>
        </w:rPr>
        <w:t>27.5.6谈判响应文件的关键内容字迹模糊、无法辨认的；</w:t>
      </w:r>
    </w:p>
    <w:p w14:paraId="76435E13">
      <w:pPr>
        <w:spacing w:before="182" w:line="360" w:lineRule="auto"/>
        <w:jc w:val="right"/>
        <w:outlineLvl w:val="9"/>
        <w:rPr>
          <w:rFonts w:ascii="宋体" w:hAnsi="宋体" w:eastAsia="宋体" w:cs="宋体"/>
          <w:spacing w:val="-6"/>
          <w:sz w:val="24"/>
          <w:szCs w:val="24"/>
        </w:rPr>
      </w:pPr>
      <w:r>
        <w:rPr>
          <w:rFonts w:ascii="宋体" w:hAnsi="宋体" w:eastAsia="宋体" w:cs="宋体"/>
          <w:spacing w:val="-5"/>
          <w:sz w:val="24"/>
          <w:szCs w:val="24"/>
        </w:rPr>
        <w:t>27.5.7提供虚假证明（包括第三方提供的</w:t>
      </w:r>
      <w:r>
        <w:rPr>
          <w:rFonts w:ascii="宋体" w:hAnsi="宋体" w:eastAsia="宋体" w:cs="宋体"/>
          <w:spacing w:val="-6"/>
          <w:sz w:val="24"/>
          <w:szCs w:val="24"/>
        </w:rPr>
        <w:t>虚假证明</w:t>
      </w:r>
      <w:r>
        <w:rPr>
          <w:rFonts w:ascii="宋体" w:hAnsi="宋体" w:eastAsia="宋体" w:cs="宋体"/>
          <w:spacing w:val="-55"/>
          <w:w w:val="87"/>
          <w:sz w:val="24"/>
          <w:szCs w:val="24"/>
        </w:rPr>
        <w:t>），</w:t>
      </w:r>
      <w:r>
        <w:rPr>
          <w:rFonts w:ascii="宋体" w:hAnsi="宋体" w:eastAsia="宋体" w:cs="宋体"/>
          <w:spacing w:val="-6"/>
          <w:sz w:val="24"/>
          <w:szCs w:val="24"/>
        </w:rPr>
        <w:t>开具虚假资质，出现虚假</w:t>
      </w:r>
    </w:p>
    <w:p w14:paraId="5852723D">
      <w:pPr>
        <w:spacing w:before="182" w:line="360" w:lineRule="auto"/>
        <w:jc w:val="both"/>
        <w:outlineLvl w:val="9"/>
        <w:rPr>
          <w:rFonts w:ascii="宋体" w:hAnsi="宋体" w:eastAsia="宋体" w:cs="宋体"/>
          <w:sz w:val="24"/>
          <w:szCs w:val="24"/>
        </w:rPr>
      </w:pPr>
      <w:r>
        <w:rPr>
          <w:rFonts w:ascii="宋体" w:hAnsi="宋体" w:eastAsia="宋体" w:cs="宋体"/>
          <w:spacing w:val="-6"/>
          <w:sz w:val="24"/>
          <w:szCs w:val="24"/>
        </w:rPr>
        <w:t>应答，</w:t>
      </w:r>
      <w:r>
        <w:rPr>
          <w:rFonts w:ascii="宋体" w:hAnsi="宋体" w:eastAsia="宋体" w:cs="宋体"/>
          <w:spacing w:val="-1"/>
          <w:sz w:val="24"/>
          <w:szCs w:val="24"/>
        </w:rPr>
        <w:t>除按无效谈判响应文件处理外，并进行相应的处</w:t>
      </w:r>
      <w:r>
        <w:rPr>
          <w:rFonts w:ascii="宋体" w:hAnsi="宋体" w:eastAsia="宋体" w:cs="宋体"/>
          <w:spacing w:val="-2"/>
          <w:sz w:val="24"/>
          <w:szCs w:val="24"/>
        </w:rPr>
        <w:t>罚；</w:t>
      </w:r>
    </w:p>
    <w:p w14:paraId="0B965523">
      <w:pPr>
        <w:spacing w:before="183" w:line="360" w:lineRule="auto"/>
        <w:ind w:left="2" w:right="58" w:firstLine="480"/>
        <w:outlineLvl w:val="9"/>
        <w:rPr>
          <w:rFonts w:ascii="宋体" w:hAnsi="宋体" w:eastAsia="宋体" w:cs="宋体"/>
          <w:sz w:val="24"/>
          <w:szCs w:val="24"/>
        </w:rPr>
      </w:pPr>
      <w:r>
        <w:rPr>
          <w:rFonts w:ascii="宋体" w:hAnsi="宋体" w:eastAsia="宋体" w:cs="宋体"/>
          <w:spacing w:val="-3"/>
          <w:sz w:val="24"/>
          <w:szCs w:val="24"/>
        </w:rPr>
        <w:t>27.5.8对谈判文件未做实质性响应或有重大缺项漏项,明显</w:t>
      </w:r>
      <w:r>
        <w:rPr>
          <w:rFonts w:ascii="宋体" w:hAnsi="宋体" w:eastAsia="宋体" w:cs="宋体"/>
          <w:spacing w:val="-4"/>
          <w:sz w:val="24"/>
          <w:szCs w:val="24"/>
        </w:rPr>
        <w:t>不符合技术规格、技术标</w:t>
      </w:r>
      <w:r>
        <w:rPr>
          <w:rFonts w:ascii="宋体" w:hAnsi="宋体" w:eastAsia="宋体" w:cs="宋体"/>
          <w:spacing w:val="-2"/>
          <w:sz w:val="24"/>
          <w:szCs w:val="24"/>
        </w:rPr>
        <w:t>准的要求的；</w:t>
      </w:r>
    </w:p>
    <w:p w14:paraId="29C186E2">
      <w:pPr>
        <w:spacing w:before="180" w:line="360" w:lineRule="auto"/>
        <w:ind w:left="9" w:right="58" w:firstLine="474"/>
        <w:outlineLvl w:val="9"/>
        <w:rPr>
          <w:rFonts w:ascii="宋体" w:hAnsi="宋体" w:eastAsia="宋体" w:cs="宋体"/>
          <w:sz w:val="24"/>
          <w:szCs w:val="24"/>
        </w:rPr>
      </w:pPr>
      <w:r>
        <w:rPr>
          <w:rFonts w:ascii="宋体" w:hAnsi="宋体" w:eastAsia="宋体" w:cs="宋体"/>
          <w:sz w:val="24"/>
          <w:szCs w:val="24"/>
        </w:rPr>
        <w:t>27.5.9供应商针对同一项目递交两份或多份内容不</w:t>
      </w:r>
      <w:r>
        <w:rPr>
          <w:rFonts w:ascii="宋体" w:hAnsi="宋体" w:eastAsia="宋体" w:cs="宋体"/>
          <w:spacing w:val="-1"/>
          <w:sz w:val="24"/>
          <w:szCs w:val="24"/>
        </w:rPr>
        <w:t>同的谈判响应文件，未书面声明</w:t>
      </w:r>
      <w:r>
        <w:rPr>
          <w:rFonts w:ascii="宋体" w:hAnsi="宋体" w:eastAsia="宋体" w:cs="宋体"/>
          <w:spacing w:val="-2"/>
          <w:sz w:val="24"/>
          <w:szCs w:val="24"/>
        </w:rPr>
        <w:t>哪一份是有效的或出现选择性报价的；</w:t>
      </w:r>
    </w:p>
    <w:p w14:paraId="09FA49EE">
      <w:pPr>
        <w:spacing w:before="184" w:line="360" w:lineRule="auto"/>
        <w:jc w:val="right"/>
        <w:outlineLvl w:val="9"/>
        <w:rPr>
          <w:rFonts w:ascii="宋体" w:hAnsi="宋体" w:eastAsia="宋体" w:cs="宋体"/>
          <w:spacing w:val="-7"/>
          <w:sz w:val="24"/>
          <w:szCs w:val="24"/>
        </w:rPr>
      </w:pPr>
      <w:r>
        <w:rPr>
          <w:rFonts w:ascii="宋体" w:hAnsi="宋体" w:eastAsia="宋体" w:cs="宋体"/>
          <w:spacing w:val="-6"/>
          <w:sz w:val="24"/>
          <w:szCs w:val="24"/>
        </w:rPr>
        <w:t>27.5.10投标报价大于项目预算或与市</w:t>
      </w:r>
      <w:r>
        <w:rPr>
          <w:rFonts w:ascii="宋体" w:hAnsi="宋体" w:eastAsia="宋体" w:cs="宋体"/>
          <w:spacing w:val="-7"/>
          <w:sz w:val="24"/>
          <w:szCs w:val="24"/>
        </w:rPr>
        <w:t>场价偏离较大，低于成本，形成不正当竞</w:t>
      </w:r>
    </w:p>
    <w:p w14:paraId="3285FD13">
      <w:pPr>
        <w:spacing w:before="184" w:line="360" w:lineRule="auto"/>
        <w:jc w:val="both"/>
        <w:outlineLvl w:val="9"/>
        <w:rPr>
          <w:rFonts w:ascii="宋体" w:hAnsi="宋体" w:eastAsia="宋体" w:cs="宋体"/>
          <w:sz w:val="24"/>
          <w:szCs w:val="24"/>
        </w:rPr>
      </w:pPr>
      <w:r>
        <w:rPr>
          <w:rFonts w:ascii="宋体" w:hAnsi="宋体" w:eastAsia="宋体" w:cs="宋体"/>
          <w:spacing w:val="-7"/>
          <w:sz w:val="24"/>
          <w:szCs w:val="24"/>
        </w:rPr>
        <w:t>争的；</w:t>
      </w:r>
    </w:p>
    <w:p w14:paraId="03E3B143">
      <w:pPr>
        <w:spacing w:before="185" w:line="360" w:lineRule="auto"/>
        <w:ind w:left="24" w:right="58" w:firstLine="459"/>
        <w:outlineLvl w:val="9"/>
        <w:rPr>
          <w:rFonts w:ascii="宋体" w:hAnsi="宋体" w:eastAsia="宋体" w:cs="宋体"/>
          <w:sz w:val="24"/>
          <w:szCs w:val="24"/>
        </w:rPr>
      </w:pPr>
      <w:r>
        <w:rPr>
          <w:rFonts w:ascii="宋体" w:hAnsi="宋体" w:eastAsia="宋体" w:cs="宋体"/>
          <w:sz w:val="24"/>
          <w:szCs w:val="24"/>
        </w:rPr>
        <w:t>27.5.11供应商有围标、串标现象（不同供应商的谈</w:t>
      </w:r>
      <w:r>
        <w:rPr>
          <w:rFonts w:ascii="宋体" w:hAnsi="宋体" w:eastAsia="宋体" w:cs="宋体"/>
          <w:spacing w:val="-1"/>
          <w:sz w:val="24"/>
          <w:szCs w:val="24"/>
        </w:rPr>
        <w:t>判响应文件错漏之处一致的、不同供应商的投标报价或者报价组成异常一致的或者成规律性</w:t>
      </w:r>
      <w:r>
        <w:rPr>
          <w:rFonts w:ascii="宋体" w:hAnsi="宋体" w:eastAsia="宋体" w:cs="宋体"/>
          <w:spacing w:val="-2"/>
          <w:sz w:val="24"/>
          <w:szCs w:val="24"/>
        </w:rPr>
        <w:t>变化的</w:t>
      </w:r>
      <w:r>
        <w:rPr>
          <w:rFonts w:ascii="宋体" w:hAnsi="宋体" w:eastAsia="宋体" w:cs="宋体"/>
          <w:spacing w:val="-54"/>
          <w:sz w:val="24"/>
          <w:szCs w:val="24"/>
        </w:rPr>
        <w:t>），</w:t>
      </w:r>
      <w:r>
        <w:rPr>
          <w:rFonts w:ascii="宋体" w:hAnsi="宋体" w:eastAsia="宋体" w:cs="宋体"/>
          <w:spacing w:val="-2"/>
          <w:sz w:val="24"/>
          <w:szCs w:val="24"/>
        </w:rPr>
        <w:t>经查证属实的。</w:t>
      </w:r>
    </w:p>
    <w:p w14:paraId="0ACEDD6E">
      <w:pPr>
        <w:spacing w:before="106" w:line="360" w:lineRule="auto"/>
        <w:ind w:left="483"/>
        <w:outlineLvl w:val="9"/>
        <w:rPr>
          <w:rFonts w:ascii="宋体" w:hAnsi="宋体" w:eastAsia="宋体" w:cs="宋体"/>
          <w:sz w:val="24"/>
          <w:szCs w:val="24"/>
        </w:rPr>
      </w:pPr>
      <w:r>
        <w:rPr>
          <w:rFonts w:ascii="宋体" w:hAnsi="宋体" w:eastAsia="宋体" w:cs="宋体"/>
          <w:spacing w:val="-1"/>
          <w:sz w:val="24"/>
          <w:szCs w:val="24"/>
        </w:rPr>
        <w:t>27.5.12谈判文件规定的其他要求。</w:t>
      </w:r>
    </w:p>
    <w:p w14:paraId="30A72DE6">
      <w:pPr>
        <w:spacing w:before="182" w:line="360" w:lineRule="auto"/>
        <w:ind w:right="64" w:firstLine="485"/>
        <w:outlineLvl w:val="9"/>
        <w:rPr>
          <w:rFonts w:hint="eastAsia" w:ascii="宋体" w:hAnsi="宋体" w:eastAsia="宋体" w:cs="宋体"/>
          <w:sz w:val="24"/>
          <w:szCs w:val="24"/>
          <w:lang w:eastAsia="zh-CN"/>
        </w:rPr>
      </w:pPr>
      <w:r>
        <w:rPr>
          <w:rFonts w:ascii="宋体" w:hAnsi="宋体" w:eastAsia="宋体" w:cs="宋体"/>
          <w:spacing w:val="6"/>
          <w:sz w:val="24"/>
          <w:szCs w:val="24"/>
        </w:rPr>
        <w:t>27.5.13投标人须有经法定代表或授权委托人签</w:t>
      </w:r>
      <w:r>
        <w:rPr>
          <w:rFonts w:ascii="宋体" w:hAnsi="宋体" w:eastAsia="宋体" w:cs="宋体"/>
          <w:spacing w:val="5"/>
          <w:sz w:val="24"/>
          <w:szCs w:val="24"/>
        </w:rPr>
        <w:t>字并盖章的针对本项目的售后服务</w:t>
      </w:r>
      <w:r>
        <w:rPr>
          <w:rFonts w:ascii="宋体" w:hAnsi="宋体" w:eastAsia="宋体" w:cs="宋体"/>
          <w:spacing w:val="-3"/>
          <w:sz w:val="24"/>
          <w:szCs w:val="24"/>
        </w:rPr>
        <w:t>承诺</w:t>
      </w:r>
      <w:r>
        <w:rPr>
          <w:rFonts w:hint="eastAsia" w:ascii="宋体" w:hAnsi="宋体" w:eastAsia="宋体" w:cs="宋体"/>
          <w:spacing w:val="-3"/>
          <w:sz w:val="24"/>
          <w:szCs w:val="24"/>
          <w:lang w:eastAsia="zh-CN"/>
        </w:rPr>
        <w:t>；</w:t>
      </w:r>
    </w:p>
    <w:p w14:paraId="46DEF150">
      <w:pPr>
        <w:spacing w:before="184" w:line="360" w:lineRule="auto"/>
        <w:ind w:left="20" w:right="61" w:firstLine="465"/>
        <w:outlineLvl w:val="9"/>
        <w:rPr>
          <w:rFonts w:hint="default" w:ascii="宋体" w:hAnsi="宋体" w:eastAsia="宋体" w:cs="宋体"/>
          <w:sz w:val="24"/>
          <w:szCs w:val="24"/>
          <w:lang w:val="en-US" w:eastAsia="zh-CN"/>
        </w:rPr>
      </w:pPr>
      <w:r>
        <w:rPr>
          <w:rFonts w:ascii="宋体" w:hAnsi="宋体" w:eastAsia="宋体" w:cs="宋体"/>
          <w:sz w:val="24"/>
          <w:szCs w:val="24"/>
        </w:rPr>
        <w:t>27.5.14投标人应具备完成本次服务的能</w:t>
      </w:r>
      <w:r>
        <w:rPr>
          <w:rFonts w:ascii="宋体" w:hAnsi="宋体" w:eastAsia="宋体" w:cs="宋体"/>
          <w:spacing w:val="-1"/>
          <w:sz w:val="24"/>
          <w:szCs w:val="24"/>
        </w:rPr>
        <w:t>力，并在人员、设备、资金等方面具有相应</w:t>
      </w:r>
      <w:r>
        <w:rPr>
          <w:rFonts w:ascii="宋体" w:hAnsi="宋体" w:eastAsia="宋体" w:cs="宋体"/>
          <w:sz w:val="24"/>
          <w:szCs w:val="24"/>
        </w:rPr>
        <w:t>的组织管理能力承诺书；及质量保证承诺书；</w:t>
      </w:r>
      <w:r>
        <w:rPr>
          <w:rFonts w:hint="eastAsia" w:ascii="宋体" w:hAnsi="宋体" w:eastAsia="宋体" w:cs="宋体"/>
          <w:sz w:val="24"/>
          <w:szCs w:val="24"/>
          <w:lang w:val="en-US" w:eastAsia="zh-CN"/>
        </w:rPr>
        <w:t>签字并盖章。</w:t>
      </w:r>
    </w:p>
    <w:p w14:paraId="43734C40">
      <w:pPr>
        <w:spacing w:before="184" w:line="360" w:lineRule="auto"/>
        <w:ind w:left="3"/>
        <w:outlineLvl w:val="9"/>
        <w:rPr>
          <w:rFonts w:ascii="宋体" w:hAnsi="宋体" w:eastAsia="宋体" w:cs="宋体"/>
          <w:sz w:val="24"/>
          <w:szCs w:val="24"/>
        </w:rPr>
      </w:pPr>
      <w:r>
        <w:rPr>
          <w:rFonts w:ascii="宋体" w:hAnsi="宋体" w:eastAsia="宋体" w:cs="宋体"/>
          <w:spacing w:val="-6"/>
          <w:sz w:val="24"/>
          <w:szCs w:val="24"/>
        </w:rPr>
        <w:t>28谈判</w:t>
      </w:r>
    </w:p>
    <w:p w14:paraId="6EAE6573">
      <w:pPr>
        <w:spacing w:before="182" w:line="360" w:lineRule="auto"/>
        <w:ind w:left="2" w:right="58" w:firstLine="480"/>
        <w:outlineLvl w:val="9"/>
        <w:rPr>
          <w:rFonts w:ascii="宋体" w:hAnsi="宋体" w:eastAsia="宋体" w:cs="宋体"/>
          <w:sz w:val="24"/>
          <w:szCs w:val="24"/>
        </w:rPr>
      </w:pPr>
      <w:r>
        <w:rPr>
          <w:rFonts w:ascii="宋体" w:hAnsi="宋体" w:eastAsia="宋体" w:cs="宋体"/>
          <w:spacing w:val="-5"/>
          <w:sz w:val="24"/>
          <w:szCs w:val="24"/>
        </w:rPr>
        <w:t>28.1谈判过程依次为记录第一次谈判投标报价（不对供应商公布）、</w:t>
      </w:r>
      <w:r>
        <w:rPr>
          <w:rFonts w:ascii="宋体" w:hAnsi="宋体" w:eastAsia="宋体" w:cs="宋体"/>
          <w:spacing w:val="-6"/>
          <w:sz w:val="24"/>
          <w:szCs w:val="24"/>
        </w:rPr>
        <w:t>竞争性谈判响应</w:t>
      </w:r>
      <w:r>
        <w:rPr>
          <w:rFonts w:ascii="宋体" w:hAnsi="宋体" w:eastAsia="宋体" w:cs="宋体"/>
          <w:spacing w:val="-1"/>
          <w:sz w:val="24"/>
          <w:szCs w:val="24"/>
        </w:rPr>
        <w:t>文件资格性审查、符合性审查、谈判与承诺、最后报价五个阶段。</w:t>
      </w:r>
    </w:p>
    <w:p w14:paraId="151FB655">
      <w:pPr>
        <w:spacing w:line="360" w:lineRule="auto"/>
        <w:ind w:right="58" w:firstLine="11"/>
        <w:outlineLvl w:val="9"/>
        <w:rPr>
          <w:rFonts w:ascii="宋体" w:hAnsi="宋体" w:eastAsia="宋体" w:cs="宋体"/>
          <w:sz w:val="24"/>
          <w:szCs w:val="24"/>
        </w:rPr>
      </w:pPr>
      <w:r>
        <w:rPr>
          <w:rFonts w:ascii="宋体" w:hAnsi="宋体" w:eastAsia="宋体" w:cs="宋体"/>
          <w:spacing w:val="-4"/>
          <w:sz w:val="24"/>
          <w:szCs w:val="24"/>
        </w:rPr>
        <w:t>资格审查小组对各供应商的资质证明文件进行评审，不符合竞争性谈判文件要求的按无效</w:t>
      </w:r>
      <w:r>
        <w:rPr>
          <w:rFonts w:ascii="宋体" w:hAnsi="宋体" w:eastAsia="宋体" w:cs="宋体"/>
          <w:spacing w:val="-1"/>
          <w:sz w:val="24"/>
          <w:szCs w:val="24"/>
        </w:rPr>
        <w:t>谈判响应处理，不得进入后续评审。</w:t>
      </w:r>
    </w:p>
    <w:p w14:paraId="50A28045">
      <w:pPr>
        <w:spacing w:before="3" w:line="360" w:lineRule="auto"/>
        <w:ind w:left="3" w:right="58" w:firstLine="476"/>
        <w:outlineLvl w:val="9"/>
        <w:rPr>
          <w:rFonts w:ascii="宋体" w:hAnsi="宋体" w:eastAsia="宋体" w:cs="宋体"/>
          <w:sz w:val="24"/>
          <w:szCs w:val="24"/>
        </w:rPr>
      </w:pPr>
      <w:r>
        <w:rPr>
          <w:rFonts w:ascii="宋体" w:hAnsi="宋体" w:eastAsia="宋体" w:cs="宋体"/>
          <w:spacing w:val="-4"/>
          <w:sz w:val="24"/>
          <w:szCs w:val="24"/>
        </w:rPr>
        <w:t>对通过资格审查的供应商，谈判小组对于各个供应商的竞争性谈判响应文件进行符合</w:t>
      </w:r>
      <w:r>
        <w:rPr>
          <w:rFonts w:ascii="宋体" w:hAnsi="宋体" w:eastAsia="宋体" w:cs="宋体"/>
          <w:spacing w:val="-1"/>
          <w:sz w:val="24"/>
          <w:szCs w:val="24"/>
        </w:rPr>
        <w:t>性审查，审查不合格者不进入下一步评审。</w:t>
      </w:r>
    </w:p>
    <w:p w14:paraId="213FBE42">
      <w:pPr>
        <w:spacing w:line="360" w:lineRule="auto"/>
        <w:ind w:right="58" w:firstLine="479"/>
        <w:jc w:val="both"/>
        <w:outlineLvl w:val="9"/>
        <w:rPr>
          <w:rFonts w:ascii="宋体" w:hAnsi="宋体" w:eastAsia="宋体" w:cs="宋体"/>
          <w:sz w:val="24"/>
          <w:szCs w:val="24"/>
        </w:rPr>
      </w:pPr>
      <w:r>
        <w:rPr>
          <w:rFonts w:ascii="宋体" w:hAnsi="宋体" w:eastAsia="宋体" w:cs="宋体"/>
          <w:spacing w:val="-4"/>
          <w:sz w:val="24"/>
          <w:szCs w:val="24"/>
        </w:rPr>
        <w:t>谈判采取背对背的方式。即谈判小组所有成员集中与各供应商分别进行一对一、面对</w:t>
      </w:r>
      <w:r>
        <w:rPr>
          <w:rFonts w:ascii="宋体" w:hAnsi="宋体" w:eastAsia="宋体" w:cs="宋体"/>
          <w:spacing w:val="-3"/>
          <w:sz w:val="24"/>
          <w:szCs w:val="24"/>
        </w:rPr>
        <w:t>面的谈判。谈判小组可以要求供应商对竞争性谈判响应文</w:t>
      </w:r>
      <w:r>
        <w:rPr>
          <w:rFonts w:ascii="宋体" w:hAnsi="宋体" w:eastAsia="宋体" w:cs="宋体"/>
          <w:spacing w:val="-4"/>
          <w:sz w:val="24"/>
          <w:szCs w:val="24"/>
        </w:rPr>
        <w:t>件含义不明确的内容做出必要的</w:t>
      </w:r>
      <w:r>
        <w:rPr>
          <w:rFonts w:ascii="宋体" w:hAnsi="宋体" w:eastAsia="宋体" w:cs="宋体"/>
          <w:spacing w:val="-3"/>
          <w:sz w:val="24"/>
          <w:szCs w:val="24"/>
        </w:rPr>
        <w:t>澄清或说明，供应商应采用书面形式进行澄清或说明，但</w:t>
      </w:r>
      <w:r>
        <w:rPr>
          <w:rFonts w:ascii="宋体" w:hAnsi="宋体" w:eastAsia="宋体" w:cs="宋体"/>
          <w:spacing w:val="-4"/>
          <w:sz w:val="24"/>
          <w:szCs w:val="24"/>
        </w:rPr>
        <w:t>不得超出竞争性谈判响应文件的</w:t>
      </w:r>
      <w:r>
        <w:rPr>
          <w:rFonts w:ascii="宋体" w:hAnsi="宋体" w:eastAsia="宋体" w:cs="宋体"/>
          <w:spacing w:val="-1"/>
          <w:sz w:val="24"/>
          <w:szCs w:val="24"/>
        </w:rPr>
        <w:t>范围或改变竞争性谈判响应文件的实质性内容。</w:t>
      </w:r>
    </w:p>
    <w:p w14:paraId="18A510B8">
      <w:pPr>
        <w:spacing w:before="2" w:line="360" w:lineRule="auto"/>
        <w:ind w:left="1" w:right="58" w:firstLine="479"/>
        <w:outlineLvl w:val="9"/>
        <w:rPr>
          <w:rFonts w:ascii="宋体" w:hAnsi="宋体" w:eastAsia="宋体" w:cs="宋体"/>
          <w:sz w:val="24"/>
          <w:szCs w:val="24"/>
        </w:rPr>
      </w:pPr>
      <w:r>
        <w:rPr>
          <w:rFonts w:ascii="宋体" w:hAnsi="宋体" w:eastAsia="宋体" w:cs="宋体"/>
          <w:spacing w:val="-4"/>
          <w:sz w:val="24"/>
          <w:szCs w:val="24"/>
        </w:rPr>
        <w:t>双方经过谈判，质量和服务均能满足采购文件实质性响应要求的供应商才具有最后报</w:t>
      </w:r>
      <w:r>
        <w:rPr>
          <w:rFonts w:ascii="宋体" w:hAnsi="宋体" w:eastAsia="宋体" w:cs="宋体"/>
          <w:spacing w:val="-3"/>
          <w:sz w:val="24"/>
          <w:szCs w:val="24"/>
        </w:rPr>
        <w:t>价的机会。</w:t>
      </w:r>
    </w:p>
    <w:p w14:paraId="6F80C963">
      <w:pPr>
        <w:spacing w:before="1" w:line="360" w:lineRule="auto"/>
        <w:ind w:right="58" w:firstLine="482"/>
        <w:jc w:val="both"/>
        <w:outlineLvl w:val="9"/>
        <w:rPr>
          <w:rFonts w:ascii="宋体" w:hAnsi="宋体" w:eastAsia="宋体" w:cs="宋体"/>
          <w:spacing w:val="-1"/>
          <w:sz w:val="24"/>
          <w:szCs w:val="24"/>
        </w:rPr>
      </w:pPr>
      <w:r>
        <w:rPr>
          <w:rFonts w:ascii="宋体" w:hAnsi="宋体" w:eastAsia="宋体" w:cs="宋体"/>
          <w:spacing w:val="1"/>
          <w:sz w:val="24"/>
          <w:szCs w:val="24"/>
        </w:rPr>
        <w:t>28.2谈判后，供应商应按谈判小组规定的时间进行最后报价，各供应商请携</w:t>
      </w:r>
      <w:r>
        <w:rPr>
          <w:rFonts w:ascii="宋体" w:hAnsi="宋体" w:eastAsia="宋体" w:cs="宋体"/>
          <w:sz w:val="24"/>
          <w:szCs w:val="24"/>
        </w:rPr>
        <w:t>带电脑</w:t>
      </w:r>
      <w:r>
        <w:rPr>
          <w:rFonts w:ascii="宋体" w:hAnsi="宋体" w:eastAsia="宋体" w:cs="宋体"/>
          <w:spacing w:val="-3"/>
          <w:sz w:val="24"/>
          <w:szCs w:val="24"/>
        </w:rPr>
        <w:t>现场进行最后报价，最后报价现场不对供应商公布。该谈</w:t>
      </w:r>
      <w:r>
        <w:rPr>
          <w:rFonts w:ascii="宋体" w:hAnsi="宋体" w:eastAsia="宋体" w:cs="宋体"/>
          <w:spacing w:val="-4"/>
          <w:sz w:val="24"/>
          <w:szCs w:val="24"/>
        </w:rPr>
        <w:t>判报价为不可更改价格，作为谈</w:t>
      </w:r>
      <w:r>
        <w:rPr>
          <w:rFonts w:ascii="宋体" w:hAnsi="宋体" w:eastAsia="宋体" w:cs="宋体"/>
          <w:spacing w:val="-1"/>
          <w:sz w:val="24"/>
          <w:szCs w:val="24"/>
        </w:rPr>
        <w:t>判小组推荐成交候选人的依据。</w:t>
      </w:r>
    </w:p>
    <w:p w14:paraId="401456C3">
      <w:pPr>
        <w:spacing w:before="1" w:line="360" w:lineRule="auto"/>
        <w:ind w:right="58" w:firstLine="482"/>
        <w:jc w:val="both"/>
        <w:outlineLvl w:val="9"/>
        <w:rPr>
          <w:rFonts w:ascii="宋体" w:hAnsi="宋体" w:eastAsia="宋体" w:cs="宋体"/>
          <w:sz w:val="24"/>
          <w:szCs w:val="24"/>
        </w:rPr>
      </w:pPr>
      <w:r>
        <w:rPr>
          <w:rFonts w:ascii="宋体" w:hAnsi="宋体" w:eastAsia="宋体" w:cs="宋体"/>
          <w:spacing w:val="-1"/>
          <w:sz w:val="24"/>
          <w:szCs w:val="24"/>
        </w:rPr>
        <w:t>28.3特殊情况处理：按相关法律法规执</w:t>
      </w:r>
      <w:r>
        <w:rPr>
          <w:rFonts w:ascii="宋体" w:hAnsi="宋体" w:eastAsia="宋体" w:cs="宋体"/>
          <w:spacing w:val="-2"/>
          <w:sz w:val="24"/>
          <w:szCs w:val="24"/>
        </w:rPr>
        <w:t>行。</w:t>
      </w:r>
    </w:p>
    <w:p w14:paraId="3049BB54">
      <w:pPr>
        <w:spacing w:before="182" w:line="360" w:lineRule="auto"/>
        <w:ind w:left="26" w:right="2" w:firstLine="460"/>
        <w:outlineLvl w:val="9"/>
        <w:rPr>
          <w:rFonts w:ascii="宋体" w:hAnsi="宋体" w:eastAsia="宋体" w:cs="宋体"/>
          <w:sz w:val="24"/>
          <w:szCs w:val="24"/>
        </w:rPr>
      </w:pPr>
      <w:r>
        <w:rPr>
          <w:rFonts w:ascii="宋体" w:hAnsi="宋体" w:eastAsia="宋体" w:cs="宋体"/>
          <w:spacing w:val="1"/>
          <w:sz w:val="24"/>
          <w:szCs w:val="24"/>
        </w:rPr>
        <w:t>28.4评审方法：谈判小组从质量和服务均能满足采购文件实质性响应要求的</w:t>
      </w:r>
      <w:r>
        <w:rPr>
          <w:rFonts w:ascii="宋体" w:hAnsi="宋体" w:eastAsia="宋体" w:cs="宋体"/>
          <w:sz w:val="24"/>
          <w:szCs w:val="24"/>
        </w:rPr>
        <w:t>供应商</w:t>
      </w:r>
      <w:r>
        <w:rPr>
          <w:rFonts w:ascii="宋体" w:hAnsi="宋体" w:eastAsia="宋体" w:cs="宋体"/>
          <w:spacing w:val="-2"/>
          <w:sz w:val="24"/>
          <w:szCs w:val="24"/>
        </w:rPr>
        <w:t>中，按照最后报价由低到高的顺序提出成交候选人。</w:t>
      </w:r>
    </w:p>
    <w:p w14:paraId="3E8CF2DF">
      <w:pPr>
        <w:spacing w:before="184" w:line="360" w:lineRule="auto"/>
        <w:outlineLvl w:val="9"/>
        <w:rPr>
          <w:rFonts w:ascii="宋体" w:hAnsi="宋体" w:eastAsia="宋体" w:cs="宋体"/>
          <w:sz w:val="24"/>
          <w:szCs w:val="24"/>
        </w:rPr>
      </w:pPr>
      <w:r>
        <w:rPr>
          <w:rFonts w:ascii="宋体" w:hAnsi="宋体" w:eastAsia="宋体" w:cs="宋体"/>
          <w:spacing w:val="-1"/>
          <w:sz w:val="24"/>
          <w:szCs w:val="24"/>
        </w:rPr>
        <w:t>F授予合同</w:t>
      </w:r>
    </w:p>
    <w:p w14:paraId="2D85C93C">
      <w:pPr>
        <w:spacing w:before="181" w:line="360" w:lineRule="auto"/>
        <w:ind w:left="6"/>
        <w:outlineLvl w:val="9"/>
        <w:rPr>
          <w:rFonts w:ascii="宋体" w:hAnsi="宋体" w:eastAsia="宋体" w:cs="宋体"/>
          <w:sz w:val="24"/>
          <w:szCs w:val="24"/>
        </w:rPr>
      </w:pPr>
      <w:r>
        <w:rPr>
          <w:rFonts w:ascii="宋体" w:hAnsi="宋体" w:eastAsia="宋体" w:cs="宋体"/>
          <w:spacing w:val="-4"/>
          <w:sz w:val="24"/>
          <w:szCs w:val="24"/>
        </w:rPr>
        <w:t>29成交准则</w:t>
      </w:r>
    </w:p>
    <w:p w14:paraId="1DE8F4B2">
      <w:pPr>
        <w:spacing w:before="181" w:line="360" w:lineRule="auto"/>
        <w:ind w:left="27" w:right="2" w:firstLine="459"/>
        <w:outlineLvl w:val="9"/>
        <w:rPr>
          <w:rFonts w:ascii="宋体" w:hAnsi="宋体" w:eastAsia="宋体" w:cs="宋体"/>
          <w:sz w:val="24"/>
          <w:szCs w:val="24"/>
        </w:rPr>
      </w:pPr>
      <w:r>
        <w:rPr>
          <w:rFonts w:ascii="宋体" w:hAnsi="宋体" w:eastAsia="宋体" w:cs="宋体"/>
          <w:spacing w:val="1"/>
          <w:sz w:val="24"/>
          <w:szCs w:val="24"/>
        </w:rPr>
        <w:t>29.1合同将授予竞争性谈判响应文件符合竞争性谈判文件要求、并能圆</w:t>
      </w:r>
      <w:r>
        <w:rPr>
          <w:rFonts w:ascii="宋体" w:hAnsi="宋体" w:eastAsia="宋体" w:cs="宋体"/>
          <w:sz w:val="24"/>
          <w:szCs w:val="24"/>
        </w:rPr>
        <w:t>满地履行合</w:t>
      </w:r>
      <w:r>
        <w:rPr>
          <w:rFonts w:ascii="宋体" w:hAnsi="宋体" w:eastAsia="宋体" w:cs="宋体"/>
          <w:spacing w:val="-2"/>
          <w:sz w:val="24"/>
          <w:szCs w:val="24"/>
        </w:rPr>
        <w:t>同、对采购人最为有利且价格最低的供应商。</w:t>
      </w:r>
    </w:p>
    <w:p w14:paraId="0A06230F">
      <w:pPr>
        <w:spacing w:before="184" w:line="360" w:lineRule="auto"/>
        <w:ind w:left="486"/>
        <w:outlineLvl w:val="9"/>
        <w:rPr>
          <w:rFonts w:ascii="宋体" w:hAnsi="宋体" w:eastAsia="宋体" w:cs="宋体"/>
          <w:sz w:val="24"/>
          <w:szCs w:val="24"/>
        </w:rPr>
      </w:pPr>
      <w:r>
        <w:rPr>
          <w:rFonts w:ascii="宋体" w:hAnsi="宋体" w:eastAsia="宋体" w:cs="宋体"/>
          <w:spacing w:val="-1"/>
          <w:sz w:val="24"/>
          <w:szCs w:val="24"/>
        </w:rPr>
        <w:t>29.2谈判小组将根据评审方法推荐成交候选供应商名单。</w:t>
      </w:r>
    </w:p>
    <w:p w14:paraId="01497D5D">
      <w:pPr>
        <w:spacing w:before="184" w:line="360" w:lineRule="auto"/>
        <w:ind w:left="11" w:right="2" w:firstLine="475"/>
        <w:outlineLvl w:val="9"/>
        <w:rPr>
          <w:rFonts w:ascii="宋体" w:hAnsi="宋体" w:eastAsia="宋体" w:cs="宋体"/>
          <w:sz w:val="24"/>
          <w:szCs w:val="24"/>
        </w:rPr>
      </w:pPr>
      <w:r>
        <w:rPr>
          <w:rFonts w:ascii="宋体" w:hAnsi="宋体" w:eastAsia="宋体" w:cs="宋体"/>
          <w:spacing w:val="1"/>
          <w:sz w:val="24"/>
          <w:szCs w:val="24"/>
        </w:rPr>
        <w:t>29.3采购代理机构在评审结束后将评审报告送采购人，采购人在收到评审报</w:t>
      </w:r>
      <w:r>
        <w:rPr>
          <w:rFonts w:ascii="宋体" w:hAnsi="宋体" w:eastAsia="宋体" w:cs="宋体"/>
          <w:sz w:val="24"/>
          <w:szCs w:val="24"/>
        </w:rPr>
        <w:t>告后按</w:t>
      </w:r>
      <w:r>
        <w:rPr>
          <w:rFonts w:ascii="宋体" w:hAnsi="宋体" w:eastAsia="宋体" w:cs="宋体"/>
          <w:spacing w:val="-1"/>
          <w:sz w:val="24"/>
          <w:szCs w:val="24"/>
        </w:rPr>
        <w:t>照评审报告中推荐的成交候选供应商顺序确定成交供应商。</w:t>
      </w:r>
    </w:p>
    <w:p w14:paraId="044650E1">
      <w:pPr>
        <w:spacing w:before="185" w:line="360" w:lineRule="auto"/>
        <w:ind w:left="3" w:right="2" w:firstLine="482"/>
        <w:outlineLvl w:val="9"/>
        <w:rPr>
          <w:rFonts w:ascii="宋体" w:hAnsi="宋体" w:eastAsia="宋体" w:cs="宋体"/>
          <w:sz w:val="24"/>
          <w:szCs w:val="24"/>
        </w:rPr>
      </w:pPr>
      <w:r>
        <w:rPr>
          <w:rFonts w:ascii="宋体" w:hAnsi="宋体" w:eastAsia="宋体" w:cs="宋体"/>
          <w:spacing w:val="1"/>
          <w:sz w:val="24"/>
          <w:szCs w:val="24"/>
        </w:rPr>
        <w:t>29.4成交供应商因不可抗力或自身原因不能履行政府采购合同的，采</w:t>
      </w:r>
      <w:r>
        <w:rPr>
          <w:rFonts w:ascii="宋体" w:hAnsi="宋体" w:eastAsia="宋体" w:cs="宋体"/>
          <w:sz w:val="24"/>
          <w:szCs w:val="24"/>
        </w:rPr>
        <w:t>购人可以再排位在成交供应商之后的第一位的成交候选供应商签订政</w:t>
      </w:r>
      <w:r>
        <w:rPr>
          <w:rFonts w:ascii="宋体" w:hAnsi="宋体" w:eastAsia="宋体" w:cs="宋体"/>
          <w:spacing w:val="-1"/>
          <w:sz w:val="24"/>
          <w:szCs w:val="24"/>
        </w:rPr>
        <w:t>府采购合同，以此类推。</w:t>
      </w:r>
    </w:p>
    <w:p w14:paraId="4785833F">
      <w:pPr>
        <w:spacing w:before="183" w:line="360" w:lineRule="auto"/>
        <w:ind w:left="8"/>
        <w:outlineLvl w:val="9"/>
        <w:rPr>
          <w:rFonts w:ascii="宋体" w:hAnsi="宋体" w:eastAsia="宋体" w:cs="宋体"/>
          <w:sz w:val="24"/>
          <w:szCs w:val="24"/>
        </w:rPr>
      </w:pPr>
      <w:r>
        <w:rPr>
          <w:rFonts w:ascii="宋体" w:hAnsi="宋体" w:eastAsia="宋体" w:cs="宋体"/>
          <w:spacing w:val="-2"/>
          <w:sz w:val="24"/>
          <w:szCs w:val="24"/>
        </w:rPr>
        <w:t>30成交通知书</w:t>
      </w:r>
    </w:p>
    <w:p w14:paraId="56956C46">
      <w:pPr>
        <w:spacing w:before="184" w:line="360" w:lineRule="auto"/>
        <w:ind w:left="14" w:firstLine="474"/>
        <w:outlineLvl w:val="9"/>
        <w:rPr>
          <w:rFonts w:ascii="宋体" w:hAnsi="宋体" w:eastAsia="宋体" w:cs="宋体"/>
          <w:sz w:val="24"/>
          <w:szCs w:val="24"/>
        </w:rPr>
      </w:pPr>
      <w:r>
        <w:rPr>
          <w:rFonts w:ascii="宋体" w:hAnsi="宋体" w:eastAsia="宋体" w:cs="宋体"/>
          <w:sz w:val="24"/>
          <w:szCs w:val="24"/>
        </w:rPr>
        <w:t>30.1在谈判有效期内，确定成交供应商后，成</w:t>
      </w:r>
      <w:r>
        <w:rPr>
          <w:rFonts w:ascii="宋体" w:hAnsi="宋体" w:eastAsia="宋体" w:cs="宋体"/>
          <w:spacing w:val="-1"/>
          <w:sz w:val="24"/>
          <w:szCs w:val="24"/>
        </w:rPr>
        <w:t>交结果在财政部门指定的政府采购信</w:t>
      </w:r>
      <w:r>
        <w:rPr>
          <w:rFonts w:ascii="宋体" w:hAnsi="宋体" w:eastAsia="宋体" w:cs="宋体"/>
          <w:spacing w:val="-3"/>
          <w:sz w:val="24"/>
          <w:szCs w:val="24"/>
        </w:rPr>
        <w:t>息发布媒体上公告。</w:t>
      </w:r>
    </w:p>
    <w:p w14:paraId="1257525F">
      <w:pPr>
        <w:spacing w:before="184" w:line="360" w:lineRule="auto"/>
        <w:ind w:left="488"/>
        <w:outlineLvl w:val="9"/>
        <w:rPr>
          <w:rFonts w:ascii="宋体" w:hAnsi="宋体" w:eastAsia="宋体" w:cs="宋体"/>
          <w:sz w:val="24"/>
          <w:szCs w:val="24"/>
        </w:rPr>
      </w:pPr>
      <w:r>
        <w:rPr>
          <w:rFonts w:ascii="宋体" w:hAnsi="宋体" w:eastAsia="宋体" w:cs="宋体"/>
          <w:spacing w:val="-1"/>
          <w:sz w:val="24"/>
          <w:szCs w:val="24"/>
        </w:rPr>
        <w:t>30.2采购代理机构向成交供应商发出成交通知书。</w:t>
      </w:r>
    </w:p>
    <w:p w14:paraId="47EB46EF">
      <w:pPr>
        <w:spacing w:before="184" w:line="360" w:lineRule="auto"/>
        <w:ind w:left="488"/>
        <w:outlineLvl w:val="9"/>
        <w:rPr>
          <w:rFonts w:ascii="宋体" w:hAnsi="宋体" w:eastAsia="宋体" w:cs="宋体"/>
          <w:sz w:val="24"/>
          <w:szCs w:val="24"/>
        </w:rPr>
      </w:pPr>
      <w:r>
        <w:rPr>
          <w:rFonts w:ascii="宋体" w:hAnsi="宋体" w:eastAsia="宋体" w:cs="宋体"/>
          <w:spacing w:val="-1"/>
          <w:sz w:val="24"/>
          <w:szCs w:val="24"/>
        </w:rPr>
        <w:t>30.3成交通知书将作为签订合同的依据。</w:t>
      </w:r>
    </w:p>
    <w:p w14:paraId="7A9A5CF7">
      <w:pPr>
        <w:spacing w:before="183" w:line="360" w:lineRule="auto"/>
        <w:ind w:left="488"/>
        <w:outlineLvl w:val="9"/>
        <w:rPr>
          <w:rFonts w:ascii="宋体" w:hAnsi="宋体" w:eastAsia="宋体" w:cs="宋体"/>
          <w:sz w:val="24"/>
          <w:szCs w:val="24"/>
        </w:rPr>
      </w:pPr>
      <w:r>
        <w:rPr>
          <w:rFonts w:ascii="宋体" w:hAnsi="宋体" w:eastAsia="宋体" w:cs="宋体"/>
          <w:sz w:val="24"/>
          <w:szCs w:val="24"/>
        </w:rPr>
        <w:t>30.4对未成交者，采购人不做出解释，</w:t>
      </w:r>
      <w:r>
        <w:rPr>
          <w:rFonts w:ascii="宋体" w:hAnsi="宋体" w:eastAsia="宋体" w:cs="宋体"/>
          <w:spacing w:val="-1"/>
          <w:sz w:val="24"/>
          <w:szCs w:val="24"/>
        </w:rPr>
        <w:t>同时亦不退还竞争性谈判响应文件。</w:t>
      </w:r>
    </w:p>
    <w:p w14:paraId="7666DEDF">
      <w:pPr>
        <w:spacing w:before="184" w:line="360" w:lineRule="auto"/>
        <w:ind w:left="8"/>
        <w:outlineLvl w:val="9"/>
        <w:rPr>
          <w:rFonts w:ascii="宋体" w:hAnsi="宋体" w:eastAsia="宋体" w:cs="宋体"/>
          <w:sz w:val="24"/>
          <w:szCs w:val="24"/>
        </w:rPr>
      </w:pPr>
      <w:r>
        <w:rPr>
          <w:rFonts w:ascii="宋体" w:hAnsi="宋体" w:eastAsia="宋体" w:cs="宋体"/>
          <w:spacing w:val="-3"/>
          <w:sz w:val="24"/>
          <w:szCs w:val="24"/>
        </w:rPr>
        <w:t>31签订合同</w:t>
      </w:r>
    </w:p>
    <w:p w14:paraId="67F99F4A">
      <w:pPr>
        <w:spacing w:before="179" w:line="360" w:lineRule="auto"/>
        <w:ind w:left="2" w:firstLine="485"/>
        <w:outlineLvl w:val="9"/>
        <w:rPr>
          <w:rFonts w:ascii="宋体" w:hAnsi="宋体" w:eastAsia="宋体" w:cs="宋体"/>
          <w:sz w:val="24"/>
          <w:szCs w:val="24"/>
        </w:rPr>
      </w:pPr>
      <w:r>
        <w:rPr>
          <w:rFonts w:ascii="宋体" w:hAnsi="宋体" w:eastAsia="宋体" w:cs="宋体"/>
          <w:spacing w:val="-4"/>
          <w:sz w:val="24"/>
          <w:szCs w:val="24"/>
        </w:rPr>
        <w:t>31.1成交供应商应当自成交通知书发出之日起10日</w:t>
      </w:r>
      <w:r>
        <w:rPr>
          <w:rFonts w:ascii="宋体" w:hAnsi="宋体" w:eastAsia="宋体" w:cs="宋体"/>
          <w:spacing w:val="-5"/>
          <w:sz w:val="24"/>
          <w:szCs w:val="24"/>
        </w:rPr>
        <w:t>内，按照竞争性谈判文件确定的</w:t>
      </w:r>
      <w:r>
        <w:rPr>
          <w:rFonts w:ascii="宋体" w:hAnsi="宋体" w:eastAsia="宋体" w:cs="宋体"/>
          <w:spacing w:val="-3"/>
          <w:sz w:val="24"/>
          <w:szCs w:val="24"/>
        </w:rPr>
        <w:t>事项和成交供应商的竞争性谈判响应文件与采购人签订政府</w:t>
      </w:r>
      <w:r>
        <w:rPr>
          <w:rFonts w:ascii="宋体" w:hAnsi="宋体" w:eastAsia="宋体" w:cs="宋体"/>
          <w:spacing w:val="-4"/>
          <w:sz w:val="24"/>
          <w:szCs w:val="24"/>
        </w:rPr>
        <w:t>采购合同；成交通知书发出后</w:t>
      </w:r>
      <w:r>
        <w:rPr>
          <w:rFonts w:ascii="宋体" w:hAnsi="宋体" w:eastAsia="宋体" w:cs="宋体"/>
          <w:spacing w:val="-3"/>
          <w:sz w:val="24"/>
          <w:szCs w:val="24"/>
        </w:rPr>
        <w:t>采购人改变成交结果的，或者成交供应商放弃成交项目的，</w:t>
      </w:r>
      <w:r>
        <w:rPr>
          <w:rFonts w:ascii="宋体" w:hAnsi="宋体" w:eastAsia="宋体" w:cs="宋体"/>
          <w:spacing w:val="-4"/>
          <w:sz w:val="24"/>
          <w:szCs w:val="24"/>
        </w:rPr>
        <w:t>应当依法承担法律责任。成交</w:t>
      </w:r>
      <w:r>
        <w:rPr>
          <w:rFonts w:ascii="宋体" w:hAnsi="宋体" w:eastAsia="宋体" w:cs="宋体"/>
          <w:spacing w:val="-3"/>
          <w:sz w:val="24"/>
          <w:szCs w:val="24"/>
        </w:rPr>
        <w:t>供应商拒绝与采购人签订合同的，谈判保证金不予退还，给</w:t>
      </w:r>
      <w:r>
        <w:rPr>
          <w:rFonts w:ascii="宋体" w:hAnsi="宋体" w:eastAsia="宋体" w:cs="宋体"/>
          <w:spacing w:val="-4"/>
          <w:sz w:val="24"/>
          <w:szCs w:val="24"/>
        </w:rPr>
        <w:t>采购人造成的损失超过谈判保</w:t>
      </w:r>
      <w:r>
        <w:rPr>
          <w:rFonts w:ascii="宋体" w:hAnsi="宋体" w:eastAsia="宋体" w:cs="宋体"/>
          <w:spacing w:val="-3"/>
          <w:sz w:val="24"/>
          <w:szCs w:val="24"/>
        </w:rPr>
        <w:t>证金数额的，还应当对超过部分予以赔偿，同时依法承担相</w:t>
      </w:r>
      <w:r>
        <w:rPr>
          <w:rFonts w:ascii="宋体" w:hAnsi="宋体" w:eastAsia="宋体" w:cs="宋体"/>
          <w:spacing w:val="-4"/>
          <w:sz w:val="24"/>
          <w:szCs w:val="24"/>
        </w:rPr>
        <w:t>应法律责任。采购人可以按照</w:t>
      </w:r>
      <w:r>
        <w:rPr>
          <w:rFonts w:ascii="宋体" w:hAnsi="宋体" w:eastAsia="宋体" w:cs="宋体"/>
          <w:spacing w:val="-3"/>
          <w:sz w:val="24"/>
          <w:szCs w:val="24"/>
        </w:rPr>
        <w:t>评审报告推荐的成交候选人名单顺序，确定下一候选人为成</w:t>
      </w:r>
      <w:r>
        <w:rPr>
          <w:rFonts w:ascii="宋体" w:hAnsi="宋体" w:eastAsia="宋体" w:cs="宋体"/>
          <w:spacing w:val="-4"/>
          <w:sz w:val="24"/>
          <w:szCs w:val="24"/>
        </w:rPr>
        <w:t>交供应商，也可以重新开展政</w:t>
      </w:r>
      <w:r>
        <w:rPr>
          <w:rFonts w:ascii="宋体" w:hAnsi="宋体" w:eastAsia="宋体" w:cs="宋体"/>
          <w:spacing w:val="-2"/>
          <w:sz w:val="24"/>
          <w:szCs w:val="24"/>
        </w:rPr>
        <w:t>府采购活动。</w:t>
      </w:r>
    </w:p>
    <w:p w14:paraId="2A4C5D1F">
      <w:pPr>
        <w:spacing w:before="184" w:line="360" w:lineRule="auto"/>
        <w:ind w:left="3" w:firstLine="484"/>
        <w:outlineLvl w:val="9"/>
        <w:rPr>
          <w:rFonts w:ascii="宋体" w:hAnsi="宋体" w:eastAsia="宋体" w:cs="宋体"/>
          <w:spacing w:val="-1"/>
          <w:sz w:val="24"/>
          <w:szCs w:val="24"/>
        </w:rPr>
      </w:pPr>
      <w:r>
        <w:rPr>
          <w:rFonts w:ascii="宋体" w:hAnsi="宋体" w:eastAsia="宋体" w:cs="宋体"/>
          <w:sz w:val="24"/>
          <w:szCs w:val="24"/>
        </w:rPr>
        <w:t>31.2竞争性谈判文件、成交供应商的竞争性谈</w:t>
      </w:r>
      <w:r>
        <w:rPr>
          <w:rFonts w:ascii="宋体" w:hAnsi="宋体" w:eastAsia="宋体" w:cs="宋体"/>
          <w:spacing w:val="-1"/>
          <w:sz w:val="24"/>
          <w:szCs w:val="24"/>
        </w:rPr>
        <w:t>判响应文件和补充文件（如澄清、承</w:t>
      </w:r>
      <w:r>
        <w:rPr>
          <w:rFonts w:ascii="宋体" w:hAnsi="宋体" w:eastAsia="宋体" w:cs="宋体"/>
          <w:spacing w:val="-3"/>
          <w:sz w:val="24"/>
          <w:szCs w:val="24"/>
        </w:rPr>
        <w:t>诺等）等，均为签订合同的依据。所签订的合同不得对竞</w:t>
      </w:r>
      <w:r>
        <w:rPr>
          <w:rFonts w:ascii="宋体" w:hAnsi="宋体" w:eastAsia="宋体" w:cs="宋体"/>
          <w:spacing w:val="-4"/>
          <w:sz w:val="24"/>
          <w:szCs w:val="24"/>
        </w:rPr>
        <w:t>争性谈判文件和成交供应商竞争</w:t>
      </w:r>
      <w:r>
        <w:rPr>
          <w:rFonts w:ascii="宋体" w:hAnsi="宋体" w:eastAsia="宋体" w:cs="宋体"/>
          <w:spacing w:val="-1"/>
          <w:sz w:val="24"/>
          <w:szCs w:val="24"/>
        </w:rPr>
        <w:t>性谈判响应文件作实质性修改。</w:t>
      </w:r>
    </w:p>
    <w:p w14:paraId="268492D8">
      <w:pPr>
        <w:spacing w:before="122" w:line="360" w:lineRule="auto"/>
        <w:ind w:left="7"/>
        <w:outlineLvl w:val="9"/>
        <w:rPr>
          <w:rFonts w:ascii="宋体" w:hAnsi="宋体" w:eastAsia="宋体" w:cs="宋体"/>
          <w:sz w:val="24"/>
          <w:szCs w:val="24"/>
        </w:rPr>
      </w:pPr>
      <w:r>
        <w:rPr>
          <w:rFonts w:ascii="宋体" w:hAnsi="宋体" w:eastAsia="宋体" w:cs="宋体"/>
          <w:spacing w:val="-2"/>
          <w:sz w:val="24"/>
          <w:szCs w:val="24"/>
        </w:rPr>
        <w:t>32采购代理服务费</w:t>
      </w:r>
    </w:p>
    <w:p w14:paraId="67E95B58">
      <w:pPr>
        <w:spacing w:before="184" w:line="360" w:lineRule="auto"/>
        <w:ind w:left="14" w:firstLine="473"/>
        <w:outlineLvl w:val="9"/>
        <w:rPr>
          <w:rFonts w:ascii="宋体" w:hAnsi="宋体" w:eastAsia="宋体" w:cs="宋体"/>
          <w:sz w:val="24"/>
          <w:szCs w:val="24"/>
        </w:rPr>
      </w:pPr>
      <w:r>
        <w:rPr>
          <w:rFonts w:ascii="宋体" w:hAnsi="宋体" w:eastAsia="宋体" w:cs="宋体"/>
          <w:spacing w:val="-4"/>
          <w:sz w:val="24"/>
          <w:szCs w:val="24"/>
        </w:rPr>
        <w:t>32.1采购代理服务费的收取参见国家计委颁布的《采购代理服务收费管理暂行办法》</w:t>
      </w:r>
      <w:r>
        <w:rPr>
          <w:rFonts w:ascii="宋体" w:hAnsi="宋体" w:eastAsia="宋体" w:cs="宋体"/>
          <w:spacing w:val="-1"/>
          <w:sz w:val="24"/>
          <w:szCs w:val="24"/>
        </w:rPr>
        <w:t>（计价格[2002]1980号）和（发改办价格[2011]534号）中规定的差额定律累</w:t>
      </w:r>
      <w:r>
        <w:rPr>
          <w:rFonts w:ascii="宋体" w:hAnsi="宋体" w:eastAsia="宋体" w:cs="宋体"/>
          <w:spacing w:val="-2"/>
          <w:sz w:val="24"/>
          <w:szCs w:val="24"/>
        </w:rPr>
        <w:t>进法计算,</w:t>
      </w:r>
      <w:r>
        <w:rPr>
          <w:rFonts w:ascii="宋体" w:hAnsi="宋体" w:eastAsia="宋体" w:cs="宋体"/>
          <w:spacing w:val="-3"/>
          <w:sz w:val="24"/>
          <w:szCs w:val="24"/>
        </w:rPr>
        <w:t>向成交单位收取。</w:t>
      </w:r>
    </w:p>
    <w:p w14:paraId="281B6EDB">
      <w:pPr>
        <w:spacing w:before="182" w:line="360" w:lineRule="auto"/>
        <w:jc w:val="right"/>
        <w:outlineLvl w:val="9"/>
        <w:rPr>
          <w:rFonts w:ascii="宋体" w:hAnsi="宋体" w:eastAsia="宋体" w:cs="宋体"/>
          <w:spacing w:val="-5"/>
          <w:sz w:val="24"/>
          <w:szCs w:val="24"/>
        </w:rPr>
      </w:pPr>
      <w:r>
        <w:rPr>
          <w:rFonts w:ascii="宋体" w:hAnsi="宋体" w:eastAsia="宋体" w:cs="宋体"/>
          <w:spacing w:val="-4"/>
          <w:sz w:val="24"/>
          <w:szCs w:val="24"/>
        </w:rPr>
        <w:t>32.2成交单位在领取成交通知书前，须向采购代理机构一次</w:t>
      </w:r>
      <w:r>
        <w:rPr>
          <w:rFonts w:ascii="宋体" w:hAnsi="宋体" w:eastAsia="宋体" w:cs="宋体"/>
          <w:spacing w:val="-5"/>
          <w:sz w:val="24"/>
          <w:szCs w:val="24"/>
        </w:rPr>
        <w:t>性支付采购代</w:t>
      </w:r>
    </w:p>
    <w:p w14:paraId="708BE93D">
      <w:pPr>
        <w:spacing w:before="182" w:line="360" w:lineRule="auto"/>
        <w:jc w:val="both"/>
        <w:outlineLvl w:val="9"/>
        <w:rPr>
          <w:rFonts w:ascii="宋体" w:hAnsi="宋体" w:eastAsia="宋体" w:cs="宋体"/>
          <w:sz w:val="24"/>
          <w:szCs w:val="24"/>
        </w:rPr>
      </w:pPr>
      <w:r>
        <w:rPr>
          <w:rFonts w:ascii="宋体" w:hAnsi="宋体" w:eastAsia="宋体" w:cs="宋体"/>
          <w:spacing w:val="-5"/>
          <w:sz w:val="24"/>
          <w:szCs w:val="24"/>
        </w:rPr>
        <w:t>理服务费。</w:t>
      </w:r>
    </w:p>
    <w:p w14:paraId="499276DE">
      <w:pPr>
        <w:spacing w:before="183" w:line="360" w:lineRule="auto"/>
        <w:ind w:left="7"/>
        <w:outlineLvl w:val="9"/>
        <w:rPr>
          <w:rFonts w:ascii="宋体" w:hAnsi="宋体" w:eastAsia="宋体" w:cs="宋体"/>
          <w:sz w:val="24"/>
          <w:szCs w:val="24"/>
        </w:rPr>
      </w:pPr>
      <w:r>
        <w:rPr>
          <w:rFonts w:ascii="宋体" w:hAnsi="宋体" w:eastAsia="宋体" w:cs="宋体"/>
          <w:spacing w:val="-7"/>
          <w:sz w:val="24"/>
          <w:szCs w:val="24"/>
        </w:rPr>
        <w:t>33其他</w:t>
      </w:r>
    </w:p>
    <w:p w14:paraId="591B1057">
      <w:pPr>
        <w:spacing w:before="181" w:line="360" w:lineRule="auto"/>
        <w:ind w:left="2" w:right="225" w:firstLine="479"/>
        <w:outlineLvl w:val="9"/>
        <w:rPr>
          <w:rFonts w:ascii="宋体" w:hAnsi="宋体" w:eastAsia="宋体" w:cs="宋体"/>
          <w:sz w:val="24"/>
          <w:szCs w:val="24"/>
        </w:rPr>
      </w:pPr>
      <w:r>
        <w:rPr>
          <w:rFonts w:ascii="宋体" w:hAnsi="宋体" w:eastAsia="宋体" w:cs="宋体"/>
          <w:spacing w:val="-4"/>
          <w:sz w:val="24"/>
          <w:szCs w:val="24"/>
        </w:rPr>
        <w:t>谈判截止时间结束后，参加投标的供应商不足3家，或在评标期间，</w:t>
      </w:r>
      <w:r>
        <w:rPr>
          <w:rFonts w:ascii="宋体" w:hAnsi="宋体" w:eastAsia="宋体" w:cs="宋体"/>
          <w:spacing w:val="-5"/>
          <w:sz w:val="24"/>
          <w:szCs w:val="24"/>
        </w:rPr>
        <w:t>出现符合条件的</w:t>
      </w:r>
      <w:r>
        <w:rPr>
          <w:rFonts w:ascii="宋体" w:hAnsi="宋体" w:eastAsia="宋体" w:cs="宋体"/>
          <w:spacing w:val="-4"/>
          <w:sz w:val="24"/>
          <w:szCs w:val="24"/>
        </w:rPr>
        <w:t>供应商或者对竞争性谈判文件做出实质性响应的供应商不足3家的，按照中华人民共和国</w:t>
      </w:r>
      <w:r>
        <w:rPr>
          <w:rFonts w:ascii="宋体" w:hAnsi="宋体" w:eastAsia="宋体" w:cs="宋体"/>
          <w:spacing w:val="1"/>
          <w:sz w:val="24"/>
          <w:szCs w:val="24"/>
        </w:rPr>
        <w:t>财政部令第87号《政府采购货物和服务采购投标管理办法》第四十一条、第</w:t>
      </w:r>
      <w:r>
        <w:rPr>
          <w:rFonts w:ascii="宋体" w:hAnsi="宋体" w:eastAsia="宋体" w:cs="宋体"/>
          <w:sz w:val="24"/>
          <w:szCs w:val="24"/>
        </w:rPr>
        <w:t>四十三条、</w:t>
      </w:r>
      <w:r>
        <w:rPr>
          <w:rFonts w:ascii="宋体" w:hAnsi="宋体" w:eastAsia="宋体" w:cs="宋体"/>
          <w:spacing w:val="-1"/>
          <w:sz w:val="24"/>
          <w:szCs w:val="24"/>
        </w:rPr>
        <w:t>第四十四条等相关条款处理。</w:t>
      </w:r>
    </w:p>
    <w:p w14:paraId="6A3CA2D2">
      <w:pPr>
        <w:spacing w:line="360" w:lineRule="auto"/>
        <w:ind w:left="7"/>
        <w:outlineLvl w:val="9"/>
        <w:rPr>
          <w:rFonts w:ascii="宋体" w:hAnsi="宋体" w:eastAsia="宋体" w:cs="宋体"/>
          <w:sz w:val="24"/>
          <w:szCs w:val="24"/>
        </w:rPr>
      </w:pPr>
      <w:r>
        <w:rPr>
          <w:rFonts w:ascii="宋体" w:hAnsi="宋体" w:eastAsia="宋体" w:cs="宋体"/>
          <w:spacing w:val="-2"/>
          <w:sz w:val="24"/>
          <w:szCs w:val="24"/>
        </w:rPr>
        <w:t>34质疑提出与答复</w:t>
      </w:r>
    </w:p>
    <w:p w14:paraId="67305776">
      <w:pPr>
        <w:spacing w:before="182" w:line="360" w:lineRule="auto"/>
        <w:ind w:left="7" w:right="225" w:firstLine="475"/>
        <w:outlineLvl w:val="9"/>
        <w:rPr>
          <w:rFonts w:ascii="宋体" w:hAnsi="宋体" w:eastAsia="宋体" w:cs="宋体"/>
          <w:sz w:val="24"/>
          <w:szCs w:val="24"/>
        </w:rPr>
      </w:pPr>
      <w:r>
        <w:rPr>
          <w:rFonts w:ascii="宋体" w:hAnsi="宋体" w:eastAsia="宋体" w:cs="宋体"/>
          <w:spacing w:val="-4"/>
          <w:sz w:val="24"/>
          <w:szCs w:val="24"/>
        </w:rPr>
        <w:t>供应商如果认为采购程序、采购过程或中标结果使自身的合法权益受到损害，可以在</w:t>
      </w:r>
      <w:r>
        <w:rPr>
          <w:rFonts w:ascii="宋体" w:hAnsi="宋体" w:eastAsia="宋体" w:cs="宋体"/>
          <w:spacing w:val="-1"/>
          <w:sz w:val="24"/>
          <w:szCs w:val="24"/>
        </w:rPr>
        <w:t>知道或者应知其权益受到损害之日起7个工作日内，以书面形式向采购代理机构提</w:t>
      </w:r>
      <w:r>
        <w:rPr>
          <w:rFonts w:ascii="宋体" w:hAnsi="宋体" w:eastAsia="宋体" w:cs="宋体"/>
          <w:spacing w:val="-2"/>
          <w:sz w:val="24"/>
          <w:szCs w:val="24"/>
        </w:rPr>
        <w:t>出。</w:t>
      </w:r>
    </w:p>
    <w:p w14:paraId="308A0C71">
      <w:pPr>
        <w:spacing w:before="4" w:line="360" w:lineRule="auto"/>
        <w:ind w:left="1" w:right="150" w:firstLine="498"/>
        <w:jc w:val="both"/>
        <w:outlineLvl w:val="9"/>
        <w:rPr>
          <w:rFonts w:ascii="宋体" w:hAnsi="宋体" w:eastAsia="宋体" w:cs="宋体"/>
          <w:sz w:val="24"/>
          <w:szCs w:val="24"/>
        </w:rPr>
      </w:pPr>
      <w:r>
        <w:rPr>
          <w:rFonts w:ascii="宋体" w:hAnsi="宋体" w:eastAsia="宋体" w:cs="宋体"/>
          <w:spacing w:val="-1"/>
          <w:sz w:val="24"/>
          <w:szCs w:val="24"/>
        </w:rPr>
        <w:t>1、供应商提出质疑应当提交质疑函和必要的证明材料，并按财政部《质疑函范本》</w:t>
      </w:r>
      <w:r>
        <w:rPr>
          <w:rFonts w:ascii="宋体" w:hAnsi="宋体" w:eastAsia="宋体" w:cs="宋体"/>
          <w:spacing w:val="-5"/>
          <w:sz w:val="24"/>
          <w:szCs w:val="24"/>
        </w:rPr>
        <w:t>给定的格式进行填写，范本下载详见【财政部国库司（gks.mof.gov.cn）】网站〖首页•〉</w:t>
      </w:r>
      <w:r>
        <w:rPr>
          <w:rFonts w:ascii="宋体" w:hAnsi="宋体" w:eastAsia="宋体" w:cs="宋体"/>
          <w:spacing w:val="-4"/>
          <w:sz w:val="24"/>
          <w:szCs w:val="24"/>
        </w:rPr>
        <w:t>政府采购管理〗栏目中的《政府采购供应商质疑函范本》。</w:t>
      </w:r>
    </w:p>
    <w:p w14:paraId="20CD7EB6">
      <w:pPr>
        <w:spacing w:before="1" w:line="360" w:lineRule="auto"/>
        <w:ind w:left="8"/>
        <w:outlineLvl w:val="9"/>
        <w:rPr>
          <w:rFonts w:ascii="宋体" w:hAnsi="宋体" w:eastAsia="宋体" w:cs="宋体"/>
          <w:sz w:val="24"/>
          <w:szCs w:val="24"/>
        </w:rPr>
      </w:pPr>
      <w:r>
        <w:rPr>
          <w:rFonts w:ascii="宋体" w:hAnsi="宋体" w:eastAsia="宋体" w:cs="宋体"/>
          <w:spacing w:val="-1"/>
          <w:sz w:val="24"/>
          <w:szCs w:val="24"/>
        </w:rPr>
        <w:t>《政府采购供应商质疑函范本》链接地址：</w:t>
      </w:r>
    </w:p>
    <w:p w14:paraId="6352741F">
      <w:pPr>
        <w:spacing w:before="183" w:line="360" w:lineRule="auto"/>
        <w:outlineLvl w:val="9"/>
        <w:rPr>
          <w:rFonts w:ascii="宋体" w:hAnsi="宋体" w:eastAsia="宋体" w:cs="宋体"/>
          <w:sz w:val="24"/>
          <w:szCs w:val="24"/>
        </w:rPr>
      </w:pPr>
      <w:r>
        <w:fldChar w:fldCharType="begin"/>
      </w:r>
      <w:r>
        <w:instrText xml:space="preserve"> HYPERLINK "http://www.mof.gov.cn/gp/xxgkml/gks/201802/t20180201_2804587.htm" </w:instrText>
      </w:r>
      <w:r>
        <w:fldChar w:fldCharType="separate"/>
      </w:r>
      <w:r>
        <w:rPr>
          <w:rFonts w:ascii="宋体" w:hAnsi="宋体" w:eastAsia="宋体" w:cs="宋体"/>
          <w:sz w:val="24"/>
          <w:szCs w:val="24"/>
        </w:rPr>
        <w:t>http://www.mof.gov.cn/gp/xxgkml/gks/201802/t20180201_280</w:t>
      </w:r>
      <w:r>
        <w:rPr>
          <w:rFonts w:ascii="宋体" w:hAnsi="宋体" w:eastAsia="宋体" w:cs="宋体"/>
          <w:spacing w:val="-1"/>
          <w:sz w:val="24"/>
          <w:szCs w:val="24"/>
        </w:rPr>
        <w:t>4587.htm</w:t>
      </w:r>
      <w:r>
        <w:rPr>
          <w:rFonts w:ascii="宋体" w:hAnsi="宋体" w:eastAsia="宋体" w:cs="宋体"/>
          <w:spacing w:val="-1"/>
          <w:sz w:val="24"/>
          <w:szCs w:val="24"/>
        </w:rPr>
        <w:fldChar w:fldCharType="end"/>
      </w:r>
    </w:p>
    <w:p w14:paraId="01C567B5">
      <w:pPr>
        <w:spacing w:before="190" w:line="360" w:lineRule="auto"/>
        <w:ind w:left="2" w:right="225" w:firstLine="482"/>
        <w:outlineLvl w:val="9"/>
        <w:rPr>
          <w:rFonts w:ascii="宋体" w:hAnsi="宋体" w:eastAsia="宋体" w:cs="宋体"/>
          <w:sz w:val="24"/>
          <w:szCs w:val="24"/>
        </w:rPr>
      </w:pPr>
      <w:r>
        <w:rPr>
          <w:rFonts w:ascii="宋体" w:hAnsi="宋体" w:eastAsia="宋体" w:cs="宋体"/>
          <w:sz w:val="24"/>
          <w:szCs w:val="24"/>
        </w:rPr>
        <w:t>2、质疑人为自然人的，应当由本人签字；质疑人为</w:t>
      </w:r>
      <w:r>
        <w:rPr>
          <w:rFonts w:ascii="宋体" w:hAnsi="宋体" w:eastAsia="宋体" w:cs="宋体"/>
          <w:spacing w:val="-1"/>
          <w:sz w:val="24"/>
          <w:szCs w:val="24"/>
        </w:rPr>
        <w:t>法人或者其他组织的，应当由法</w:t>
      </w:r>
      <w:r>
        <w:rPr>
          <w:rFonts w:ascii="宋体" w:hAnsi="宋体" w:eastAsia="宋体" w:cs="宋体"/>
          <w:spacing w:val="-3"/>
          <w:sz w:val="24"/>
          <w:szCs w:val="24"/>
        </w:rPr>
        <w:t>定代表人、主要负责人，或者其授权代表签字或者盖章，</w:t>
      </w:r>
      <w:r>
        <w:rPr>
          <w:rFonts w:ascii="宋体" w:hAnsi="宋体" w:eastAsia="宋体" w:cs="宋体"/>
          <w:spacing w:val="-4"/>
          <w:sz w:val="24"/>
          <w:szCs w:val="24"/>
        </w:rPr>
        <w:t>并加盖公章。授权代表办理质疑</w:t>
      </w:r>
      <w:r>
        <w:rPr>
          <w:rFonts w:ascii="宋体" w:hAnsi="宋体" w:eastAsia="宋体" w:cs="宋体"/>
          <w:spacing w:val="-3"/>
          <w:sz w:val="24"/>
          <w:szCs w:val="24"/>
        </w:rPr>
        <w:t>事项时，除提交质疑函外，还应当提交授权委托书及授权</w:t>
      </w:r>
      <w:r>
        <w:rPr>
          <w:rFonts w:ascii="宋体" w:hAnsi="宋体" w:eastAsia="宋体" w:cs="宋体"/>
          <w:spacing w:val="-4"/>
          <w:sz w:val="24"/>
          <w:szCs w:val="24"/>
        </w:rPr>
        <w:t>代表的有效身份证明，授权委托</w:t>
      </w:r>
      <w:r>
        <w:rPr>
          <w:rFonts w:ascii="宋体" w:hAnsi="宋体" w:eastAsia="宋体" w:cs="宋体"/>
          <w:spacing w:val="-1"/>
          <w:sz w:val="24"/>
          <w:szCs w:val="24"/>
        </w:rPr>
        <w:t>书应当载明委托代理的具体权限和事项。</w:t>
      </w:r>
    </w:p>
    <w:p w14:paraId="7597818E">
      <w:pPr>
        <w:spacing w:before="184" w:line="360" w:lineRule="auto"/>
        <w:ind w:left="485"/>
        <w:outlineLvl w:val="9"/>
        <w:rPr>
          <w:rFonts w:ascii="宋体" w:hAnsi="宋体" w:eastAsia="宋体" w:cs="宋体"/>
          <w:sz w:val="24"/>
          <w:szCs w:val="24"/>
        </w:rPr>
      </w:pPr>
      <w:r>
        <w:rPr>
          <w:rFonts w:ascii="宋体" w:hAnsi="宋体" w:eastAsia="宋体" w:cs="宋体"/>
          <w:spacing w:val="-2"/>
          <w:sz w:val="24"/>
          <w:szCs w:val="24"/>
        </w:rPr>
        <w:t>2.1质疑函应当包括下列内容：</w:t>
      </w:r>
    </w:p>
    <w:p w14:paraId="3CA77679">
      <w:pPr>
        <w:spacing w:before="183" w:line="360" w:lineRule="auto"/>
        <w:ind w:left="494"/>
        <w:outlineLvl w:val="9"/>
        <w:rPr>
          <w:rFonts w:ascii="宋体" w:hAnsi="宋体" w:eastAsia="宋体" w:cs="宋体"/>
          <w:sz w:val="24"/>
          <w:szCs w:val="24"/>
        </w:rPr>
      </w:pPr>
      <w:r>
        <w:rPr>
          <w:rFonts w:ascii="宋体" w:hAnsi="宋体" w:eastAsia="宋体" w:cs="宋体"/>
          <w:spacing w:val="-1"/>
          <w:sz w:val="24"/>
          <w:szCs w:val="24"/>
        </w:rPr>
        <w:t>（1）供应商的姓名或者名称、地址、邮编、联系人及联系电话；</w:t>
      </w:r>
    </w:p>
    <w:p w14:paraId="3DFBF090">
      <w:pPr>
        <w:spacing w:before="184" w:line="360" w:lineRule="auto"/>
        <w:ind w:left="494"/>
        <w:outlineLvl w:val="9"/>
        <w:rPr>
          <w:rFonts w:ascii="宋体" w:hAnsi="宋体" w:eastAsia="宋体" w:cs="宋体"/>
          <w:sz w:val="24"/>
          <w:szCs w:val="24"/>
        </w:rPr>
      </w:pPr>
      <w:r>
        <w:rPr>
          <w:rFonts w:ascii="宋体" w:hAnsi="宋体" w:eastAsia="宋体" w:cs="宋体"/>
          <w:spacing w:val="-2"/>
          <w:sz w:val="24"/>
          <w:szCs w:val="24"/>
        </w:rPr>
        <w:t>（2）质疑项目的名称、编号；</w:t>
      </w:r>
    </w:p>
    <w:p w14:paraId="5538AEEE">
      <w:pPr>
        <w:spacing w:before="183" w:line="360" w:lineRule="auto"/>
        <w:ind w:left="494"/>
        <w:outlineLvl w:val="9"/>
        <w:rPr>
          <w:rFonts w:ascii="宋体" w:hAnsi="宋体" w:eastAsia="宋体" w:cs="宋体"/>
          <w:sz w:val="24"/>
          <w:szCs w:val="24"/>
        </w:rPr>
      </w:pPr>
      <w:r>
        <w:rPr>
          <w:rFonts w:ascii="宋体" w:hAnsi="宋体" w:eastAsia="宋体" w:cs="宋体"/>
          <w:spacing w:val="-1"/>
          <w:sz w:val="24"/>
          <w:szCs w:val="24"/>
        </w:rPr>
        <w:t>（3）具体、明确的质疑事项和与质疑事项相关的请求；</w:t>
      </w:r>
    </w:p>
    <w:p w14:paraId="773431A6">
      <w:pPr>
        <w:spacing w:before="182" w:line="360" w:lineRule="auto"/>
        <w:ind w:left="494"/>
        <w:outlineLvl w:val="9"/>
        <w:rPr>
          <w:rFonts w:ascii="宋体" w:hAnsi="宋体" w:eastAsia="宋体" w:cs="宋体"/>
          <w:sz w:val="24"/>
          <w:szCs w:val="24"/>
        </w:rPr>
      </w:pPr>
      <w:r>
        <w:rPr>
          <w:rFonts w:ascii="宋体" w:hAnsi="宋体" w:eastAsia="宋体" w:cs="宋体"/>
          <w:spacing w:val="-3"/>
          <w:sz w:val="24"/>
          <w:szCs w:val="24"/>
        </w:rPr>
        <w:t>（4）事实依据；</w:t>
      </w:r>
    </w:p>
    <w:p w14:paraId="3A35692B">
      <w:pPr>
        <w:spacing w:before="184" w:line="360" w:lineRule="auto"/>
        <w:ind w:left="494"/>
        <w:outlineLvl w:val="9"/>
        <w:rPr>
          <w:rFonts w:ascii="宋体" w:hAnsi="宋体" w:eastAsia="宋体" w:cs="宋体"/>
          <w:sz w:val="24"/>
          <w:szCs w:val="24"/>
        </w:rPr>
      </w:pPr>
      <w:r>
        <w:rPr>
          <w:rFonts w:ascii="宋体" w:hAnsi="宋体" w:eastAsia="宋体" w:cs="宋体"/>
          <w:spacing w:val="-2"/>
          <w:sz w:val="24"/>
          <w:szCs w:val="24"/>
        </w:rPr>
        <w:t>（5）必要的法律依据；</w:t>
      </w:r>
    </w:p>
    <w:p w14:paraId="61ACA811">
      <w:pPr>
        <w:spacing w:before="184" w:line="360" w:lineRule="auto"/>
        <w:ind w:left="494"/>
        <w:outlineLvl w:val="9"/>
        <w:rPr>
          <w:rFonts w:ascii="宋体" w:hAnsi="宋体" w:eastAsia="宋体" w:cs="宋体"/>
          <w:spacing w:val="-2"/>
          <w:sz w:val="24"/>
          <w:szCs w:val="24"/>
        </w:rPr>
      </w:pPr>
      <w:r>
        <w:rPr>
          <w:rFonts w:ascii="宋体" w:hAnsi="宋体" w:eastAsia="宋体" w:cs="宋体"/>
          <w:spacing w:val="-2"/>
          <w:sz w:val="24"/>
          <w:szCs w:val="24"/>
        </w:rPr>
        <w:t>（6）提出质疑的日期。</w:t>
      </w:r>
    </w:p>
    <w:p w14:paraId="46C79922">
      <w:pPr>
        <w:spacing w:before="122" w:line="360" w:lineRule="auto"/>
        <w:ind w:left="3" w:right="80" w:firstLine="481"/>
        <w:outlineLvl w:val="9"/>
        <w:rPr>
          <w:rFonts w:ascii="宋体" w:hAnsi="宋体" w:eastAsia="宋体" w:cs="宋体"/>
          <w:sz w:val="24"/>
          <w:szCs w:val="24"/>
        </w:rPr>
      </w:pPr>
      <w:r>
        <w:rPr>
          <w:rFonts w:ascii="宋体" w:hAnsi="宋体" w:eastAsia="宋体" w:cs="宋体"/>
          <w:sz w:val="24"/>
          <w:szCs w:val="24"/>
        </w:rPr>
        <w:t>3、在法定质疑期内，针对同一采购程序环节的</w:t>
      </w:r>
      <w:r>
        <w:rPr>
          <w:rFonts w:ascii="宋体" w:hAnsi="宋体" w:eastAsia="宋体" w:cs="宋体"/>
          <w:spacing w:val="-1"/>
          <w:sz w:val="24"/>
          <w:szCs w:val="24"/>
        </w:rPr>
        <w:t>质疑应当一次性提出。采购代理机构</w:t>
      </w:r>
      <w:r>
        <w:rPr>
          <w:rFonts w:ascii="宋体" w:hAnsi="宋体" w:eastAsia="宋体" w:cs="宋体"/>
          <w:spacing w:val="-4"/>
          <w:sz w:val="24"/>
          <w:szCs w:val="24"/>
        </w:rPr>
        <w:t>或采购人将在收到书面质疑后7个工作日内做出答复，并以书面形式通知质疑人和其</w:t>
      </w:r>
      <w:r>
        <w:rPr>
          <w:rFonts w:ascii="宋体" w:hAnsi="宋体" w:eastAsia="宋体" w:cs="宋体"/>
          <w:spacing w:val="-5"/>
          <w:sz w:val="24"/>
          <w:szCs w:val="24"/>
        </w:rPr>
        <w:t>他有</w:t>
      </w:r>
      <w:r>
        <w:rPr>
          <w:rFonts w:ascii="宋体" w:hAnsi="宋体" w:eastAsia="宋体" w:cs="宋体"/>
          <w:spacing w:val="-3"/>
          <w:sz w:val="24"/>
          <w:szCs w:val="24"/>
        </w:rPr>
        <w:t>关供应商。</w:t>
      </w:r>
    </w:p>
    <w:p w14:paraId="1AFDD8CD">
      <w:pPr>
        <w:spacing w:before="183" w:line="360" w:lineRule="auto"/>
        <w:ind w:left="480"/>
        <w:outlineLvl w:val="9"/>
        <w:rPr>
          <w:rFonts w:ascii="宋体" w:hAnsi="宋体" w:eastAsia="宋体" w:cs="宋体"/>
          <w:sz w:val="24"/>
          <w:szCs w:val="24"/>
        </w:rPr>
      </w:pPr>
      <w:r>
        <w:rPr>
          <w:rFonts w:ascii="宋体" w:hAnsi="宋体" w:eastAsia="宋体" w:cs="宋体"/>
          <w:sz w:val="24"/>
          <w:szCs w:val="24"/>
        </w:rPr>
        <w:t>4、有下列情形之一的，属于无效质疑，采购代理机</w:t>
      </w:r>
      <w:r>
        <w:rPr>
          <w:rFonts w:ascii="宋体" w:hAnsi="宋体" w:eastAsia="宋体" w:cs="宋体"/>
          <w:spacing w:val="-1"/>
          <w:sz w:val="24"/>
          <w:szCs w:val="24"/>
        </w:rPr>
        <w:t>构和采购人不予受理：</w:t>
      </w:r>
    </w:p>
    <w:p w14:paraId="320893D8">
      <w:pPr>
        <w:spacing w:before="183" w:line="360" w:lineRule="auto"/>
        <w:ind w:left="492"/>
        <w:outlineLvl w:val="9"/>
        <w:rPr>
          <w:rFonts w:ascii="宋体" w:hAnsi="宋体" w:eastAsia="宋体" w:cs="宋体"/>
          <w:sz w:val="24"/>
          <w:szCs w:val="24"/>
        </w:rPr>
      </w:pPr>
      <w:r>
        <w:rPr>
          <w:rFonts w:ascii="宋体" w:hAnsi="宋体" w:eastAsia="宋体" w:cs="宋体"/>
          <w:spacing w:val="-1"/>
          <w:sz w:val="24"/>
          <w:szCs w:val="24"/>
        </w:rPr>
        <w:t>（1）质疑人不是参与本次政府采购项目的供应商或潜在供应商；</w:t>
      </w:r>
    </w:p>
    <w:p w14:paraId="660C981F">
      <w:pPr>
        <w:spacing w:before="184" w:line="360" w:lineRule="auto"/>
        <w:ind w:left="492"/>
        <w:outlineLvl w:val="9"/>
        <w:rPr>
          <w:rFonts w:ascii="宋体" w:hAnsi="宋体" w:eastAsia="宋体" w:cs="宋体"/>
          <w:sz w:val="24"/>
          <w:szCs w:val="24"/>
        </w:rPr>
      </w:pPr>
      <w:r>
        <w:rPr>
          <w:rFonts w:ascii="宋体" w:hAnsi="宋体" w:eastAsia="宋体" w:cs="宋体"/>
          <w:spacing w:val="-2"/>
          <w:sz w:val="24"/>
          <w:szCs w:val="24"/>
        </w:rPr>
        <w:t>（2）质疑人与质疑事项不存在利害关系的；</w:t>
      </w:r>
    </w:p>
    <w:p w14:paraId="62C8B3E5">
      <w:pPr>
        <w:spacing w:before="183" w:line="360" w:lineRule="auto"/>
        <w:ind w:left="492"/>
        <w:outlineLvl w:val="9"/>
        <w:rPr>
          <w:rFonts w:ascii="宋体" w:hAnsi="宋体" w:eastAsia="宋体" w:cs="宋体"/>
          <w:sz w:val="24"/>
          <w:szCs w:val="24"/>
        </w:rPr>
      </w:pPr>
      <w:r>
        <w:rPr>
          <w:rFonts w:ascii="宋体" w:hAnsi="宋体" w:eastAsia="宋体" w:cs="宋体"/>
          <w:spacing w:val="-2"/>
          <w:sz w:val="24"/>
          <w:szCs w:val="24"/>
        </w:rPr>
        <w:t>（3）未在法定期限内提出质疑的；</w:t>
      </w:r>
    </w:p>
    <w:p w14:paraId="6861D27C">
      <w:pPr>
        <w:spacing w:before="183" w:line="360" w:lineRule="auto"/>
        <w:ind w:right="80" w:firstLine="491"/>
        <w:outlineLvl w:val="9"/>
        <w:rPr>
          <w:rFonts w:ascii="宋体" w:hAnsi="宋体" w:eastAsia="宋体" w:cs="宋体"/>
          <w:sz w:val="24"/>
          <w:szCs w:val="24"/>
        </w:rPr>
      </w:pPr>
      <w:r>
        <w:rPr>
          <w:rFonts w:ascii="宋体" w:hAnsi="宋体" w:eastAsia="宋体" w:cs="宋体"/>
          <w:spacing w:val="-1"/>
          <w:sz w:val="24"/>
          <w:szCs w:val="24"/>
        </w:rPr>
        <w:t>（4）质疑未以书面形式提出，或质疑函主要内容构成不完整的，或缺乏必要的证明材料及证明材料不完整的；</w:t>
      </w:r>
    </w:p>
    <w:p w14:paraId="46891032">
      <w:pPr>
        <w:spacing w:before="183" w:line="360" w:lineRule="auto"/>
        <w:ind w:left="492"/>
        <w:outlineLvl w:val="9"/>
        <w:rPr>
          <w:rFonts w:ascii="宋体" w:hAnsi="宋体" w:eastAsia="宋体" w:cs="宋体"/>
          <w:sz w:val="24"/>
          <w:szCs w:val="24"/>
        </w:rPr>
      </w:pPr>
      <w:r>
        <w:rPr>
          <w:rFonts w:ascii="宋体" w:hAnsi="宋体" w:eastAsia="宋体" w:cs="宋体"/>
          <w:spacing w:val="-1"/>
          <w:sz w:val="24"/>
          <w:szCs w:val="24"/>
        </w:rPr>
        <w:t>（5）质疑函没有合法有效的签字、盖章或授权的；</w:t>
      </w:r>
    </w:p>
    <w:p w14:paraId="7C3E1285">
      <w:pPr>
        <w:spacing w:before="183" w:line="360" w:lineRule="auto"/>
        <w:ind w:left="492"/>
        <w:outlineLvl w:val="9"/>
        <w:rPr>
          <w:rFonts w:ascii="宋体" w:hAnsi="宋体" w:eastAsia="宋体" w:cs="宋体"/>
          <w:sz w:val="24"/>
          <w:szCs w:val="24"/>
        </w:rPr>
      </w:pPr>
      <w:r>
        <w:rPr>
          <w:rFonts w:ascii="宋体" w:hAnsi="宋体" w:eastAsia="宋体" w:cs="宋体"/>
          <w:spacing w:val="-2"/>
          <w:sz w:val="24"/>
          <w:szCs w:val="24"/>
        </w:rPr>
        <w:t>（6）以非法手段取得证据、材料的；</w:t>
      </w:r>
    </w:p>
    <w:p w14:paraId="6EC335FD">
      <w:pPr>
        <w:spacing w:before="184" w:line="360" w:lineRule="auto"/>
        <w:ind w:left="492"/>
        <w:outlineLvl w:val="9"/>
        <w:rPr>
          <w:rFonts w:ascii="宋体" w:hAnsi="宋体" w:eastAsia="宋体" w:cs="宋体"/>
          <w:sz w:val="24"/>
          <w:szCs w:val="24"/>
        </w:rPr>
      </w:pPr>
      <w:r>
        <w:rPr>
          <w:rFonts w:ascii="宋体" w:hAnsi="宋体" w:eastAsia="宋体" w:cs="宋体"/>
          <w:spacing w:val="-1"/>
          <w:sz w:val="24"/>
          <w:szCs w:val="24"/>
        </w:rPr>
        <w:t>（7）质疑答复后，同一质疑人就同一事项再次提出质疑的；</w:t>
      </w:r>
    </w:p>
    <w:p w14:paraId="32262E6A">
      <w:pPr>
        <w:spacing w:before="183" w:line="360" w:lineRule="auto"/>
        <w:ind w:left="492"/>
        <w:outlineLvl w:val="9"/>
        <w:rPr>
          <w:rFonts w:ascii="宋体" w:hAnsi="宋体" w:eastAsia="宋体" w:cs="宋体"/>
          <w:sz w:val="24"/>
          <w:szCs w:val="24"/>
        </w:rPr>
      </w:pPr>
      <w:r>
        <w:rPr>
          <w:rFonts w:ascii="宋体" w:hAnsi="宋体" w:eastAsia="宋体" w:cs="宋体"/>
          <w:spacing w:val="-1"/>
          <w:sz w:val="24"/>
          <w:szCs w:val="24"/>
        </w:rPr>
        <w:t>（8）不符合法律、法规、规章和政府采购监管机构规定的其他条件的。</w:t>
      </w:r>
    </w:p>
    <w:p w14:paraId="0C850DE8">
      <w:pPr>
        <w:spacing w:before="184" w:line="360" w:lineRule="auto"/>
        <w:ind w:left="1" w:firstLine="483"/>
        <w:outlineLvl w:val="9"/>
        <w:rPr>
          <w:rFonts w:ascii="宋体" w:hAnsi="宋体" w:eastAsia="宋体" w:cs="宋体"/>
          <w:sz w:val="24"/>
          <w:szCs w:val="24"/>
        </w:rPr>
      </w:pPr>
      <w:r>
        <w:rPr>
          <w:rFonts w:ascii="宋体" w:hAnsi="宋体" w:eastAsia="宋体" w:cs="宋体"/>
          <w:sz w:val="24"/>
          <w:szCs w:val="24"/>
        </w:rPr>
        <w:t>5、质疑人对采购代理机构或采购人的答复不满</w:t>
      </w:r>
      <w:r>
        <w:rPr>
          <w:rFonts w:ascii="宋体" w:hAnsi="宋体" w:eastAsia="宋体" w:cs="宋体"/>
          <w:spacing w:val="-1"/>
          <w:sz w:val="24"/>
          <w:szCs w:val="24"/>
        </w:rPr>
        <w:t>意，以及采购代理机构或采购人未在</w:t>
      </w:r>
      <w:r>
        <w:rPr>
          <w:rFonts w:ascii="宋体" w:hAnsi="宋体" w:eastAsia="宋体" w:cs="宋体"/>
          <w:spacing w:val="-5"/>
          <w:sz w:val="24"/>
          <w:szCs w:val="24"/>
        </w:rPr>
        <w:t>规定时间内做出答复的，可以在答复期满后15个工作日内向政府采购监</w:t>
      </w:r>
      <w:r>
        <w:rPr>
          <w:rFonts w:ascii="宋体" w:hAnsi="宋体" w:eastAsia="宋体" w:cs="宋体"/>
          <w:spacing w:val="-6"/>
          <w:sz w:val="24"/>
          <w:szCs w:val="24"/>
        </w:rPr>
        <w:t>管机构提出投诉。</w:t>
      </w:r>
    </w:p>
    <w:p w14:paraId="2364C605">
      <w:pPr>
        <w:spacing w:before="184" w:line="360" w:lineRule="auto"/>
        <w:ind w:left="482"/>
        <w:outlineLvl w:val="9"/>
        <w:rPr>
          <w:rFonts w:ascii="宋体" w:hAnsi="宋体" w:eastAsia="宋体" w:cs="宋体"/>
          <w:sz w:val="24"/>
          <w:szCs w:val="24"/>
        </w:rPr>
      </w:pPr>
      <w:r>
        <w:rPr>
          <w:rFonts w:ascii="宋体" w:hAnsi="宋体" w:eastAsia="宋体" w:cs="宋体"/>
          <w:spacing w:val="-1"/>
          <w:sz w:val="24"/>
          <w:szCs w:val="24"/>
        </w:rPr>
        <w:t>6、供应商投诉的事项不得超出已质疑事项的范围。</w:t>
      </w:r>
    </w:p>
    <w:p w14:paraId="7A2A941D">
      <w:pPr>
        <w:spacing w:before="183" w:line="360" w:lineRule="auto"/>
        <w:ind w:left="486"/>
        <w:outlineLvl w:val="9"/>
        <w:rPr>
          <w:rFonts w:ascii="宋体" w:hAnsi="宋体" w:eastAsia="宋体" w:cs="宋体"/>
          <w:sz w:val="24"/>
          <w:szCs w:val="24"/>
        </w:rPr>
      </w:pPr>
      <w:r>
        <w:rPr>
          <w:rFonts w:ascii="宋体" w:hAnsi="宋体" w:eastAsia="宋体" w:cs="宋体"/>
          <w:spacing w:val="-1"/>
          <w:sz w:val="24"/>
          <w:szCs w:val="24"/>
        </w:rPr>
        <w:t>7、对捏造事实、提供虚假材料进行质疑、投诉的行为予以严肃处理：</w:t>
      </w:r>
    </w:p>
    <w:p w14:paraId="748C38E5">
      <w:pPr>
        <w:spacing w:before="184" w:line="360" w:lineRule="auto"/>
        <w:ind w:right="18" w:firstLine="2"/>
        <w:jc w:val="both"/>
        <w:outlineLvl w:val="9"/>
        <w:rPr>
          <w:rFonts w:ascii="宋体" w:hAnsi="宋体" w:eastAsia="宋体" w:cs="宋体"/>
          <w:sz w:val="24"/>
          <w:szCs w:val="24"/>
        </w:rPr>
      </w:pPr>
      <w:r>
        <w:rPr>
          <w:rFonts w:ascii="宋体" w:hAnsi="宋体" w:eastAsia="宋体" w:cs="宋体"/>
          <w:spacing w:val="-3"/>
          <w:sz w:val="24"/>
          <w:szCs w:val="24"/>
        </w:rPr>
        <w:t>依据《中华人民共和国政府采购法》及其实施条例、</w:t>
      </w:r>
      <w:r>
        <w:rPr>
          <w:rFonts w:ascii="宋体" w:hAnsi="宋体" w:eastAsia="宋体" w:cs="宋体"/>
          <w:spacing w:val="-4"/>
          <w:sz w:val="24"/>
          <w:szCs w:val="24"/>
        </w:rPr>
        <w:t>《政府采购质疑和投诉办法》等法律</w:t>
      </w:r>
      <w:r>
        <w:rPr>
          <w:rFonts w:ascii="宋体" w:hAnsi="宋体" w:eastAsia="宋体" w:cs="宋体"/>
          <w:spacing w:val="-3"/>
          <w:sz w:val="24"/>
          <w:szCs w:val="24"/>
        </w:rPr>
        <w:t>法规文件的规定，供应商质疑、投诉应当有明确的请求和必</w:t>
      </w:r>
      <w:r>
        <w:rPr>
          <w:rFonts w:ascii="宋体" w:hAnsi="宋体" w:eastAsia="宋体" w:cs="宋体"/>
          <w:spacing w:val="-4"/>
          <w:sz w:val="24"/>
          <w:szCs w:val="24"/>
        </w:rPr>
        <w:t>要的证明材料。投诉人在全国</w:t>
      </w:r>
      <w:r>
        <w:rPr>
          <w:rFonts w:ascii="宋体" w:hAnsi="宋体" w:eastAsia="宋体" w:cs="宋体"/>
          <w:spacing w:val="-3"/>
          <w:sz w:val="24"/>
          <w:szCs w:val="24"/>
        </w:rPr>
        <w:t>范围内十二个月内三次以上投诉查无实据的，由财政部门列</w:t>
      </w:r>
      <w:r>
        <w:rPr>
          <w:rFonts w:ascii="宋体" w:hAnsi="宋体" w:eastAsia="宋体" w:cs="宋体"/>
          <w:spacing w:val="-4"/>
          <w:sz w:val="24"/>
          <w:szCs w:val="24"/>
        </w:rPr>
        <w:t>入不良行为记录名单。对于捏</w:t>
      </w:r>
      <w:r>
        <w:rPr>
          <w:rFonts w:ascii="宋体" w:hAnsi="宋体" w:eastAsia="宋体" w:cs="宋体"/>
          <w:spacing w:val="-8"/>
          <w:sz w:val="24"/>
          <w:szCs w:val="24"/>
        </w:rPr>
        <w:t>造事实、提供虚假材料或者以非法手段取得证明材料进行投诉的，财政部门应当予以驳回，</w:t>
      </w:r>
      <w:r>
        <w:rPr>
          <w:rFonts w:ascii="宋体" w:hAnsi="宋体" w:eastAsia="宋体" w:cs="宋体"/>
          <w:sz w:val="24"/>
          <w:szCs w:val="24"/>
        </w:rPr>
        <w:t>并将其列入不良行为记录名单，禁止其一至三年</w:t>
      </w:r>
      <w:r>
        <w:rPr>
          <w:rFonts w:ascii="宋体" w:hAnsi="宋体" w:eastAsia="宋体" w:cs="宋体"/>
          <w:spacing w:val="-1"/>
          <w:sz w:val="24"/>
          <w:szCs w:val="24"/>
        </w:rPr>
        <w:t>内参加政府采购活动。</w:t>
      </w:r>
    </w:p>
    <w:p w14:paraId="11AD8A82">
      <w:pPr>
        <w:spacing w:before="1" w:line="360" w:lineRule="auto"/>
        <w:ind w:left="481"/>
        <w:outlineLvl w:val="9"/>
        <w:rPr>
          <w:rFonts w:ascii="宋体" w:hAnsi="宋体" w:eastAsia="宋体" w:cs="宋体"/>
          <w:sz w:val="24"/>
          <w:szCs w:val="24"/>
        </w:rPr>
      </w:pPr>
      <w:r>
        <w:rPr>
          <w:rFonts w:ascii="宋体" w:hAnsi="宋体" w:eastAsia="宋体" w:cs="宋体"/>
          <w:spacing w:val="-1"/>
          <w:sz w:val="24"/>
          <w:szCs w:val="24"/>
        </w:rPr>
        <w:t>8、对捏造事实诬告陷害他人、诽谤他人的法律适用：</w:t>
      </w:r>
    </w:p>
    <w:p w14:paraId="2F6C564C">
      <w:pPr>
        <w:spacing w:before="185" w:line="360" w:lineRule="auto"/>
        <w:ind w:left="2" w:right="80" w:firstLine="4"/>
        <w:jc w:val="both"/>
        <w:outlineLvl w:val="9"/>
        <w:rPr>
          <w:rFonts w:ascii="宋体" w:hAnsi="宋体" w:eastAsia="宋体" w:cs="宋体"/>
          <w:sz w:val="24"/>
          <w:szCs w:val="24"/>
        </w:rPr>
      </w:pPr>
      <w:r>
        <w:rPr>
          <w:rFonts w:ascii="宋体" w:hAnsi="宋体" w:eastAsia="宋体" w:cs="宋体"/>
          <w:spacing w:val="-4"/>
          <w:sz w:val="24"/>
          <w:szCs w:val="24"/>
        </w:rPr>
        <w:t>《中华人民共和国刑法》第243条【诬告陷害罪】捏造事实诬告陷害他人，意图使他人受</w:t>
      </w:r>
      <w:r>
        <w:rPr>
          <w:rFonts w:ascii="宋体" w:hAnsi="宋体" w:eastAsia="宋体" w:cs="宋体"/>
          <w:spacing w:val="-3"/>
          <w:sz w:val="24"/>
          <w:szCs w:val="24"/>
        </w:rPr>
        <w:t>刑事追究，情节严重的，处三年以下有期徒刑、拘役</w:t>
      </w:r>
      <w:r>
        <w:rPr>
          <w:rFonts w:ascii="宋体" w:hAnsi="宋体" w:eastAsia="宋体" w:cs="宋体"/>
          <w:spacing w:val="-4"/>
          <w:sz w:val="24"/>
          <w:szCs w:val="24"/>
        </w:rPr>
        <w:t>或者管制；造成严重后果的，处三年</w:t>
      </w:r>
      <w:r>
        <w:rPr>
          <w:rFonts w:ascii="宋体" w:hAnsi="宋体" w:eastAsia="宋体" w:cs="宋体"/>
          <w:spacing w:val="-2"/>
          <w:sz w:val="24"/>
          <w:szCs w:val="24"/>
        </w:rPr>
        <w:t>以上十年以下有期徒刑。</w:t>
      </w:r>
    </w:p>
    <w:p w14:paraId="69A35AF8">
      <w:pPr>
        <w:numPr>
          <w:ilvl w:val="0"/>
          <w:numId w:val="1"/>
        </w:numPr>
        <w:spacing w:before="182" w:line="360" w:lineRule="auto"/>
        <w:outlineLvl w:val="9"/>
        <w:rPr>
          <w:rFonts w:ascii="宋体" w:hAnsi="宋体" w:eastAsia="宋体" w:cs="宋体"/>
          <w:sz w:val="24"/>
          <w:szCs w:val="24"/>
        </w:rPr>
      </w:pPr>
      <w:r>
        <w:rPr>
          <w:rFonts w:ascii="宋体" w:hAnsi="宋体" w:eastAsia="宋体" w:cs="宋体"/>
          <w:spacing w:val="-4"/>
          <w:sz w:val="24"/>
          <w:szCs w:val="24"/>
        </w:rPr>
        <w:t>《中华人民共和国刑法》第246条【侮辱罪、诽谤罪】以暴力或者其他方法公然侮辱他人</w:t>
      </w:r>
      <w:r>
        <w:rPr>
          <w:rFonts w:ascii="宋体" w:hAnsi="宋体" w:eastAsia="宋体" w:cs="宋体"/>
          <w:spacing w:val="-3"/>
          <w:sz w:val="24"/>
          <w:szCs w:val="24"/>
        </w:rPr>
        <w:t>或者捏造事实诽谤他人，情节严重的，处三年以下有期</w:t>
      </w:r>
      <w:r>
        <w:rPr>
          <w:rFonts w:ascii="宋体" w:hAnsi="宋体" w:eastAsia="宋体" w:cs="宋体"/>
          <w:spacing w:val="-4"/>
          <w:sz w:val="24"/>
          <w:szCs w:val="24"/>
        </w:rPr>
        <w:t>徒刑、拘役、管制或者剥夺政治权</w:t>
      </w:r>
      <w:r>
        <w:rPr>
          <w:rFonts w:ascii="宋体" w:hAnsi="宋体" w:eastAsia="宋体" w:cs="宋体"/>
          <w:spacing w:val="-6"/>
          <w:sz w:val="24"/>
          <w:szCs w:val="24"/>
        </w:rPr>
        <w:t>利。</w:t>
      </w:r>
    </w:p>
    <w:p w14:paraId="065DF041">
      <w:pPr>
        <w:numPr>
          <w:ilvl w:val="0"/>
          <w:numId w:val="1"/>
        </w:numPr>
        <w:spacing w:before="182" w:line="360" w:lineRule="auto"/>
        <w:outlineLvl w:val="9"/>
        <w:rPr>
          <w:rFonts w:ascii="宋体" w:hAnsi="宋体" w:eastAsia="宋体" w:cs="宋体"/>
          <w:sz w:val="24"/>
          <w:szCs w:val="24"/>
        </w:rPr>
      </w:pPr>
      <w:r>
        <w:rPr>
          <w:rFonts w:ascii="宋体" w:hAnsi="宋体" w:eastAsia="宋体" w:cs="宋体"/>
          <w:spacing w:val="-3"/>
          <w:sz w:val="24"/>
          <w:szCs w:val="24"/>
        </w:rPr>
        <w:t>质疑函递交地址：</w:t>
      </w:r>
      <w:r>
        <w:rPr>
          <w:rFonts w:hint="eastAsia" w:ascii="宋体" w:hAnsi="宋体" w:eastAsia="宋体" w:cs="宋体"/>
          <w:spacing w:val="-3"/>
          <w:sz w:val="24"/>
          <w:szCs w:val="24"/>
          <w:lang w:val="en-US" w:eastAsia="zh-CN"/>
        </w:rPr>
        <w:t>西安市雁塔区太白南路紫薇尚层西一楼一单元605室</w:t>
      </w:r>
    </w:p>
    <w:p w14:paraId="52BB99D8">
      <w:pPr>
        <w:numPr>
          <w:ilvl w:val="0"/>
          <w:numId w:val="1"/>
        </w:numPr>
        <w:spacing w:before="182" w:line="360" w:lineRule="auto"/>
        <w:outlineLvl w:val="9"/>
        <w:rPr>
          <w:rFonts w:hint="default" w:ascii="宋体" w:hAnsi="宋体" w:eastAsia="宋体" w:cs="宋体"/>
          <w:sz w:val="24"/>
          <w:szCs w:val="24"/>
          <w:lang w:val="en-US"/>
        </w:rPr>
      </w:pPr>
      <w:r>
        <w:rPr>
          <w:rFonts w:ascii="宋体" w:hAnsi="宋体" w:eastAsia="宋体" w:cs="宋体"/>
          <w:spacing w:val="-2"/>
          <w:sz w:val="24"/>
          <w:szCs w:val="24"/>
        </w:rPr>
        <w:t>联系人：</w:t>
      </w:r>
      <w:r>
        <w:rPr>
          <w:rFonts w:hint="eastAsia" w:ascii="宋体" w:hAnsi="宋体" w:eastAsia="宋体" w:cs="宋体"/>
          <w:spacing w:val="-2"/>
          <w:sz w:val="24"/>
          <w:szCs w:val="24"/>
          <w:lang w:val="en-US" w:eastAsia="zh-CN"/>
        </w:rPr>
        <w:t>袁鑫</w:t>
      </w:r>
    </w:p>
    <w:p w14:paraId="3C383BB1">
      <w:pPr>
        <w:spacing w:before="181" w:line="360" w:lineRule="auto"/>
        <w:outlineLvl w:val="9"/>
        <w:rPr>
          <w:rFonts w:hint="default" w:ascii="宋体" w:hAnsi="宋体" w:eastAsia="宋体" w:cs="宋体"/>
          <w:spacing w:val="-1"/>
          <w:sz w:val="24"/>
          <w:szCs w:val="24"/>
          <w:lang w:val="en-US" w:eastAsia="zh-CN"/>
        </w:rPr>
      </w:pPr>
      <w:r>
        <w:rPr>
          <w:rFonts w:ascii="宋体" w:hAnsi="宋体" w:eastAsia="宋体" w:cs="宋体"/>
          <w:spacing w:val="-1"/>
          <w:sz w:val="24"/>
          <w:szCs w:val="24"/>
        </w:rPr>
        <w:t>联系方式：</w:t>
      </w:r>
      <w:r>
        <w:rPr>
          <w:rFonts w:hint="eastAsia" w:ascii="宋体" w:hAnsi="宋体" w:eastAsia="宋体" w:cs="宋体"/>
          <w:spacing w:val="-1"/>
          <w:sz w:val="24"/>
          <w:szCs w:val="24"/>
          <w:lang w:val="en-US" w:eastAsia="zh-CN"/>
        </w:rPr>
        <w:t>19992477710</w:t>
      </w:r>
    </w:p>
    <w:p w14:paraId="30D96D29">
      <w:pPr>
        <w:spacing w:line="360" w:lineRule="auto"/>
        <w:outlineLvl w:val="9"/>
        <w:rPr>
          <w:rFonts w:ascii="宋体" w:hAnsi="宋体" w:eastAsia="宋体" w:cs="宋体"/>
          <w:sz w:val="24"/>
          <w:szCs w:val="24"/>
        </w:rPr>
        <w:sectPr>
          <w:footerReference r:id="rId7" w:type="default"/>
          <w:pgSz w:w="11906" w:h="16838"/>
          <w:pgMar w:top="1429" w:right="1786" w:bottom="1372" w:left="1786" w:header="0" w:footer="1208" w:gutter="0"/>
          <w:pgNumType w:fmt="decimal"/>
          <w:cols w:space="0" w:num="1"/>
          <w:rtlGutter w:val="0"/>
          <w:docGrid w:linePitch="0" w:charSpace="0"/>
        </w:sectPr>
      </w:pPr>
    </w:p>
    <w:p w14:paraId="66652E7D">
      <w:pPr>
        <w:spacing w:before="149" w:line="360" w:lineRule="auto"/>
        <w:jc w:val="center"/>
        <w:outlineLvl w:val="0"/>
        <w:rPr>
          <w:rFonts w:ascii="宋体" w:hAnsi="宋体" w:eastAsia="宋体" w:cs="宋体"/>
          <w:b/>
          <w:bCs/>
          <w:spacing w:val="6"/>
          <w:sz w:val="35"/>
          <w:szCs w:val="35"/>
        </w:rPr>
      </w:pPr>
      <w:bookmarkStart w:id="5" w:name="bookmark4"/>
      <w:bookmarkEnd w:id="5"/>
      <w:bookmarkStart w:id="6" w:name="_Toc31534"/>
      <w:r>
        <w:rPr>
          <w:rFonts w:ascii="宋体" w:hAnsi="宋体" w:eastAsia="宋体" w:cs="宋体"/>
          <w:b/>
          <w:bCs/>
          <w:spacing w:val="6"/>
          <w:sz w:val="35"/>
          <w:szCs w:val="35"/>
        </w:rPr>
        <w:t>第四部分商务要求</w:t>
      </w:r>
      <w:bookmarkEnd w:id="6"/>
    </w:p>
    <w:p w14:paraId="3D59D83D">
      <w:pPr>
        <w:spacing w:line="360" w:lineRule="auto"/>
        <w:outlineLvl w:val="9"/>
        <w:rPr>
          <w:rFonts w:ascii="Arial"/>
          <w:sz w:val="2"/>
        </w:rPr>
      </w:pPr>
    </w:p>
    <w:tbl>
      <w:tblPr>
        <w:tblStyle w:val="13"/>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816"/>
        <w:gridCol w:w="7542"/>
      </w:tblGrid>
      <w:tr w14:paraId="7D6B91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4" w:hRule="atLeast"/>
        </w:trPr>
        <w:tc>
          <w:tcPr>
            <w:tcW w:w="488" w:type="pct"/>
            <w:tcBorders>
              <w:top w:val="single" w:color="000000" w:sz="10" w:space="0"/>
              <w:left w:val="single" w:color="000000" w:sz="10" w:space="0"/>
            </w:tcBorders>
            <w:vAlign w:val="top"/>
          </w:tcPr>
          <w:p w14:paraId="39EF55B8">
            <w:pPr>
              <w:pStyle w:val="14"/>
              <w:spacing w:before="202" w:line="360" w:lineRule="auto"/>
              <w:ind w:left="95"/>
              <w:outlineLvl w:val="9"/>
            </w:pPr>
            <w:r>
              <w:rPr>
                <w:b/>
                <w:bCs/>
                <w:spacing w:val="-6"/>
              </w:rPr>
              <w:t>条款号</w:t>
            </w:r>
          </w:p>
        </w:tc>
        <w:tc>
          <w:tcPr>
            <w:tcW w:w="4511" w:type="pct"/>
            <w:tcBorders>
              <w:top w:val="single" w:color="000000" w:sz="10" w:space="0"/>
              <w:right w:val="single" w:color="000000" w:sz="10" w:space="0"/>
            </w:tcBorders>
            <w:vAlign w:val="top"/>
          </w:tcPr>
          <w:p w14:paraId="7034FE82">
            <w:pPr>
              <w:pStyle w:val="14"/>
              <w:spacing w:before="202" w:line="360" w:lineRule="auto"/>
              <w:ind w:left="3701"/>
              <w:outlineLvl w:val="9"/>
            </w:pPr>
            <w:r>
              <w:rPr>
                <w:b/>
                <w:bCs/>
                <w:spacing w:val="-22"/>
              </w:rPr>
              <w:t>内容</w:t>
            </w:r>
          </w:p>
        </w:tc>
      </w:tr>
      <w:tr w14:paraId="45C6CF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83" w:hRule="atLeast"/>
        </w:trPr>
        <w:tc>
          <w:tcPr>
            <w:tcW w:w="488" w:type="pct"/>
            <w:tcBorders>
              <w:left w:val="single" w:color="000000" w:sz="10" w:space="0"/>
            </w:tcBorders>
            <w:vAlign w:val="top"/>
          </w:tcPr>
          <w:p w14:paraId="2B4BDEEE">
            <w:pPr>
              <w:spacing w:line="360" w:lineRule="auto"/>
              <w:outlineLvl w:val="9"/>
              <w:rPr>
                <w:rFonts w:ascii="Arial"/>
                <w:sz w:val="21"/>
              </w:rPr>
            </w:pPr>
          </w:p>
          <w:p w14:paraId="7261A69D">
            <w:pPr>
              <w:spacing w:line="360" w:lineRule="auto"/>
              <w:outlineLvl w:val="9"/>
              <w:rPr>
                <w:rFonts w:ascii="Arial"/>
                <w:sz w:val="21"/>
              </w:rPr>
            </w:pPr>
          </w:p>
          <w:p w14:paraId="736D10CE">
            <w:pPr>
              <w:pStyle w:val="14"/>
              <w:spacing w:before="78" w:line="360" w:lineRule="auto"/>
              <w:ind w:left="413"/>
              <w:outlineLvl w:val="9"/>
            </w:pPr>
            <w:r>
              <w:t>1</w:t>
            </w:r>
          </w:p>
        </w:tc>
        <w:tc>
          <w:tcPr>
            <w:tcW w:w="4511" w:type="pct"/>
            <w:tcBorders>
              <w:right w:val="single" w:color="000000" w:sz="10" w:space="0"/>
            </w:tcBorders>
            <w:vAlign w:val="top"/>
          </w:tcPr>
          <w:p w14:paraId="4142E790">
            <w:pPr>
              <w:spacing w:line="360" w:lineRule="auto"/>
              <w:jc w:val="left"/>
              <w:outlineLvl w:val="9"/>
              <w:rPr>
                <w:rFonts w:hint="eastAsia" w:ascii="宋体" w:hAnsi="宋体" w:eastAsia="宋体" w:cs="宋体"/>
                <w:i w:val="0"/>
                <w:iCs w:val="0"/>
                <w:caps w:val="0"/>
                <w:color w:val="auto"/>
                <w:spacing w:val="0"/>
                <w:sz w:val="24"/>
                <w:szCs w:val="24"/>
                <w:shd w:val="clear" w:color="auto" w:fill="FFFFFF"/>
                <w:lang w:val="en-US" w:eastAsia="zh-CN"/>
              </w:rPr>
            </w:pPr>
            <w:r>
              <w:rPr>
                <w:rFonts w:hint="eastAsia" w:ascii="宋体" w:hAnsi="宋体" w:eastAsia="宋体" w:cs="宋体"/>
                <w:b/>
                <w:bCs/>
                <w:color w:val="auto"/>
                <w:sz w:val="24"/>
                <w:szCs w:val="24"/>
              </w:rPr>
              <w:t>采购人名称：</w:t>
            </w:r>
            <w:r>
              <w:rPr>
                <w:rFonts w:hint="eastAsia" w:ascii="宋体" w:hAnsi="宋体" w:eastAsia="宋体" w:cs="宋体"/>
                <w:b w:val="0"/>
                <w:bCs w:val="0"/>
                <w:color w:val="auto"/>
                <w:sz w:val="24"/>
                <w:szCs w:val="24"/>
                <w:lang w:eastAsia="zh-CN"/>
              </w:rPr>
              <w:t>榆林市生态环境局绥德分局</w:t>
            </w:r>
          </w:p>
          <w:p w14:paraId="090DBC27">
            <w:pPr>
              <w:spacing w:line="360" w:lineRule="auto"/>
              <w:jc w:val="left"/>
              <w:outlineLvl w:val="9"/>
              <w:rPr>
                <w:rFonts w:hint="eastAsia" w:ascii="宋体" w:hAnsi="宋体" w:cs="宋体"/>
                <w:i w:val="0"/>
                <w:iCs w:val="0"/>
                <w:caps w:val="0"/>
                <w:color w:val="auto"/>
                <w:spacing w:val="0"/>
                <w:sz w:val="24"/>
                <w:szCs w:val="24"/>
                <w:shd w:val="clear" w:color="auto" w:fill="FFFFFF"/>
                <w:lang w:val="en-US" w:eastAsia="zh-CN"/>
              </w:rPr>
            </w:pPr>
            <w:r>
              <w:rPr>
                <w:rFonts w:hint="eastAsia" w:ascii="宋体" w:hAnsi="宋体" w:cs="宋体"/>
                <w:b/>
                <w:bCs/>
                <w:i w:val="0"/>
                <w:iCs w:val="0"/>
                <w:caps w:val="0"/>
                <w:color w:val="auto"/>
                <w:spacing w:val="0"/>
                <w:sz w:val="24"/>
                <w:szCs w:val="24"/>
                <w:shd w:val="clear" w:color="auto" w:fill="FFFFFF"/>
                <w:lang w:val="en-US" w:eastAsia="zh-CN"/>
              </w:rPr>
              <w:t>地址：</w:t>
            </w:r>
            <w:r>
              <w:rPr>
                <w:rFonts w:hint="eastAsia" w:ascii="宋体" w:hAnsi="宋体" w:cs="宋体"/>
                <w:b w:val="0"/>
                <w:bCs w:val="0"/>
                <w:i w:val="0"/>
                <w:iCs w:val="0"/>
                <w:caps w:val="0"/>
                <w:color w:val="auto"/>
                <w:spacing w:val="0"/>
                <w:sz w:val="24"/>
                <w:szCs w:val="24"/>
                <w:shd w:val="clear" w:color="auto" w:fill="FFFFFF"/>
                <w:lang w:val="en-US" w:eastAsia="zh-CN"/>
              </w:rPr>
              <w:t>陕西省榆林市绥德县滨河路5号</w:t>
            </w:r>
          </w:p>
          <w:p w14:paraId="7EDF7F24">
            <w:pPr>
              <w:spacing w:line="360" w:lineRule="auto"/>
              <w:jc w:val="left"/>
              <w:outlineLvl w:val="9"/>
              <w:rPr>
                <w:rFonts w:hint="eastAsia" w:ascii="宋体" w:hAnsi="宋体" w:cs="宋体"/>
                <w:i w:val="0"/>
                <w:iCs w:val="0"/>
                <w:caps w:val="0"/>
                <w:color w:val="auto"/>
                <w:spacing w:val="0"/>
                <w:sz w:val="24"/>
                <w:szCs w:val="24"/>
                <w:shd w:val="clear" w:color="auto" w:fill="FFFFFF"/>
                <w:lang w:val="en-US" w:eastAsia="zh-CN"/>
              </w:rPr>
            </w:pPr>
            <w:r>
              <w:rPr>
                <w:rFonts w:hint="eastAsia" w:ascii="宋体" w:hAnsi="宋体" w:cs="宋体"/>
                <w:b/>
                <w:bCs/>
                <w:i w:val="0"/>
                <w:iCs w:val="0"/>
                <w:caps w:val="0"/>
                <w:color w:val="auto"/>
                <w:spacing w:val="0"/>
                <w:sz w:val="24"/>
                <w:szCs w:val="24"/>
                <w:shd w:val="clear" w:color="auto" w:fill="FFFFFF"/>
                <w:lang w:val="en-US" w:eastAsia="zh-CN"/>
              </w:rPr>
              <w:t>项目名称：</w:t>
            </w:r>
            <w:r>
              <w:rPr>
                <w:rFonts w:hint="eastAsia" w:ascii="宋体" w:hAnsi="宋体" w:cs="宋体"/>
                <w:b w:val="0"/>
                <w:bCs w:val="0"/>
                <w:i w:val="0"/>
                <w:iCs w:val="0"/>
                <w:caps w:val="0"/>
                <w:color w:val="auto"/>
                <w:spacing w:val="0"/>
                <w:sz w:val="24"/>
                <w:szCs w:val="24"/>
                <w:shd w:val="clear" w:color="auto" w:fill="FFFFFF"/>
                <w:lang w:val="en-US" w:eastAsia="zh-CN"/>
              </w:rPr>
              <w:t>《绥德县丁家沟-十里铺饮用水水源地保护区撤销技术报告》编制服务项目</w:t>
            </w:r>
          </w:p>
          <w:p w14:paraId="2C085649">
            <w:pPr>
              <w:keepNext w:val="0"/>
              <w:keepLines w:val="0"/>
              <w:widowControl/>
              <w:suppressLineNumbers w:val="0"/>
              <w:spacing w:line="360" w:lineRule="auto"/>
              <w:jc w:val="left"/>
              <w:rPr>
                <w:rFonts w:hint="default"/>
                <w:lang w:val="en-US"/>
              </w:rPr>
            </w:pPr>
            <w:r>
              <w:rPr>
                <w:rFonts w:hint="eastAsia" w:ascii="宋体" w:hAnsi="宋体" w:cs="宋体"/>
                <w:b/>
                <w:bCs/>
                <w:i w:val="0"/>
                <w:iCs w:val="0"/>
                <w:caps w:val="0"/>
                <w:color w:val="auto"/>
                <w:spacing w:val="0"/>
                <w:sz w:val="24"/>
                <w:szCs w:val="24"/>
                <w:shd w:val="clear" w:color="auto" w:fill="FFFFFF"/>
                <w:lang w:val="en-US" w:eastAsia="zh-CN"/>
              </w:rPr>
              <w:t>资金来源：</w:t>
            </w:r>
            <w:r>
              <w:rPr>
                <w:rFonts w:hint="eastAsia" w:ascii="宋体" w:hAnsi="宋体" w:cs="宋体"/>
                <w:i w:val="0"/>
                <w:iCs w:val="0"/>
                <w:caps w:val="0"/>
                <w:color w:val="auto"/>
                <w:spacing w:val="0"/>
                <w:sz w:val="24"/>
                <w:szCs w:val="24"/>
                <w:shd w:val="clear" w:color="auto" w:fill="FFFFFF"/>
                <w:lang w:val="en-US" w:eastAsia="zh-CN"/>
              </w:rPr>
              <w:t>财政资金</w:t>
            </w:r>
          </w:p>
        </w:tc>
      </w:tr>
      <w:tr w14:paraId="5301FE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8" w:hRule="atLeast"/>
        </w:trPr>
        <w:tc>
          <w:tcPr>
            <w:tcW w:w="488" w:type="pct"/>
            <w:tcBorders>
              <w:left w:val="single" w:color="000000" w:sz="10" w:space="0"/>
            </w:tcBorders>
            <w:vAlign w:val="top"/>
          </w:tcPr>
          <w:p w14:paraId="4AE6F510">
            <w:pPr>
              <w:pStyle w:val="14"/>
              <w:spacing w:before="130" w:line="360" w:lineRule="auto"/>
              <w:ind w:left="398"/>
              <w:outlineLvl w:val="9"/>
            </w:pPr>
            <w:r>
              <w:t>2</w:t>
            </w:r>
          </w:p>
        </w:tc>
        <w:tc>
          <w:tcPr>
            <w:tcW w:w="4511" w:type="pct"/>
            <w:tcBorders>
              <w:right w:val="single" w:color="000000" w:sz="10" w:space="0"/>
            </w:tcBorders>
            <w:vAlign w:val="top"/>
          </w:tcPr>
          <w:p w14:paraId="5573B647">
            <w:pPr>
              <w:pStyle w:val="14"/>
              <w:spacing w:before="130" w:line="360" w:lineRule="auto"/>
              <w:ind w:left="25"/>
              <w:outlineLvl w:val="9"/>
            </w:pPr>
            <w:r>
              <w:rPr>
                <w:b/>
                <w:bCs/>
                <w:spacing w:val="-2"/>
              </w:rPr>
              <w:t>项目实施地点：</w:t>
            </w:r>
            <w:r>
              <w:rPr>
                <w:spacing w:val="-2"/>
              </w:rPr>
              <w:t>采购人指定地点。</w:t>
            </w:r>
          </w:p>
        </w:tc>
      </w:tr>
      <w:tr w14:paraId="69CE0C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6" w:hRule="atLeast"/>
        </w:trPr>
        <w:tc>
          <w:tcPr>
            <w:tcW w:w="488" w:type="pct"/>
            <w:tcBorders>
              <w:left w:val="single" w:color="000000" w:sz="10" w:space="0"/>
            </w:tcBorders>
            <w:vAlign w:val="top"/>
          </w:tcPr>
          <w:p w14:paraId="6F4BAFEE">
            <w:pPr>
              <w:pStyle w:val="14"/>
              <w:spacing w:before="119" w:line="360" w:lineRule="auto"/>
              <w:ind w:left="400"/>
              <w:outlineLvl w:val="9"/>
              <w:rPr>
                <w:color w:val="auto"/>
              </w:rPr>
            </w:pPr>
            <w:r>
              <w:rPr>
                <w:color w:val="auto"/>
              </w:rPr>
              <w:t>3</w:t>
            </w:r>
          </w:p>
        </w:tc>
        <w:tc>
          <w:tcPr>
            <w:tcW w:w="4511" w:type="pct"/>
            <w:tcBorders>
              <w:right w:val="single" w:color="000000" w:sz="10" w:space="0"/>
            </w:tcBorders>
            <w:vAlign w:val="top"/>
          </w:tcPr>
          <w:p w14:paraId="6AF62FDF">
            <w:pPr>
              <w:pStyle w:val="14"/>
              <w:spacing w:before="119" w:line="360" w:lineRule="auto"/>
              <w:ind w:left="26"/>
              <w:outlineLvl w:val="9"/>
              <w:rPr>
                <w:rFonts w:hint="default" w:eastAsia="宋体"/>
                <w:color w:val="auto"/>
                <w:lang w:val="en-US" w:eastAsia="zh-CN"/>
              </w:rPr>
            </w:pPr>
            <w:r>
              <w:rPr>
                <w:rFonts w:hint="eastAsia"/>
                <w:b/>
                <w:bCs/>
                <w:color w:val="auto"/>
                <w:spacing w:val="-4"/>
                <w:lang w:val="en-US" w:eastAsia="zh-CN"/>
              </w:rPr>
              <w:t>服务</w:t>
            </w:r>
            <w:r>
              <w:rPr>
                <w:b/>
                <w:bCs/>
                <w:color w:val="auto"/>
                <w:spacing w:val="-4"/>
              </w:rPr>
              <w:t>期：</w:t>
            </w:r>
            <w:r>
              <w:rPr>
                <w:rFonts w:hint="eastAsia"/>
                <w:b w:val="0"/>
                <w:bCs w:val="0"/>
                <w:color w:val="auto"/>
                <w:spacing w:val="-4"/>
                <w:highlight w:val="none"/>
                <w:lang w:val="en-US" w:eastAsia="zh-CN"/>
              </w:rPr>
              <w:t>自合同签订之日起一年</w:t>
            </w:r>
          </w:p>
        </w:tc>
      </w:tr>
      <w:tr w14:paraId="2199AD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72" w:hRule="atLeast"/>
        </w:trPr>
        <w:tc>
          <w:tcPr>
            <w:tcW w:w="488" w:type="pct"/>
            <w:tcBorders>
              <w:left w:val="single" w:color="000000" w:sz="10" w:space="0"/>
            </w:tcBorders>
            <w:vAlign w:val="top"/>
          </w:tcPr>
          <w:p w14:paraId="0DC3B104">
            <w:pPr>
              <w:spacing w:line="360" w:lineRule="auto"/>
              <w:outlineLvl w:val="9"/>
              <w:rPr>
                <w:rFonts w:ascii="Arial"/>
                <w:sz w:val="21"/>
              </w:rPr>
            </w:pPr>
          </w:p>
          <w:p w14:paraId="205BCD9F">
            <w:pPr>
              <w:spacing w:line="360" w:lineRule="auto"/>
              <w:outlineLvl w:val="9"/>
              <w:rPr>
                <w:rFonts w:ascii="Arial"/>
                <w:sz w:val="21"/>
              </w:rPr>
            </w:pPr>
          </w:p>
          <w:p w14:paraId="74E19506">
            <w:pPr>
              <w:spacing w:line="360" w:lineRule="auto"/>
              <w:outlineLvl w:val="9"/>
              <w:rPr>
                <w:rFonts w:ascii="Arial"/>
                <w:sz w:val="21"/>
              </w:rPr>
            </w:pPr>
          </w:p>
          <w:p w14:paraId="2E32ECB8">
            <w:pPr>
              <w:spacing w:line="360" w:lineRule="auto"/>
              <w:outlineLvl w:val="9"/>
              <w:rPr>
                <w:rFonts w:ascii="Arial"/>
                <w:sz w:val="21"/>
              </w:rPr>
            </w:pPr>
          </w:p>
          <w:p w14:paraId="4CF0C65D">
            <w:pPr>
              <w:spacing w:line="360" w:lineRule="auto"/>
              <w:outlineLvl w:val="9"/>
              <w:rPr>
                <w:rFonts w:ascii="Arial"/>
                <w:sz w:val="21"/>
              </w:rPr>
            </w:pPr>
          </w:p>
          <w:p w14:paraId="0E396B02">
            <w:pPr>
              <w:spacing w:line="360" w:lineRule="auto"/>
              <w:outlineLvl w:val="9"/>
              <w:rPr>
                <w:rFonts w:ascii="Arial"/>
                <w:sz w:val="21"/>
              </w:rPr>
            </w:pPr>
          </w:p>
          <w:p w14:paraId="39E173F7">
            <w:pPr>
              <w:spacing w:line="360" w:lineRule="auto"/>
              <w:outlineLvl w:val="9"/>
              <w:rPr>
                <w:rFonts w:ascii="Arial"/>
                <w:sz w:val="21"/>
              </w:rPr>
            </w:pPr>
          </w:p>
          <w:p w14:paraId="667408C5">
            <w:pPr>
              <w:pStyle w:val="14"/>
              <w:spacing w:before="78" w:line="360" w:lineRule="auto"/>
              <w:ind w:left="400"/>
              <w:outlineLvl w:val="9"/>
              <w:rPr>
                <w:rFonts w:hint="eastAsia" w:eastAsia="宋体"/>
                <w:lang w:eastAsia="zh-CN"/>
              </w:rPr>
            </w:pPr>
            <w:r>
              <w:rPr>
                <w:rFonts w:hint="eastAsia"/>
                <w:lang w:val="en-US" w:eastAsia="zh-CN"/>
              </w:rPr>
              <w:t>4</w:t>
            </w:r>
          </w:p>
        </w:tc>
        <w:tc>
          <w:tcPr>
            <w:tcW w:w="4511" w:type="pct"/>
            <w:tcBorders>
              <w:right w:val="single" w:color="000000" w:sz="10" w:space="0"/>
            </w:tcBorders>
            <w:vAlign w:val="top"/>
          </w:tcPr>
          <w:p w14:paraId="3E60CE3E">
            <w:pPr>
              <w:pStyle w:val="14"/>
              <w:spacing w:before="119" w:line="360" w:lineRule="auto"/>
              <w:ind w:left="39"/>
              <w:outlineLvl w:val="9"/>
            </w:pPr>
            <w:r>
              <w:rPr>
                <w:b/>
                <w:bCs/>
                <w:spacing w:val="-7"/>
              </w:rPr>
              <w:t>1.投标报价</w:t>
            </w:r>
          </w:p>
          <w:p w14:paraId="735B1FCD">
            <w:pPr>
              <w:pStyle w:val="14"/>
              <w:spacing w:before="184" w:line="360" w:lineRule="auto"/>
              <w:ind w:left="279"/>
              <w:outlineLvl w:val="9"/>
            </w:pPr>
            <w:r>
              <w:rPr>
                <w:spacing w:val="-2"/>
              </w:rPr>
              <w:t>1.1所有报价均以人民币报价。</w:t>
            </w:r>
          </w:p>
          <w:p w14:paraId="656347D1">
            <w:pPr>
              <w:pStyle w:val="14"/>
              <w:spacing w:before="187" w:line="360" w:lineRule="auto"/>
              <w:ind w:left="20" w:right="17" w:firstLine="258"/>
              <w:outlineLvl w:val="9"/>
            </w:pPr>
            <w:r>
              <w:rPr>
                <w:spacing w:val="-3"/>
              </w:rPr>
              <w:t>1.2谈判报价：供应商应在谈判报价表中标明完成本次采购所要求</w:t>
            </w:r>
            <w:r>
              <w:rPr>
                <w:spacing w:val="-4"/>
              </w:rPr>
              <w:t>的服务且验收</w:t>
            </w:r>
            <w:r>
              <w:t>合格的所有费用，包括食宿费、拓展培训费、交通费、服</w:t>
            </w:r>
            <w:r>
              <w:rPr>
                <w:spacing w:val="-1"/>
              </w:rPr>
              <w:t>装费、餐补费等其他一</w:t>
            </w:r>
            <w:r>
              <w:t>切相关费用。谈判报价表标明本次服务的所有单项价格和</w:t>
            </w:r>
            <w:r>
              <w:rPr>
                <w:spacing w:val="-1"/>
              </w:rPr>
              <w:t>总价，任何有选择的报价将不予接受，按无效投标处理。</w:t>
            </w:r>
          </w:p>
          <w:p w14:paraId="702B1860">
            <w:pPr>
              <w:pStyle w:val="14"/>
              <w:spacing w:before="185" w:line="360" w:lineRule="auto"/>
              <w:ind w:left="24"/>
              <w:outlineLvl w:val="9"/>
              <w:rPr>
                <w:rFonts w:hint="eastAsia" w:eastAsia="宋体"/>
                <w:lang w:eastAsia="zh-CN"/>
              </w:rPr>
            </w:pPr>
            <w:r>
              <w:rPr>
                <w:b/>
                <w:bCs/>
                <w:spacing w:val="-3"/>
              </w:rPr>
              <w:t>2.付款方式：</w:t>
            </w:r>
            <w:r>
              <w:rPr>
                <w:rFonts w:hint="eastAsia"/>
                <w:lang w:val="en-US" w:eastAsia="zh-CN"/>
              </w:rPr>
              <w:t>服务期满</w:t>
            </w:r>
            <w:r>
              <w:t>验收合格后一次性付清；</w:t>
            </w:r>
          </w:p>
        </w:tc>
      </w:tr>
      <w:tr w14:paraId="2AE717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73" w:hRule="atLeast"/>
        </w:trPr>
        <w:tc>
          <w:tcPr>
            <w:tcW w:w="488" w:type="pct"/>
            <w:tcBorders>
              <w:left w:val="single" w:color="000000" w:sz="10" w:space="0"/>
            </w:tcBorders>
            <w:vAlign w:val="top"/>
          </w:tcPr>
          <w:p w14:paraId="1A47D90D">
            <w:pPr>
              <w:spacing w:line="360" w:lineRule="auto"/>
              <w:outlineLvl w:val="9"/>
              <w:rPr>
                <w:rFonts w:ascii="Arial"/>
                <w:sz w:val="21"/>
              </w:rPr>
            </w:pPr>
          </w:p>
          <w:p w14:paraId="13C4E7D5">
            <w:pPr>
              <w:spacing w:line="360" w:lineRule="auto"/>
              <w:outlineLvl w:val="9"/>
              <w:rPr>
                <w:rFonts w:ascii="Arial"/>
                <w:sz w:val="21"/>
              </w:rPr>
            </w:pPr>
          </w:p>
          <w:p w14:paraId="17B3A08D">
            <w:pPr>
              <w:spacing w:line="360" w:lineRule="auto"/>
              <w:outlineLvl w:val="9"/>
              <w:rPr>
                <w:rFonts w:ascii="Arial"/>
                <w:sz w:val="21"/>
              </w:rPr>
            </w:pPr>
          </w:p>
          <w:p w14:paraId="69310819">
            <w:pPr>
              <w:pStyle w:val="14"/>
              <w:spacing w:before="79" w:line="360" w:lineRule="auto"/>
              <w:ind w:left="397"/>
              <w:outlineLvl w:val="9"/>
              <w:rPr>
                <w:rFonts w:hint="eastAsia" w:eastAsia="宋体"/>
                <w:lang w:eastAsia="zh-CN"/>
              </w:rPr>
            </w:pPr>
            <w:r>
              <w:rPr>
                <w:rFonts w:hint="eastAsia"/>
                <w:lang w:val="en-US" w:eastAsia="zh-CN"/>
              </w:rPr>
              <w:t>5</w:t>
            </w:r>
          </w:p>
        </w:tc>
        <w:tc>
          <w:tcPr>
            <w:tcW w:w="4511" w:type="pct"/>
            <w:tcBorders>
              <w:right w:val="single" w:color="000000" w:sz="10" w:space="0"/>
            </w:tcBorders>
            <w:vAlign w:val="top"/>
          </w:tcPr>
          <w:p w14:paraId="5F467C27">
            <w:pPr>
              <w:pStyle w:val="14"/>
              <w:spacing w:before="129" w:line="360" w:lineRule="auto"/>
              <w:ind w:left="22"/>
              <w:outlineLvl w:val="9"/>
            </w:pPr>
            <w:r>
              <w:rPr>
                <w:b/>
                <w:bCs/>
                <w:spacing w:val="-5"/>
              </w:rPr>
              <w:t>质量要求：</w:t>
            </w:r>
          </w:p>
          <w:p w14:paraId="5F5550A9">
            <w:pPr>
              <w:pStyle w:val="14"/>
              <w:spacing w:before="179" w:line="360" w:lineRule="auto"/>
              <w:ind w:left="23" w:right="18" w:firstLine="478"/>
              <w:jc w:val="both"/>
              <w:outlineLvl w:val="9"/>
            </w:pPr>
            <w:r>
              <w:rPr>
                <w:spacing w:val="3"/>
              </w:rPr>
              <w:t>供应商应保证其竞争性谈判响应文件中所提供的所有有关谈</w:t>
            </w:r>
            <w:r>
              <w:rPr>
                <w:spacing w:val="2"/>
              </w:rPr>
              <w:t>判的资料、信息</w:t>
            </w:r>
            <w:r>
              <w:rPr>
                <w:spacing w:val="3"/>
              </w:rPr>
              <w:t>是真实的。因竞争性谈判响应文件中所提供的</w:t>
            </w:r>
            <w:r>
              <w:rPr>
                <w:spacing w:val="2"/>
              </w:rPr>
              <w:t>有关谈判的资料、信息不真实、或</w:t>
            </w:r>
            <w:r>
              <w:rPr>
                <w:spacing w:val="-1"/>
              </w:rPr>
              <w:t>者其来源不合法而导致的所有法律责任，由供应商自行承担。</w:t>
            </w:r>
          </w:p>
        </w:tc>
      </w:tr>
      <w:tr w14:paraId="6D42DC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10" w:hRule="atLeast"/>
        </w:trPr>
        <w:tc>
          <w:tcPr>
            <w:tcW w:w="488" w:type="pct"/>
            <w:tcBorders>
              <w:left w:val="single" w:color="000000" w:sz="10" w:space="0"/>
            </w:tcBorders>
            <w:vAlign w:val="top"/>
          </w:tcPr>
          <w:p w14:paraId="55A66D84">
            <w:pPr>
              <w:spacing w:line="360" w:lineRule="auto"/>
              <w:outlineLvl w:val="9"/>
              <w:rPr>
                <w:rFonts w:ascii="Arial"/>
                <w:sz w:val="21"/>
              </w:rPr>
            </w:pPr>
          </w:p>
          <w:p w14:paraId="582DD9B1">
            <w:pPr>
              <w:spacing w:line="360" w:lineRule="auto"/>
              <w:outlineLvl w:val="9"/>
              <w:rPr>
                <w:rFonts w:ascii="Arial"/>
                <w:sz w:val="21"/>
              </w:rPr>
            </w:pPr>
          </w:p>
          <w:p w14:paraId="2DFF603F">
            <w:pPr>
              <w:pStyle w:val="14"/>
              <w:spacing w:before="78" w:line="360" w:lineRule="auto"/>
              <w:ind w:left="401"/>
              <w:outlineLvl w:val="9"/>
              <w:rPr>
                <w:rFonts w:hint="default" w:eastAsia="宋体"/>
                <w:lang w:val="en-US" w:eastAsia="zh-CN"/>
              </w:rPr>
            </w:pPr>
            <w:r>
              <w:rPr>
                <w:rFonts w:hint="eastAsia"/>
                <w:lang w:val="en-US" w:eastAsia="zh-CN"/>
              </w:rPr>
              <w:t>6</w:t>
            </w:r>
          </w:p>
        </w:tc>
        <w:tc>
          <w:tcPr>
            <w:tcW w:w="4511" w:type="pct"/>
            <w:tcBorders>
              <w:right w:val="single" w:color="000000" w:sz="10" w:space="0"/>
            </w:tcBorders>
            <w:vAlign w:val="top"/>
          </w:tcPr>
          <w:p w14:paraId="407572BC">
            <w:pPr>
              <w:pStyle w:val="14"/>
              <w:spacing w:before="54" w:line="360" w:lineRule="auto"/>
              <w:ind w:left="20"/>
              <w:outlineLvl w:val="9"/>
              <w:rPr>
                <w:b/>
                <w:bCs/>
                <w:spacing w:val="-6"/>
              </w:rPr>
            </w:pPr>
            <w:r>
              <w:rPr>
                <w:b/>
                <w:bCs/>
                <w:spacing w:val="-6"/>
              </w:rPr>
              <w:t>验收：</w:t>
            </w:r>
          </w:p>
          <w:p w14:paraId="1B76C350">
            <w:pPr>
              <w:pStyle w:val="14"/>
              <w:spacing w:before="54" w:line="360" w:lineRule="auto"/>
              <w:ind w:left="20" w:firstLine="492" w:firstLineChars="200"/>
              <w:outlineLvl w:val="9"/>
            </w:pPr>
            <w:r>
              <w:rPr>
                <w:spacing w:val="3"/>
              </w:rPr>
              <w:t>谈判人按照谈判文件及行业标准提供服务，采购人接收到采购</w:t>
            </w:r>
            <w:r>
              <w:rPr>
                <w:spacing w:val="2"/>
              </w:rPr>
              <w:t>服务后组织专</w:t>
            </w:r>
            <w:r>
              <w:rPr>
                <w:spacing w:val="-1"/>
              </w:rPr>
              <w:t>家小组对所提供的服务进行验收检查并出具验收结果。</w:t>
            </w:r>
          </w:p>
        </w:tc>
      </w:tr>
      <w:tr w14:paraId="0A4E84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26" w:hRule="atLeast"/>
        </w:trPr>
        <w:tc>
          <w:tcPr>
            <w:tcW w:w="488" w:type="pct"/>
            <w:tcBorders>
              <w:left w:val="single" w:color="000000" w:sz="10" w:space="0"/>
              <w:bottom w:val="single" w:color="000000" w:sz="10" w:space="0"/>
            </w:tcBorders>
            <w:vAlign w:val="top"/>
          </w:tcPr>
          <w:p w14:paraId="02BC455E">
            <w:pPr>
              <w:spacing w:line="360" w:lineRule="auto"/>
              <w:outlineLvl w:val="9"/>
              <w:rPr>
                <w:rFonts w:ascii="Arial"/>
                <w:sz w:val="21"/>
              </w:rPr>
            </w:pPr>
          </w:p>
          <w:p w14:paraId="78CDEA81">
            <w:pPr>
              <w:spacing w:line="360" w:lineRule="auto"/>
              <w:outlineLvl w:val="9"/>
              <w:rPr>
                <w:rFonts w:ascii="Arial"/>
                <w:sz w:val="21"/>
              </w:rPr>
            </w:pPr>
          </w:p>
          <w:p w14:paraId="51742D9E">
            <w:pPr>
              <w:pStyle w:val="14"/>
              <w:spacing w:before="78" w:line="360" w:lineRule="auto"/>
              <w:ind w:left="396"/>
              <w:outlineLvl w:val="9"/>
              <w:rPr>
                <w:rFonts w:hint="eastAsia" w:eastAsia="宋体"/>
                <w:lang w:eastAsia="zh-CN"/>
              </w:rPr>
            </w:pPr>
            <w:r>
              <w:rPr>
                <w:rFonts w:hint="eastAsia"/>
                <w:lang w:val="en-US" w:eastAsia="zh-CN"/>
              </w:rPr>
              <w:t>7</w:t>
            </w:r>
          </w:p>
        </w:tc>
        <w:tc>
          <w:tcPr>
            <w:tcW w:w="4511" w:type="pct"/>
            <w:tcBorders>
              <w:bottom w:val="single" w:color="000000" w:sz="10" w:space="0"/>
              <w:right w:val="single" w:color="000000" w:sz="10" w:space="0"/>
            </w:tcBorders>
            <w:vAlign w:val="top"/>
          </w:tcPr>
          <w:p w14:paraId="7CDEC84A">
            <w:pPr>
              <w:pStyle w:val="14"/>
              <w:spacing w:before="133" w:line="360" w:lineRule="auto"/>
              <w:ind w:left="20"/>
              <w:outlineLvl w:val="9"/>
            </w:pPr>
            <w:r>
              <w:rPr>
                <w:b/>
                <w:bCs/>
                <w:spacing w:val="-4"/>
              </w:rPr>
              <w:t>验收依据：</w:t>
            </w:r>
          </w:p>
          <w:p w14:paraId="12DFAF16">
            <w:pPr>
              <w:pStyle w:val="14"/>
              <w:spacing w:before="183" w:line="360" w:lineRule="auto"/>
              <w:ind w:left="273"/>
              <w:outlineLvl w:val="9"/>
            </w:pPr>
            <w:r>
              <w:rPr>
                <w:spacing w:val="-6"/>
              </w:rPr>
              <w:t>（1）合同文本及合同补充文件（条款）。</w:t>
            </w:r>
          </w:p>
          <w:p w14:paraId="3923FED9">
            <w:pPr>
              <w:pStyle w:val="14"/>
              <w:spacing w:before="184" w:line="360" w:lineRule="auto"/>
              <w:ind w:left="273"/>
              <w:outlineLvl w:val="9"/>
            </w:pPr>
            <w:r>
              <w:rPr>
                <w:spacing w:val="-2"/>
              </w:rPr>
              <w:t>（2）竞争性谈判文件。</w:t>
            </w:r>
          </w:p>
        </w:tc>
      </w:tr>
    </w:tbl>
    <w:p w14:paraId="5010284D">
      <w:pPr>
        <w:spacing w:line="360" w:lineRule="auto"/>
        <w:outlineLvl w:val="9"/>
        <w:rPr>
          <w:rFonts w:ascii="Arial"/>
          <w:sz w:val="2"/>
        </w:rPr>
      </w:pPr>
    </w:p>
    <w:tbl>
      <w:tblPr>
        <w:tblStyle w:val="13"/>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816"/>
        <w:gridCol w:w="7542"/>
      </w:tblGrid>
      <w:tr w14:paraId="7A486E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29" w:hRule="atLeast"/>
        </w:trPr>
        <w:tc>
          <w:tcPr>
            <w:tcW w:w="488" w:type="pct"/>
            <w:tcBorders>
              <w:top w:val="single" w:color="000000" w:sz="10" w:space="0"/>
              <w:left w:val="single" w:color="000000" w:sz="10" w:space="0"/>
            </w:tcBorders>
            <w:vAlign w:val="top"/>
          </w:tcPr>
          <w:p w14:paraId="0955EEBF">
            <w:pPr>
              <w:spacing w:line="360" w:lineRule="auto"/>
              <w:outlineLvl w:val="9"/>
              <w:rPr>
                <w:rFonts w:ascii="Arial"/>
                <w:sz w:val="21"/>
              </w:rPr>
            </w:pPr>
          </w:p>
        </w:tc>
        <w:tc>
          <w:tcPr>
            <w:tcW w:w="4511" w:type="pct"/>
            <w:tcBorders>
              <w:top w:val="single" w:color="000000" w:sz="10" w:space="0"/>
              <w:right w:val="single" w:color="000000" w:sz="10" w:space="0"/>
            </w:tcBorders>
            <w:vAlign w:val="top"/>
          </w:tcPr>
          <w:p w14:paraId="220C125B">
            <w:pPr>
              <w:pStyle w:val="14"/>
              <w:spacing w:before="106" w:line="360" w:lineRule="auto"/>
              <w:ind w:left="273"/>
              <w:outlineLvl w:val="9"/>
            </w:pPr>
            <w:r>
              <w:rPr>
                <w:spacing w:val="-2"/>
              </w:rPr>
              <w:t>（3）竞争性谈判响应文件。</w:t>
            </w:r>
          </w:p>
          <w:p w14:paraId="6B2A62AA">
            <w:pPr>
              <w:pStyle w:val="14"/>
              <w:spacing w:before="182" w:line="360" w:lineRule="auto"/>
              <w:ind w:left="273"/>
              <w:outlineLvl w:val="9"/>
            </w:pPr>
            <w:r>
              <w:rPr>
                <w:spacing w:val="-2"/>
              </w:rPr>
              <w:t>（4）采购内容及要求。</w:t>
            </w:r>
          </w:p>
        </w:tc>
      </w:tr>
      <w:tr w14:paraId="17D463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87" w:hRule="atLeast"/>
        </w:trPr>
        <w:tc>
          <w:tcPr>
            <w:tcW w:w="488" w:type="pct"/>
            <w:tcBorders>
              <w:left w:val="single" w:color="000000" w:sz="10" w:space="0"/>
            </w:tcBorders>
            <w:vAlign w:val="top"/>
          </w:tcPr>
          <w:p w14:paraId="360295B3">
            <w:pPr>
              <w:spacing w:line="360" w:lineRule="auto"/>
              <w:outlineLvl w:val="9"/>
              <w:rPr>
                <w:rFonts w:ascii="Arial"/>
                <w:sz w:val="21"/>
              </w:rPr>
            </w:pPr>
          </w:p>
          <w:p w14:paraId="6C3FF3FE">
            <w:pPr>
              <w:spacing w:line="360" w:lineRule="auto"/>
              <w:outlineLvl w:val="9"/>
              <w:rPr>
                <w:rFonts w:ascii="Arial"/>
                <w:sz w:val="21"/>
              </w:rPr>
            </w:pPr>
          </w:p>
          <w:p w14:paraId="17B7BE1D">
            <w:pPr>
              <w:spacing w:line="360" w:lineRule="auto"/>
              <w:outlineLvl w:val="9"/>
              <w:rPr>
                <w:rFonts w:ascii="Arial"/>
                <w:sz w:val="21"/>
              </w:rPr>
            </w:pPr>
          </w:p>
          <w:p w14:paraId="62B5D92E">
            <w:pPr>
              <w:pStyle w:val="14"/>
              <w:spacing w:before="78" w:line="360" w:lineRule="auto"/>
              <w:ind w:left="396"/>
              <w:outlineLvl w:val="9"/>
              <w:rPr>
                <w:rFonts w:hint="eastAsia" w:eastAsia="宋体"/>
                <w:lang w:eastAsia="zh-CN"/>
              </w:rPr>
            </w:pPr>
            <w:r>
              <w:rPr>
                <w:rFonts w:hint="eastAsia"/>
                <w:lang w:val="en-US" w:eastAsia="zh-CN"/>
              </w:rPr>
              <w:t>8</w:t>
            </w:r>
          </w:p>
        </w:tc>
        <w:tc>
          <w:tcPr>
            <w:tcW w:w="4511" w:type="pct"/>
            <w:tcBorders>
              <w:right w:val="single" w:color="000000" w:sz="10" w:space="0"/>
            </w:tcBorders>
            <w:vAlign w:val="top"/>
          </w:tcPr>
          <w:p w14:paraId="6AAC86FB">
            <w:pPr>
              <w:pStyle w:val="14"/>
              <w:spacing w:before="117" w:line="360" w:lineRule="auto"/>
              <w:ind w:left="26"/>
              <w:outlineLvl w:val="9"/>
            </w:pPr>
            <w:r>
              <w:rPr>
                <w:b/>
                <w:bCs/>
                <w:spacing w:val="-5"/>
              </w:rPr>
              <w:t>知识产权：</w:t>
            </w:r>
          </w:p>
          <w:p w14:paraId="4ADB5A9C">
            <w:pPr>
              <w:pStyle w:val="14"/>
              <w:spacing w:before="182" w:line="360" w:lineRule="auto"/>
              <w:ind w:left="25" w:right="18" w:firstLine="476"/>
              <w:jc w:val="both"/>
              <w:outlineLvl w:val="9"/>
            </w:pPr>
            <w:r>
              <w:rPr>
                <w:spacing w:val="3"/>
              </w:rPr>
              <w:t>供应商应保证投标服务不会出现因第三方提出侵犯其专利权</w:t>
            </w:r>
            <w:r>
              <w:rPr>
                <w:spacing w:val="2"/>
              </w:rPr>
              <w:t>、商标权或其它知识产权而引发法律或经济纠纷，否则由供应商承担全部责任。任何被供应商用</w:t>
            </w:r>
            <w:r>
              <w:rPr>
                <w:spacing w:val="-1"/>
              </w:rPr>
              <w:t>于未经授权的商业目的行为所造成的违约或侵权责任由供应商承担。</w:t>
            </w:r>
          </w:p>
        </w:tc>
      </w:tr>
      <w:tr w14:paraId="0694DC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55" w:hRule="atLeast"/>
        </w:trPr>
        <w:tc>
          <w:tcPr>
            <w:tcW w:w="488" w:type="pct"/>
            <w:tcBorders>
              <w:left w:val="single" w:color="000000" w:sz="10" w:space="0"/>
              <w:bottom w:val="single" w:color="000000" w:sz="10" w:space="0"/>
            </w:tcBorders>
            <w:vAlign w:val="top"/>
          </w:tcPr>
          <w:p w14:paraId="335267D4">
            <w:pPr>
              <w:spacing w:line="360" w:lineRule="auto"/>
              <w:outlineLvl w:val="9"/>
              <w:rPr>
                <w:rFonts w:ascii="Arial"/>
                <w:sz w:val="21"/>
              </w:rPr>
            </w:pPr>
          </w:p>
          <w:p w14:paraId="70CE1DD6">
            <w:pPr>
              <w:spacing w:line="360" w:lineRule="auto"/>
              <w:outlineLvl w:val="9"/>
              <w:rPr>
                <w:rFonts w:ascii="Arial"/>
                <w:sz w:val="21"/>
              </w:rPr>
            </w:pPr>
          </w:p>
          <w:p w14:paraId="5FD6F128">
            <w:pPr>
              <w:spacing w:line="360" w:lineRule="auto"/>
              <w:outlineLvl w:val="9"/>
              <w:rPr>
                <w:rFonts w:ascii="Arial"/>
                <w:sz w:val="21"/>
              </w:rPr>
            </w:pPr>
          </w:p>
          <w:p w14:paraId="5FA4E152">
            <w:pPr>
              <w:spacing w:line="360" w:lineRule="auto"/>
              <w:outlineLvl w:val="9"/>
              <w:rPr>
                <w:rFonts w:ascii="Arial"/>
                <w:sz w:val="21"/>
              </w:rPr>
            </w:pPr>
          </w:p>
          <w:p w14:paraId="4F677D08">
            <w:pPr>
              <w:spacing w:line="360" w:lineRule="auto"/>
              <w:outlineLvl w:val="9"/>
              <w:rPr>
                <w:rFonts w:ascii="Arial"/>
                <w:sz w:val="21"/>
              </w:rPr>
            </w:pPr>
          </w:p>
          <w:p w14:paraId="108D2A2F">
            <w:pPr>
              <w:pStyle w:val="14"/>
              <w:spacing w:before="78" w:line="360" w:lineRule="auto"/>
              <w:ind w:left="283" w:firstLine="212" w:firstLineChars="100"/>
              <w:outlineLvl w:val="9"/>
              <w:rPr>
                <w:rFonts w:hint="eastAsia" w:eastAsia="宋体"/>
                <w:lang w:eastAsia="zh-CN"/>
              </w:rPr>
            </w:pPr>
            <w:r>
              <w:rPr>
                <w:rFonts w:hint="eastAsia"/>
                <w:spacing w:val="-14"/>
                <w:lang w:val="en-US" w:eastAsia="zh-CN"/>
              </w:rPr>
              <w:t>9</w:t>
            </w:r>
          </w:p>
        </w:tc>
        <w:tc>
          <w:tcPr>
            <w:tcW w:w="4511" w:type="pct"/>
            <w:tcBorders>
              <w:bottom w:val="single" w:color="000000" w:sz="10" w:space="0"/>
              <w:right w:val="single" w:color="000000" w:sz="10" w:space="0"/>
            </w:tcBorders>
            <w:vAlign w:val="top"/>
          </w:tcPr>
          <w:p w14:paraId="36D2A186">
            <w:pPr>
              <w:pStyle w:val="14"/>
              <w:spacing w:before="127" w:line="360" w:lineRule="auto"/>
              <w:ind w:left="21"/>
              <w:outlineLvl w:val="9"/>
            </w:pPr>
            <w:r>
              <w:rPr>
                <w:b/>
                <w:bCs/>
                <w:spacing w:val="-4"/>
              </w:rPr>
              <w:t>违约责任：</w:t>
            </w:r>
          </w:p>
          <w:p w14:paraId="28B7F648">
            <w:pPr>
              <w:pStyle w:val="14"/>
              <w:spacing w:before="183" w:line="360" w:lineRule="auto"/>
              <w:ind w:left="519"/>
              <w:outlineLvl w:val="9"/>
            </w:pPr>
            <w:r>
              <w:rPr>
                <w:spacing w:val="-1"/>
              </w:rPr>
              <w:t>1、按《中华人民共和国民法典》中的相关</w:t>
            </w:r>
            <w:r>
              <w:rPr>
                <w:spacing w:val="-2"/>
              </w:rPr>
              <w:t>条款执行。</w:t>
            </w:r>
          </w:p>
          <w:p w14:paraId="05ED536C">
            <w:pPr>
              <w:pStyle w:val="14"/>
              <w:spacing w:before="184" w:line="360" w:lineRule="auto"/>
              <w:ind w:left="22" w:right="15" w:firstLine="481"/>
              <w:outlineLvl w:val="9"/>
            </w:pPr>
            <w:r>
              <w:rPr>
                <w:spacing w:val="-1"/>
              </w:rPr>
              <w:t>2、未按合同要求提供服务质量或服务质量不能满足技术要求，招标人有权终</w:t>
            </w:r>
            <w:r>
              <w:rPr>
                <w:spacing w:val="3"/>
              </w:rPr>
              <w:t>止合同，并对供方违约行为进行追究，同时按《中华人</w:t>
            </w:r>
            <w:r>
              <w:rPr>
                <w:spacing w:val="2"/>
              </w:rPr>
              <w:t>民共和国政府采购法》的</w:t>
            </w:r>
            <w:r>
              <w:rPr>
                <w:spacing w:val="-2"/>
              </w:rPr>
              <w:t>有关规定进行处罚。</w:t>
            </w:r>
          </w:p>
        </w:tc>
      </w:tr>
    </w:tbl>
    <w:p w14:paraId="478B74B9">
      <w:pPr>
        <w:spacing w:before="149" w:line="360" w:lineRule="auto"/>
        <w:ind w:firstLine="1817" w:firstLineChars="500"/>
        <w:outlineLvl w:val="9"/>
        <w:rPr>
          <w:rFonts w:ascii="宋体" w:hAnsi="宋体" w:eastAsia="宋体" w:cs="宋体"/>
          <w:b/>
          <w:bCs/>
          <w:spacing w:val="6"/>
          <w:sz w:val="35"/>
          <w:szCs w:val="35"/>
        </w:rPr>
      </w:pPr>
      <w:bookmarkStart w:id="7" w:name="bookmark5"/>
      <w:bookmarkEnd w:id="7"/>
      <w:bookmarkStart w:id="8" w:name="_Toc24025"/>
    </w:p>
    <w:p w14:paraId="1EC5AEBE">
      <w:pPr>
        <w:spacing w:before="149" w:line="360" w:lineRule="auto"/>
        <w:ind w:firstLine="1817" w:firstLineChars="500"/>
        <w:outlineLvl w:val="9"/>
        <w:rPr>
          <w:rFonts w:ascii="宋体" w:hAnsi="宋体" w:eastAsia="宋体" w:cs="宋体"/>
          <w:b/>
          <w:bCs/>
          <w:spacing w:val="6"/>
          <w:sz w:val="35"/>
          <w:szCs w:val="35"/>
        </w:rPr>
      </w:pPr>
    </w:p>
    <w:p w14:paraId="6200456B">
      <w:pPr>
        <w:spacing w:before="149" w:line="360" w:lineRule="auto"/>
        <w:ind w:firstLine="1817" w:firstLineChars="500"/>
        <w:outlineLvl w:val="9"/>
        <w:rPr>
          <w:rFonts w:ascii="宋体" w:hAnsi="宋体" w:eastAsia="宋体" w:cs="宋体"/>
          <w:b/>
          <w:bCs/>
          <w:spacing w:val="6"/>
          <w:sz w:val="35"/>
          <w:szCs w:val="35"/>
        </w:rPr>
      </w:pPr>
    </w:p>
    <w:p w14:paraId="4BBFC60D">
      <w:pPr>
        <w:rPr>
          <w:rFonts w:ascii="宋体" w:hAnsi="宋体" w:eastAsia="宋体" w:cs="宋体"/>
          <w:b/>
          <w:bCs/>
          <w:spacing w:val="6"/>
          <w:sz w:val="35"/>
          <w:szCs w:val="35"/>
        </w:rPr>
      </w:pPr>
      <w:r>
        <w:rPr>
          <w:rFonts w:ascii="宋体" w:hAnsi="宋体" w:eastAsia="宋体" w:cs="宋体"/>
          <w:b/>
          <w:bCs/>
          <w:spacing w:val="6"/>
          <w:sz w:val="35"/>
          <w:szCs w:val="35"/>
        </w:rPr>
        <w:br w:type="page"/>
      </w:r>
    </w:p>
    <w:p w14:paraId="1C6C48E5">
      <w:pPr>
        <w:spacing w:before="149" w:line="360" w:lineRule="auto"/>
        <w:ind w:firstLine="1817" w:firstLineChars="500"/>
        <w:outlineLvl w:val="0"/>
        <w:rPr>
          <w:rFonts w:ascii="宋体" w:hAnsi="宋体" w:eastAsia="宋体" w:cs="宋体"/>
          <w:sz w:val="35"/>
          <w:szCs w:val="35"/>
        </w:rPr>
      </w:pPr>
      <w:r>
        <w:rPr>
          <w:rFonts w:ascii="宋体" w:hAnsi="宋体" w:eastAsia="宋体" w:cs="宋体"/>
          <w:b/>
          <w:bCs/>
          <w:spacing w:val="6"/>
          <w:sz w:val="35"/>
          <w:szCs w:val="35"/>
        </w:rPr>
        <w:t>第五部分政府采购合同</w:t>
      </w:r>
      <w:bookmarkEnd w:id="8"/>
    </w:p>
    <w:p w14:paraId="59820958">
      <w:pPr>
        <w:pStyle w:val="4"/>
        <w:spacing w:line="360" w:lineRule="auto"/>
        <w:outlineLvl w:val="9"/>
      </w:pPr>
    </w:p>
    <w:p w14:paraId="2A4D4719">
      <w:pPr>
        <w:spacing w:line="360" w:lineRule="auto"/>
        <w:rPr>
          <w:rFonts w:ascii="Arial"/>
          <w:sz w:val="21"/>
        </w:rPr>
      </w:pPr>
      <w:bookmarkStart w:id="9" w:name="bookmark7"/>
      <w:bookmarkEnd w:id="9"/>
      <w:bookmarkStart w:id="10" w:name="_Toc13324"/>
    </w:p>
    <w:p w14:paraId="1FA0E584">
      <w:pPr>
        <w:spacing w:line="360" w:lineRule="auto"/>
        <w:jc w:val="center"/>
        <w:rPr>
          <w:rFonts w:hint="default" w:ascii="仿宋" w:hAnsi="仿宋" w:eastAsia="仿宋" w:cs="仿宋"/>
          <w:b/>
          <w:bCs/>
          <w:snapToGrid w:val="0"/>
          <w:color w:val="000000"/>
          <w:spacing w:val="-25"/>
          <w:kern w:val="0"/>
          <w:sz w:val="56"/>
          <w:szCs w:val="56"/>
          <w:lang w:val="en-US" w:eastAsia="zh-CN" w:bidi="ar-SA"/>
        </w:rPr>
      </w:pPr>
      <w:r>
        <w:rPr>
          <w:rFonts w:hint="eastAsia" w:ascii="仿宋" w:hAnsi="仿宋" w:eastAsia="仿宋" w:cs="仿宋"/>
          <w:b/>
          <w:bCs/>
          <w:snapToGrid w:val="0"/>
          <w:color w:val="000000"/>
          <w:spacing w:val="-25"/>
          <w:kern w:val="0"/>
          <w:sz w:val="40"/>
          <w:szCs w:val="40"/>
          <w:lang w:val="en-US" w:eastAsia="zh-CN" w:bidi="ar-SA"/>
        </w:rPr>
        <w:t>《绥德县丁家沟-十里铺饮用水水源地保护区撤销技术报告》编制服务</w:t>
      </w:r>
    </w:p>
    <w:p w14:paraId="3111A3E1">
      <w:pPr>
        <w:pStyle w:val="4"/>
        <w:spacing w:before="91" w:line="360" w:lineRule="auto"/>
        <w:ind w:left="1394"/>
        <w:rPr>
          <w:b/>
          <w:bCs/>
          <w:spacing w:val="-25"/>
        </w:rPr>
      </w:pPr>
    </w:p>
    <w:p w14:paraId="0C53C457">
      <w:pPr>
        <w:pStyle w:val="4"/>
        <w:spacing w:before="91" w:line="360" w:lineRule="auto"/>
        <w:ind w:left="1394"/>
        <w:rPr>
          <w:b/>
          <w:bCs/>
          <w:spacing w:val="-25"/>
        </w:rPr>
      </w:pPr>
    </w:p>
    <w:p w14:paraId="7BD1C269">
      <w:pPr>
        <w:pStyle w:val="4"/>
        <w:spacing w:before="91" w:line="360" w:lineRule="auto"/>
        <w:ind w:left="1394"/>
        <w:rPr>
          <w:b/>
          <w:bCs/>
          <w:spacing w:val="-25"/>
        </w:rPr>
      </w:pPr>
    </w:p>
    <w:p w14:paraId="4D41E74E">
      <w:pPr>
        <w:pStyle w:val="4"/>
        <w:spacing w:before="91" w:line="360" w:lineRule="auto"/>
        <w:jc w:val="center"/>
        <w:rPr>
          <w:rFonts w:hint="eastAsia" w:eastAsia="宋体"/>
          <w:b/>
          <w:bCs/>
          <w:spacing w:val="-25"/>
          <w:sz w:val="44"/>
          <w:szCs w:val="44"/>
          <w:lang w:val="en-US" w:eastAsia="zh-CN"/>
        </w:rPr>
      </w:pPr>
      <w:r>
        <w:rPr>
          <w:rFonts w:hint="eastAsia" w:eastAsia="宋体"/>
          <w:b/>
          <w:bCs/>
          <w:spacing w:val="-25"/>
          <w:sz w:val="44"/>
          <w:szCs w:val="44"/>
          <w:lang w:val="en-US" w:eastAsia="zh-CN"/>
        </w:rPr>
        <w:t>合</w:t>
      </w:r>
    </w:p>
    <w:p w14:paraId="3F3B3EDC">
      <w:pPr>
        <w:pStyle w:val="4"/>
        <w:spacing w:before="91" w:line="360" w:lineRule="auto"/>
        <w:jc w:val="center"/>
        <w:rPr>
          <w:rFonts w:hint="eastAsia" w:eastAsia="宋体"/>
          <w:b/>
          <w:bCs/>
          <w:spacing w:val="-25"/>
          <w:sz w:val="44"/>
          <w:szCs w:val="44"/>
          <w:lang w:val="en-US" w:eastAsia="zh-CN"/>
        </w:rPr>
      </w:pPr>
    </w:p>
    <w:p w14:paraId="541DE89A">
      <w:pPr>
        <w:pStyle w:val="4"/>
        <w:spacing w:before="91" w:line="360" w:lineRule="auto"/>
        <w:jc w:val="center"/>
        <w:rPr>
          <w:rFonts w:hint="eastAsia" w:eastAsia="宋体"/>
          <w:b/>
          <w:bCs/>
          <w:spacing w:val="-25"/>
          <w:sz w:val="44"/>
          <w:szCs w:val="44"/>
          <w:lang w:val="en-US" w:eastAsia="zh-CN"/>
        </w:rPr>
      </w:pPr>
      <w:r>
        <w:rPr>
          <w:rFonts w:hint="eastAsia" w:eastAsia="宋体"/>
          <w:b/>
          <w:bCs/>
          <w:spacing w:val="-25"/>
          <w:sz w:val="44"/>
          <w:szCs w:val="44"/>
          <w:lang w:val="en-US" w:eastAsia="zh-CN"/>
        </w:rPr>
        <w:t>同</w:t>
      </w:r>
    </w:p>
    <w:p w14:paraId="50D2122E">
      <w:pPr>
        <w:pStyle w:val="4"/>
        <w:spacing w:before="91" w:line="360" w:lineRule="auto"/>
        <w:jc w:val="center"/>
        <w:rPr>
          <w:rFonts w:hint="eastAsia" w:eastAsia="宋体"/>
          <w:b/>
          <w:bCs/>
          <w:spacing w:val="-25"/>
          <w:sz w:val="44"/>
          <w:szCs w:val="44"/>
          <w:lang w:val="en-US" w:eastAsia="zh-CN"/>
        </w:rPr>
      </w:pPr>
    </w:p>
    <w:p w14:paraId="396D7E46">
      <w:pPr>
        <w:pStyle w:val="4"/>
        <w:spacing w:before="91" w:line="360" w:lineRule="auto"/>
        <w:jc w:val="center"/>
        <w:rPr>
          <w:rFonts w:hint="eastAsia" w:eastAsia="宋体"/>
          <w:b/>
          <w:bCs/>
          <w:spacing w:val="-25"/>
          <w:sz w:val="22"/>
          <w:szCs w:val="22"/>
          <w:lang w:val="en-US" w:eastAsia="zh-CN"/>
        </w:rPr>
      </w:pPr>
      <w:r>
        <w:rPr>
          <w:rFonts w:hint="eastAsia" w:eastAsia="宋体"/>
          <w:b/>
          <w:bCs/>
          <w:spacing w:val="-25"/>
          <w:sz w:val="44"/>
          <w:szCs w:val="44"/>
          <w:lang w:val="en-US" w:eastAsia="zh-CN"/>
        </w:rPr>
        <w:t>书</w:t>
      </w:r>
    </w:p>
    <w:p w14:paraId="17ABD67C">
      <w:pPr>
        <w:pStyle w:val="4"/>
        <w:spacing w:before="91" w:line="360" w:lineRule="auto"/>
        <w:ind w:left="1394"/>
        <w:rPr>
          <w:rFonts w:hint="eastAsia" w:ascii="宋体" w:hAnsi="宋体" w:eastAsia="宋体" w:cs="宋体"/>
          <w:b/>
          <w:bCs/>
          <w:spacing w:val="-25"/>
          <w:sz w:val="28"/>
          <w:szCs w:val="28"/>
        </w:rPr>
      </w:pPr>
    </w:p>
    <w:p w14:paraId="417C5020">
      <w:pPr>
        <w:pStyle w:val="4"/>
        <w:spacing w:before="91" w:line="360" w:lineRule="auto"/>
        <w:ind w:left="1394"/>
        <w:rPr>
          <w:rFonts w:hint="eastAsia" w:ascii="宋体" w:hAnsi="宋体" w:eastAsia="宋体" w:cs="宋体"/>
          <w:b/>
          <w:bCs/>
          <w:spacing w:val="-25"/>
          <w:sz w:val="28"/>
          <w:szCs w:val="28"/>
        </w:rPr>
      </w:pPr>
    </w:p>
    <w:p w14:paraId="4B59F306">
      <w:pPr>
        <w:pStyle w:val="4"/>
        <w:spacing w:before="91" w:line="360" w:lineRule="auto"/>
        <w:ind w:left="1394"/>
        <w:rPr>
          <w:rFonts w:hint="eastAsia" w:ascii="宋体" w:hAnsi="宋体" w:eastAsia="宋体" w:cs="宋体"/>
          <w:b/>
          <w:bCs/>
          <w:spacing w:val="-25"/>
          <w:sz w:val="28"/>
          <w:szCs w:val="28"/>
        </w:rPr>
      </w:pPr>
    </w:p>
    <w:p w14:paraId="55093BA7">
      <w:pPr>
        <w:pStyle w:val="4"/>
        <w:spacing w:before="91" w:line="360" w:lineRule="auto"/>
        <w:ind w:left="1394"/>
        <w:rPr>
          <w:rFonts w:hint="eastAsia" w:ascii="宋体" w:hAnsi="宋体" w:eastAsia="宋体" w:cs="宋体"/>
          <w:sz w:val="28"/>
          <w:szCs w:val="28"/>
        </w:rPr>
      </w:pPr>
      <w:r>
        <w:rPr>
          <w:rFonts w:hint="eastAsia" w:ascii="宋体" w:hAnsi="宋体" w:eastAsia="宋体" w:cs="宋体"/>
          <w:b/>
          <w:bCs/>
          <w:spacing w:val="-25"/>
          <w:sz w:val="28"/>
          <w:szCs w:val="28"/>
        </w:rPr>
        <w:t>甲方：</w:t>
      </w:r>
      <w:r>
        <w:rPr>
          <w:rFonts w:hint="eastAsia" w:ascii="宋体" w:hAnsi="宋体" w:eastAsia="宋体" w:cs="宋体"/>
          <w:b/>
          <w:bCs/>
          <w:spacing w:val="-25"/>
          <w:sz w:val="28"/>
          <w:szCs w:val="28"/>
          <w:lang w:val="en-US" w:eastAsia="zh-CN"/>
        </w:rPr>
        <w:t>榆林市</w:t>
      </w:r>
      <w:r>
        <w:rPr>
          <w:rFonts w:hint="eastAsia" w:ascii="宋体" w:hAnsi="宋体" w:eastAsia="宋体" w:cs="宋体"/>
          <w:b/>
          <w:bCs/>
          <w:spacing w:val="-25"/>
          <w:sz w:val="28"/>
          <w:szCs w:val="28"/>
        </w:rPr>
        <w:t>生态环境局</w:t>
      </w:r>
      <w:r>
        <w:rPr>
          <w:rFonts w:hint="eastAsia" w:ascii="宋体" w:hAnsi="宋体" w:eastAsia="宋体" w:cs="宋体"/>
          <w:b/>
          <w:bCs/>
          <w:spacing w:val="-25"/>
          <w:sz w:val="28"/>
          <w:szCs w:val="28"/>
          <w:lang w:eastAsia="zh-CN"/>
        </w:rPr>
        <w:t>绥德</w:t>
      </w:r>
      <w:r>
        <w:rPr>
          <w:rFonts w:hint="eastAsia" w:ascii="宋体" w:hAnsi="宋体" w:eastAsia="宋体" w:cs="宋体"/>
          <w:b/>
          <w:bCs/>
          <w:spacing w:val="-25"/>
          <w:sz w:val="28"/>
          <w:szCs w:val="28"/>
          <w:lang w:val="en-US" w:eastAsia="zh-CN"/>
        </w:rPr>
        <w:t>分局</w:t>
      </w:r>
    </w:p>
    <w:p w14:paraId="0D8A94E2">
      <w:pPr>
        <w:spacing w:line="360" w:lineRule="auto"/>
        <w:rPr>
          <w:rFonts w:hint="eastAsia" w:ascii="宋体" w:hAnsi="宋体" w:eastAsia="宋体" w:cs="宋体"/>
          <w:sz w:val="28"/>
          <w:szCs w:val="28"/>
        </w:rPr>
      </w:pPr>
    </w:p>
    <w:p w14:paraId="3FF56CBA">
      <w:pPr>
        <w:pStyle w:val="4"/>
        <w:spacing w:before="91" w:line="360" w:lineRule="auto"/>
        <w:ind w:left="1377"/>
        <w:rPr>
          <w:rFonts w:hint="eastAsia" w:ascii="宋体" w:hAnsi="宋体" w:eastAsia="宋体" w:cs="宋体"/>
          <w:sz w:val="28"/>
          <w:szCs w:val="28"/>
        </w:rPr>
      </w:pPr>
      <w:r>
        <w:rPr>
          <w:rFonts w:hint="eastAsia" w:ascii="宋体" w:hAnsi="宋体" w:eastAsia="宋体" w:cs="宋体"/>
          <w:b/>
          <w:bCs/>
          <w:spacing w:val="-26"/>
          <w:sz w:val="28"/>
          <w:szCs w:val="28"/>
        </w:rPr>
        <w:t>乙方：</w:t>
      </w:r>
    </w:p>
    <w:p w14:paraId="6DE70E4D">
      <w:pPr>
        <w:pStyle w:val="4"/>
        <w:spacing w:before="275" w:line="360" w:lineRule="auto"/>
        <w:ind w:left="1428"/>
      </w:pPr>
      <w:r>
        <w:rPr>
          <w:rFonts w:hint="eastAsia" w:ascii="宋体" w:hAnsi="宋体" w:eastAsia="宋体" w:cs="宋体"/>
          <w:b/>
          <w:bCs/>
          <w:spacing w:val="-25"/>
          <w:sz w:val="28"/>
          <w:szCs w:val="28"/>
        </w:rPr>
        <w:t>日期：二〇二</w:t>
      </w:r>
      <w:r>
        <w:rPr>
          <w:rFonts w:hint="eastAsia" w:ascii="宋体" w:hAnsi="宋体" w:eastAsia="宋体" w:cs="宋体"/>
          <w:b/>
          <w:bCs/>
          <w:spacing w:val="-25"/>
          <w:sz w:val="28"/>
          <w:szCs w:val="28"/>
          <w:lang w:val="en-US" w:eastAsia="zh-CN"/>
        </w:rPr>
        <w:t>六</w:t>
      </w:r>
      <w:r>
        <w:rPr>
          <w:rFonts w:hint="eastAsia" w:ascii="宋体" w:hAnsi="宋体" w:eastAsia="宋体" w:cs="宋体"/>
          <w:b/>
          <w:bCs/>
          <w:spacing w:val="-25"/>
          <w:sz w:val="28"/>
          <w:szCs w:val="28"/>
        </w:rPr>
        <w:t>年月</w:t>
      </w:r>
    </w:p>
    <w:p w14:paraId="707E656D">
      <w:pPr>
        <w:spacing w:line="360" w:lineRule="auto"/>
        <w:sectPr>
          <w:headerReference r:id="rId8" w:type="default"/>
          <w:footerReference r:id="rId9" w:type="default"/>
          <w:pgSz w:w="11906" w:h="16838"/>
          <w:pgMar w:top="1429" w:right="1786" w:bottom="1372" w:left="1786" w:header="0" w:footer="1208" w:gutter="0"/>
          <w:cols w:space="0" w:num="1"/>
          <w:rtlGutter w:val="0"/>
          <w:docGrid w:linePitch="0" w:charSpace="0"/>
        </w:sectPr>
      </w:pPr>
    </w:p>
    <w:p w14:paraId="4BB6C06A">
      <w:pPr>
        <w:pStyle w:val="4"/>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544" w:firstLineChars="200"/>
        <w:jc w:val="both"/>
        <w:textAlignment w:val="baseline"/>
        <w:rPr>
          <w:rFonts w:hint="eastAsia" w:ascii="仿宋" w:hAnsi="仿宋" w:eastAsia="仿宋" w:cs="仿宋"/>
          <w:sz w:val="28"/>
          <w:szCs w:val="28"/>
        </w:rPr>
      </w:pPr>
      <w:r>
        <w:rPr>
          <w:rFonts w:hint="eastAsia" w:ascii="仿宋" w:hAnsi="仿宋" w:eastAsia="仿宋" w:cs="仿宋"/>
          <w:spacing w:val="-4"/>
          <w:sz w:val="28"/>
          <w:szCs w:val="28"/>
        </w:rPr>
        <w:t>甲、乙双方根据《中华人民共和国政府采购法》、《中华人民共和国民法典》等相关</w:t>
      </w:r>
      <w:r>
        <w:rPr>
          <w:rFonts w:hint="eastAsia" w:ascii="仿宋" w:hAnsi="仿宋" w:eastAsia="仿宋" w:cs="仿宋"/>
          <w:spacing w:val="-2"/>
          <w:sz w:val="28"/>
          <w:szCs w:val="28"/>
        </w:rPr>
        <w:t>法律规定，经平等协商达成如下合同：</w:t>
      </w:r>
    </w:p>
    <w:p w14:paraId="4BA17413">
      <w:pPr>
        <w:pStyle w:val="4"/>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518" w:firstLineChars="200"/>
        <w:jc w:val="both"/>
        <w:textAlignment w:val="baseline"/>
        <w:rPr>
          <w:rFonts w:hint="eastAsia" w:ascii="仿宋" w:hAnsi="仿宋" w:eastAsia="仿宋" w:cs="仿宋"/>
          <w:sz w:val="28"/>
          <w:szCs w:val="28"/>
        </w:rPr>
      </w:pPr>
      <w:r>
        <w:rPr>
          <w:rFonts w:hint="eastAsia" w:ascii="仿宋" w:hAnsi="仿宋" w:eastAsia="仿宋" w:cs="仿宋"/>
          <w:b/>
          <w:bCs/>
          <w:spacing w:val="-11"/>
          <w:sz w:val="28"/>
          <w:szCs w:val="28"/>
        </w:rPr>
        <w:t>一、合同内容</w:t>
      </w:r>
    </w:p>
    <w:p w14:paraId="39C419E5">
      <w:pPr>
        <w:pStyle w:val="4"/>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540" w:firstLineChars="200"/>
        <w:jc w:val="both"/>
        <w:textAlignment w:val="baseline"/>
        <w:rPr>
          <w:rFonts w:hint="eastAsia" w:ascii="仿宋" w:hAnsi="仿宋" w:eastAsia="仿宋" w:cs="仿宋"/>
          <w:sz w:val="28"/>
          <w:szCs w:val="28"/>
        </w:rPr>
      </w:pPr>
      <w:r>
        <w:rPr>
          <w:rFonts w:hint="eastAsia" w:ascii="仿宋" w:hAnsi="仿宋" w:eastAsia="仿宋" w:cs="仿宋"/>
          <w:spacing w:val="-5"/>
          <w:sz w:val="28"/>
          <w:szCs w:val="28"/>
        </w:rPr>
        <w:t>乙方为甲方提（</w:t>
      </w:r>
      <w:r>
        <w:rPr>
          <w:rFonts w:hint="eastAsia" w:ascii="仿宋" w:hAnsi="仿宋" w:eastAsia="仿宋" w:cs="仿宋"/>
          <w:spacing w:val="-5"/>
          <w:sz w:val="28"/>
          <w:szCs w:val="28"/>
          <w:u w:val="single" w:color="auto"/>
        </w:rPr>
        <w:t>供项名称）服务</w:t>
      </w:r>
      <w:r>
        <w:rPr>
          <w:rFonts w:hint="eastAsia" w:ascii="仿宋" w:hAnsi="仿宋" w:eastAsia="仿宋" w:cs="仿宋"/>
          <w:spacing w:val="-5"/>
          <w:sz w:val="28"/>
          <w:szCs w:val="28"/>
        </w:rPr>
        <w:t>包括但不限于采购内容中的要求，具体如</w:t>
      </w:r>
      <w:r>
        <w:rPr>
          <w:rFonts w:hint="eastAsia" w:cs="仿宋"/>
          <w:spacing w:val="-5"/>
          <w:sz w:val="28"/>
          <w:szCs w:val="28"/>
          <w:lang w:val="en-US" w:eastAsia="zh-CN"/>
        </w:rPr>
        <w:t>下</w:t>
      </w:r>
      <w:r>
        <w:rPr>
          <w:rFonts w:hint="eastAsia" w:ascii="仿宋" w:hAnsi="仿宋" w:eastAsia="仿宋" w:cs="仿宋"/>
          <w:spacing w:val="-5"/>
          <w:sz w:val="28"/>
          <w:szCs w:val="28"/>
        </w:rPr>
        <w:t>：</w:t>
      </w:r>
    </w:p>
    <w:p w14:paraId="3ED1F431">
      <w:pPr>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544" w:firstLineChars="200"/>
        <w:jc w:val="both"/>
        <w:textAlignment w:val="baseline"/>
        <w:rPr>
          <w:rFonts w:hint="eastAsia" w:ascii="仿宋" w:hAnsi="仿宋" w:eastAsia="仿宋" w:cs="仿宋"/>
          <w:snapToGrid w:val="0"/>
          <w:color w:val="000000"/>
          <w:spacing w:val="-4"/>
          <w:kern w:val="0"/>
          <w:sz w:val="28"/>
          <w:szCs w:val="28"/>
          <w:lang w:val="en-US" w:eastAsia="en-US" w:bidi="ar-SA"/>
        </w:rPr>
      </w:pPr>
      <w:r>
        <w:rPr>
          <w:rFonts w:hint="eastAsia" w:ascii="仿宋" w:hAnsi="仿宋" w:eastAsia="仿宋" w:cs="仿宋"/>
          <w:snapToGrid w:val="0"/>
          <w:color w:val="000000"/>
          <w:spacing w:val="-4"/>
          <w:kern w:val="0"/>
          <w:sz w:val="28"/>
          <w:szCs w:val="28"/>
          <w:lang w:val="en-US" w:eastAsia="en-US" w:bidi="ar-SA"/>
        </w:rPr>
        <w:t>1.服务内容：</w:t>
      </w:r>
      <w:r>
        <w:rPr>
          <w:rFonts w:hint="eastAsia" w:ascii="仿宋" w:hAnsi="仿宋" w:eastAsia="仿宋" w:cs="仿宋"/>
          <w:snapToGrid w:val="0"/>
          <w:color w:val="000000"/>
          <w:spacing w:val="-4"/>
          <w:kern w:val="0"/>
          <w:sz w:val="28"/>
          <w:szCs w:val="28"/>
          <w:lang w:val="en-US" w:eastAsia="zh-CN" w:bidi="ar-SA"/>
        </w:rPr>
        <w:t>《绥德县丁家沟-十里铺饮用水水源地保护区撤销技术报告》编制</w:t>
      </w:r>
      <w:r>
        <w:rPr>
          <w:rFonts w:hint="eastAsia" w:ascii="仿宋" w:hAnsi="仿宋" w:eastAsia="仿宋" w:cs="仿宋"/>
          <w:snapToGrid w:val="0"/>
          <w:color w:val="000000"/>
          <w:spacing w:val="-4"/>
          <w:kern w:val="0"/>
          <w:sz w:val="28"/>
          <w:szCs w:val="28"/>
          <w:lang w:val="en-US" w:eastAsia="en-US" w:bidi="ar-SA"/>
        </w:rPr>
        <w:t>。</w:t>
      </w:r>
    </w:p>
    <w:p w14:paraId="5BEDD041">
      <w:pPr>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544" w:firstLineChars="200"/>
        <w:jc w:val="both"/>
        <w:textAlignment w:val="baseline"/>
        <w:rPr>
          <w:rFonts w:hint="eastAsia" w:ascii="仿宋" w:hAnsi="仿宋" w:eastAsia="仿宋" w:cs="仿宋"/>
          <w:snapToGrid w:val="0"/>
          <w:color w:val="000000"/>
          <w:spacing w:val="-4"/>
          <w:kern w:val="0"/>
          <w:sz w:val="28"/>
          <w:szCs w:val="28"/>
          <w:lang w:val="en-US" w:eastAsia="en-US" w:bidi="ar-SA"/>
        </w:rPr>
      </w:pPr>
      <w:r>
        <w:rPr>
          <w:rFonts w:hint="eastAsia" w:ascii="仿宋" w:hAnsi="仿宋" w:eastAsia="仿宋" w:cs="仿宋"/>
          <w:snapToGrid w:val="0"/>
          <w:color w:val="000000"/>
          <w:spacing w:val="-4"/>
          <w:kern w:val="0"/>
          <w:sz w:val="28"/>
          <w:szCs w:val="28"/>
          <w:lang w:val="en-US" w:eastAsia="en-US" w:bidi="ar-SA"/>
        </w:rPr>
        <w:t>2.服务要求：根据建设项目环境保护相关法律、法规及技术规范的要求，</w:t>
      </w:r>
      <w:r>
        <w:rPr>
          <w:rFonts w:hint="eastAsia" w:ascii="仿宋" w:hAnsi="仿宋" w:eastAsia="仿宋" w:cs="仿宋"/>
          <w:snapToGrid w:val="0"/>
          <w:color w:val="000000"/>
          <w:spacing w:val="-4"/>
          <w:kern w:val="0"/>
          <w:sz w:val="28"/>
          <w:szCs w:val="28"/>
          <w:lang w:val="en-US" w:eastAsia="zh-CN" w:bidi="ar-SA"/>
        </w:rPr>
        <w:t>编制</w:t>
      </w:r>
      <w:r>
        <w:rPr>
          <w:rFonts w:hint="eastAsia" w:ascii="仿宋" w:hAnsi="仿宋" w:eastAsia="仿宋" w:cs="仿宋"/>
          <w:snapToGrid w:val="0"/>
          <w:color w:val="000000"/>
          <w:spacing w:val="-4"/>
          <w:kern w:val="0"/>
          <w:sz w:val="28"/>
          <w:szCs w:val="28"/>
          <w:lang w:val="en-US" w:eastAsia="en-US" w:bidi="ar-SA"/>
        </w:rPr>
        <w:t>《《绥德县丁家沟-十里铺饮用水水源地保护区撤销技术报告》，编写质量及技术上达到国家标准和规范要求。</w:t>
      </w:r>
    </w:p>
    <w:p w14:paraId="1417A19F">
      <w:pPr>
        <w:pStyle w:val="4"/>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526" w:firstLineChars="200"/>
        <w:jc w:val="both"/>
        <w:textAlignment w:val="baseline"/>
        <w:rPr>
          <w:rFonts w:hint="eastAsia" w:ascii="仿宋" w:hAnsi="仿宋" w:eastAsia="仿宋" w:cs="仿宋"/>
          <w:sz w:val="28"/>
          <w:szCs w:val="28"/>
        </w:rPr>
      </w:pPr>
      <w:r>
        <w:rPr>
          <w:rFonts w:hint="eastAsia" w:ascii="仿宋" w:hAnsi="仿宋" w:eastAsia="仿宋" w:cs="仿宋"/>
          <w:b/>
          <w:bCs/>
          <w:spacing w:val="-9"/>
          <w:sz w:val="28"/>
          <w:szCs w:val="28"/>
        </w:rPr>
        <w:t>二、服务地点、成果及期限</w:t>
      </w:r>
    </w:p>
    <w:p w14:paraId="49DA7EF8">
      <w:pPr>
        <w:pStyle w:val="4"/>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96" w:firstLineChars="200"/>
        <w:jc w:val="both"/>
        <w:textAlignment w:val="baseline"/>
        <w:rPr>
          <w:rFonts w:hint="eastAsia" w:ascii="仿宋" w:hAnsi="仿宋" w:eastAsia="仿宋" w:cs="仿宋"/>
          <w:sz w:val="28"/>
          <w:szCs w:val="28"/>
          <w:lang w:val="en-US" w:eastAsia="zh-CN"/>
        </w:rPr>
      </w:pPr>
      <w:r>
        <w:rPr>
          <w:rFonts w:hint="eastAsia" w:ascii="仿宋" w:hAnsi="仿宋" w:eastAsia="仿宋" w:cs="仿宋"/>
          <w:spacing w:val="-16"/>
          <w:sz w:val="28"/>
          <w:szCs w:val="28"/>
        </w:rPr>
        <w:t>1</w:t>
      </w:r>
      <w:r>
        <w:rPr>
          <w:rFonts w:hint="eastAsia" w:cs="仿宋"/>
          <w:spacing w:val="-16"/>
          <w:sz w:val="28"/>
          <w:szCs w:val="28"/>
          <w:lang w:val="en-US" w:eastAsia="zh-CN"/>
        </w:rPr>
        <w:t>.</w:t>
      </w:r>
      <w:r>
        <w:rPr>
          <w:rFonts w:hint="eastAsia" w:ascii="仿宋" w:hAnsi="仿宋" w:eastAsia="仿宋" w:cs="仿宋"/>
          <w:spacing w:val="-16"/>
          <w:sz w:val="28"/>
          <w:szCs w:val="28"/>
        </w:rPr>
        <w:t>地点:</w:t>
      </w:r>
      <w:r>
        <w:rPr>
          <w:rFonts w:hint="eastAsia" w:ascii="仿宋" w:hAnsi="仿宋" w:eastAsia="仿宋" w:cs="仿宋"/>
          <w:spacing w:val="-16"/>
          <w:sz w:val="28"/>
          <w:szCs w:val="28"/>
          <w:lang w:val="en-US" w:eastAsia="zh-CN"/>
        </w:rPr>
        <w:t>榆林市绥德县</w:t>
      </w:r>
    </w:p>
    <w:p w14:paraId="7E35C9C3">
      <w:pPr>
        <w:pStyle w:val="4"/>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540" w:firstLineChars="200"/>
        <w:jc w:val="both"/>
        <w:textAlignment w:val="baseline"/>
        <w:rPr>
          <w:rFonts w:hint="eastAsia" w:ascii="仿宋" w:hAnsi="仿宋" w:eastAsia="仿宋" w:cs="仿宋"/>
          <w:sz w:val="28"/>
          <w:szCs w:val="28"/>
        </w:rPr>
      </w:pPr>
      <w:r>
        <w:rPr>
          <w:rFonts w:hint="eastAsia" w:ascii="仿宋" w:hAnsi="仿宋" w:eastAsia="仿宋" w:cs="仿宋"/>
          <w:spacing w:val="-5"/>
          <w:sz w:val="28"/>
          <w:szCs w:val="28"/>
        </w:rPr>
        <w:t>2</w:t>
      </w:r>
      <w:r>
        <w:rPr>
          <w:rFonts w:hint="eastAsia" w:cs="仿宋"/>
          <w:spacing w:val="-5"/>
          <w:sz w:val="28"/>
          <w:szCs w:val="28"/>
          <w:lang w:val="en-US" w:eastAsia="zh-CN"/>
        </w:rPr>
        <w:t>.</w:t>
      </w:r>
      <w:r>
        <w:rPr>
          <w:rFonts w:hint="eastAsia" w:ascii="仿宋" w:hAnsi="仿宋" w:eastAsia="仿宋" w:cs="仿宋"/>
          <w:spacing w:val="-5"/>
          <w:sz w:val="28"/>
          <w:szCs w:val="28"/>
        </w:rPr>
        <w:t>成果</w:t>
      </w:r>
      <w:r>
        <w:rPr>
          <w:rFonts w:hint="eastAsia" w:ascii="仿宋" w:hAnsi="仿宋" w:eastAsia="仿宋" w:cs="仿宋"/>
          <w:spacing w:val="-32"/>
          <w:sz w:val="28"/>
          <w:szCs w:val="28"/>
        </w:rPr>
        <w:t>：（</w:t>
      </w:r>
      <w:r>
        <w:rPr>
          <w:rFonts w:hint="eastAsia" w:ascii="仿宋" w:hAnsi="仿宋" w:eastAsia="仿宋" w:cs="仿宋"/>
          <w:spacing w:val="-5"/>
          <w:sz w:val="28"/>
          <w:szCs w:val="28"/>
        </w:rPr>
        <w:t>包含不限于）</w:t>
      </w:r>
    </w:p>
    <w:p w14:paraId="3F10CD0F">
      <w:pPr>
        <w:pStyle w:val="4"/>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536" w:firstLineChars="200"/>
        <w:jc w:val="both"/>
        <w:textAlignment w:val="baseline"/>
        <w:rPr>
          <w:rFonts w:hint="eastAsia" w:ascii="仿宋" w:hAnsi="仿宋" w:eastAsia="仿宋" w:cs="仿宋"/>
          <w:spacing w:val="-7"/>
          <w:sz w:val="28"/>
          <w:szCs w:val="28"/>
        </w:rPr>
      </w:pPr>
      <w:r>
        <w:rPr>
          <w:rFonts w:hint="eastAsia" w:cs="仿宋"/>
          <w:spacing w:val="-6"/>
          <w:sz w:val="28"/>
          <w:szCs w:val="28"/>
          <w:lang w:val="en-US" w:eastAsia="zh-CN"/>
        </w:rPr>
        <w:t>编制</w:t>
      </w:r>
      <w:r>
        <w:rPr>
          <w:rFonts w:hint="eastAsia" w:ascii="仿宋" w:hAnsi="仿宋" w:eastAsia="仿宋" w:cs="仿宋"/>
          <w:spacing w:val="-6"/>
          <w:sz w:val="28"/>
          <w:szCs w:val="28"/>
          <w:lang w:eastAsia="zh-CN"/>
        </w:rPr>
        <w:t>《《绥德县丁家沟-十里铺饮用水水源地保护区撤销技术报告》</w:t>
      </w:r>
      <w:r>
        <w:rPr>
          <w:rFonts w:hint="eastAsia" w:ascii="仿宋" w:hAnsi="仿宋" w:eastAsia="仿宋" w:cs="仿宋"/>
          <w:spacing w:val="-7"/>
          <w:sz w:val="28"/>
          <w:szCs w:val="28"/>
        </w:rPr>
        <w:t>。</w:t>
      </w:r>
      <w:r>
        <w:rPr>
          <w:rFonts w:hint="eastAsia" w:ascii="仿宋" w:hAnsi="仿宋" w:eastAsia="仿宋" w:cs="仿宋"/>
          <w:spacing w:val="-6"/>
          <w:sz w:val="28"/>
          <w:szCs w:val="28"/>
        </w:rPr>
        <w:t>包括环境应急预案、环境风险评估报告、应急资源调</w:t>
      </w:r>
      <w:r>
        <w:rPr>
          <w:rFonts w:hint="eastAsia" w:ascii="仿宋" w:hAnsi="仿宋" w:eastAsia="仿宋" w:cs="仿宋"/>
          <w:spacing w:val="-7"/>
          <w:sz w:val="28"/>
          <w:szCs w:val="28"/>
        </w:rPr>
        <w:t>查报告</w:t>
      </w:r>
      <w:r>
        <w:rPr>
          <w:rFonts w:hint="eastAsia" w:ascii="仿宋" w:hAnsi="仿宋" w:eastAsia="仿宋" w:cs="仿宋"/>
          <w:spacing w:val="-7"/>
          <w:sz w:val="28"/>
          <w:szCs w:val="28"/>
          <w:lang w:eastAsia="zh-CN"/>
        </w:rPr>
        <w:t>、</w:t>
      </w:r>
      <w:r>
        <w:rPr>
          <w:rFonts w:hint="eastAsia" w:ascii="仿宋" w:hAnsi="仿宋" w:eastAsia="仿宋" w:cs="仿宋"/>
          <w:spacing w:val="-7"/>
          <w:sz w:val="28"/>
          <w:szCs w:val="28"/>
          <w:lang w:val="en-US" w:eastAsia="zh-CN"/>
        </w:rPr>
        <w:t>编制说明等</w:t>
      </w:r>
      <w:r>
        <w:rPr>
          <w:rFonts w:hint="eastAsia" w:ascii="仿宋" w:hAnsi="仿宋" w:eastAsia="仿宋" w:cs="仿宋"/>
          <w:spacing w:val="-7"/>
          <w:sz w:val="28"/>
          <w:szCs w:val="28"/>
        </w:rPr>
        <w:t>。</w:t>
      </w:r>
    </w:p>
    <w:p w14:paraId="64FDE2F9">
      <w:pPr>
        <w:pStyle w:val="4"/>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532" w:firstLineChars="200"/>
        <w:jc w:val="both"/>
        <w:textAlignment w:val="baseline"/>
        <w:rPr>
          <w:rFonts w:hint="eastAsia" w:ascii="仿宋" w:hAnsi="仿宋" w:eastAsia="仿宋" w:cs="仿宋"/>
          <w:spacing w:val="-7"/>
          <w:sz w:val="28"/>
          <w:szCs w:val="28"/>
        </w:rPr>
      </w:pPr>
      <w:r>
        <w:rPr>
          <w:rFonts w:hint="eastAsia" w:cs="仿宋"/>
          <w:spacing w:val="-7"/>
          <w:sz w:val="28"/>
          <w:szCs w:val="28"/>
          <w:lang w:val="en-US" w:eastAsia="zh-CN"/>
        </w:rPr>
        <w:t>3</w:t>
      </w:r>
      <w:r>
        <w:rPr>
          <w:rFonts w:hint="eastAsia" w:ascii="仿宋" w:hAnsi="仿宋" w:eastAsia="仿宋" w:cs="仿宋"/>
          <w:spacing w:val="-7"/>
          <w:sz w:val="28"/>
          <w:szCs w:val="28"/>
        </w:rPr>
        <w:t>.技术服务质量要求：通过专家评审会。</w:t>
      </w:r>
    </w:p>
    <w:p w14:paraId="4A080DF1">
      <w:pPr>
        <w:pStyle w:val="4"/>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520" w:firstLineChars="200"/>
        <w:jc w:val="both"/>
        <w:textAlignment w:val="baseline"/>
        <w:rPr>
          <w:rFonts w:hint="default" w:ascii="仿宋" w:hAnsi="仿宋" w:eastAsia="仿宋" w:cs="仿宋"/>
          <w:sz w:val="28"/>
          <w:szCs w:val="28"/>
          <w:lang w:val="en-US"/>
        </w:rPr>
      </w:pPr>
      <w:r>
        <w:rPr>
          <w:rFonts w:hint="eastAsia" w:cs="仿宋"/>
          <w:spacing w:val="-10"/>
          <w:sz w:val="28"/>
          <w:szCs w:val="28"/>
          <w:lang w:val="en-US" w:eastAsia="zh-CN"/>
        </w:rPr>
        <w:t>4.</w:t>
      </w:r>
      <w:r>
        <w:rPr>
          <w:rFonts w:hint="eastAsia" w:ascii="仿宋" w:hAnsi="仿宋" w:eastAsia="仿宋" w:cs="仿宋"/>
          <w:spacing w:val="-10"/>
          <w:sz w:val="28"/>
          <w:szCs w:val="28"/>
        </w:rPr>
        <w:t>服务期限：</w:t>
      </w:r>
      <w:r>
        <w:rPr>
          <w:rFonts w:hint="eastAsia" w:ascii="仿宋" w:hAnsi="仿宋" w:eastAsia="仿宋" w:cs="仿宋"/>
          <w:spacing w:val="-10"/>
          <w:sz w:val="28"/>
          <w:szCs w:val="28"/>
          <w:highlight w:val="none"/>
          <w:lang w:val="en-US" w:eastAsia="zh-CN"/>
        </w:rPr>
        <w:t>自合同签订之日起一年</w:t>
      </w:r>
    </w:p>
    <w:p w14:paraId="507B6241">
      <w:pPr>
        <w:pStyle w:val="4"/>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514" w:firstLineChars="200"/>
        <w:jc w:val="both"/>
        <w:textAlignment w:val="baseline"/>
        <w:rPr>
          <w:rFonts w:hint="eastAsia" w:ascii="仿宋" w:hAnsi="仿宋" w:eastAsia="仿宋" w:cs="仿宋"/>
          <w:sz w:val="28"/>
          <w:szCs w:val="28"/>
        </w:rPr>
      </w:pPr>
      <w:r>
        <w:rPr>
          <w:rFonts w:hint="eastAsia" w:ascii="仿宋" w:hAnsi="仿宋" w:eastAsia="仿宋" w:cs="仿宋"/>
          <w:b/>
          <w:bCs/>
          <w:spacing w:val="-12"/>
          <w:sz w:val="28"/>
          <w:szCs w:val="28"/>
        </w:rPr>
        <w:t>三、合同金额</w:t>
      </w:r>
    </w:p>
    <w:p w14:paraId="08D10E7B">
      <w:pPr>
        <w:pStyle w:val="4"/>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532" w:firstLineChars="200"/>
        <w:jc w:val="both"/>
        <w:textAlignment w:val="baseline"/>
        <w:rPr>
          <w:rFonts w:hint="eastAsia" w:ascii="仿宋" w:hAnsi="仿宋" w:eastAsia="仿宋" w:cs="仿宋"/>
          <w:sz w:val="28"/>
          <w:szCs w:val="28"/>
        </w:rPr>
      </w:pPr>
      <w:r>
        <w:rPr>
          <w:rFonts w:hint="eastAsia" w:ascii="仿宋" w:hAnsi="仿宋" w:eastAsia="仿宋" w:cs="仿宋"/>
          <w:spacing w:val="-7"/>
          <w:sz w:val="28"/>
          <w:szCs w:val="28"/>
        </w:rPr>
        <w:t>1、合同总价：人民币（大写）元整(¥</w:t>
      </w:r>
      <w:r>
        <w:rPr>
          <w:rFonts w:hint="eastAsia" w:ascii="仿宋" w:hAnsi="仿宋" w:eastAsia="仿宋" w:cs="仿宋"/>
          <w:spacing w:val="-8"/>
          <w:sz w:val="28"/>
          <w:szCs w:val="28"/>
        </w:rPr>
        <w:t>元</w:t>
      </w:r>
      <w:r>
        <w:rPr>
          <w:rFonts w:hint="eastAsia" w:ascii="仿宋" w:hAnsi="仿宋" w:eastAsia="仿宋" w:cs="仿宋"/>
          <w:spacing w:val="4"/>
          <w:sz w:val="28"/>
          <w:szCs w:val="28"/>
        </w:rPr>
        <w:t>），</w:t>
      </w:r>
      <w:r>
        <w:rPr>
          <w:rFonts w:hint="eastAsia" w:ascii="仿宋" w:hAnsi="仿宋" w:eastAsia="仿宋" w:cs="仿宋"/>
          <w:spacing w:val="-8"/>
          <w:sz w:val="28"/>
          <w:szCs w:val="28"/>
        </w:rPr>
        <w:t>该</w:t>
      </w:r>
      <w:r>
        <w:rPr>
          <w:rFonts w:hint="eastAsia" w:ascii="仿宋" w:hAnsi="仿宋" w:eastAsia="仿宋" w:cs="仿宋"/>
          <w:spacing w:val="-10"/>
          <w:sz w:val="28"/>
          <w:szCs w:val="28"/>
        </w:rPr>
        <w:t>价款为含税价。</w:t>
      </w:r>
    </w:p>
    <w:p w14:paraId="49EC4355">
      <w:pPr>
        <w:pStyle w:val="4"/>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532" w:firstLineChars="200"/>
        <w:jc w:val="both"/>
        <w:textAlignment w:val="baseline"/>
        <w:rPr>
          <w:rFonts w:hint="eastAsia" w:ascii="仿宋" w:hAnsi="仿宋" w:eastAsia="仿宋" w:cs="仿宋"/>
          <w:sz w:val="28"/>
          <w:szCs w:val="28"/>
        </w:rPr>
      </w:pPr>
      <w:r>
        <w:rPr>
          <w:rFonts w:hint="eastAsia" w:ascii="仿宋" w:hAnsi="仿宋" w:eastAsia="仿宋" w:cs="仿宋"/>
          <w:spacing w:val="-7"/>
          <w:sz w:val="28"/>
          <w:szCs w:val="28"/>
        </w:rPr>
        <w:t>2、合同总价包括：完成所有内容的全部费用。</w:t>
      </w:r>
    </w:p>
    <w:p w14:paraId="21BE50C4">
      <w:pPr>
        <w:pStyle w:val="4"/>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536" w:firstLineChars="200"/>
        <w:jc w:val="both"/>
        <w:textAlignment w:val="baseline"/>
        <w:rPr>
          <w:rFonts w:hint="eastAsia" w:ascii="仿宋" w:hAnsi="仿宋" w:eastAsia="仿宋" w:cs="仿宋"/>
          <w:sz w:val="28"/>
          <w:szCs w:val="28"/>
        </w:rPr>
      </w:pPr>
      <w:r>
        <w:rPr>
          <w:rFonts w:hint="eastAsia" w:ascii="仿宋" w:hAnsi="仿宋" w:eastAsia="仿宋" w:cs="仿宋"/>
          <w:spacing w:val="-6"/>
          <w:sz w:val="28"/>
          <w:szCs w:val="28"/>
        </w:rPr>
        <w:t>3、合同总价一次包死，不受市场价变化的影响。</w:t>
      </w:r>
    </w:p>
    <w:p w14:paraId="0DED842F">
      <w:pPr>
        <w:pStyle w:val="4"/>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482" w:firstLineChars="200"/>
        <w:jc w:val="both"/>
        <w:textAlignment w:val="baseline"/>
        <w:rPr>
          <w:rFonts w:hint="eastAsia" w:ascii="仿宋" w:hAnsi="仿宋" w:eastAsia="仿宋" w:cs="仿宋"/>
          <w:sz w:val="28"/>
          <w:szCs w:val="28"/>
        </w:rPr>
      </w:pPr>
      <w:r>
        <w:rPr>
          <w:rFonts w:hint="eastAsia" w:ascii="仿宋" w:hAnsi="仿宋" w:eastAsia="仿宋" w:cs="仿宋"/>
          <w:b/>
          <w:bCs/>
          <w:spacing w:val="-20"/>
          <w:sz w:val="28"/>
          <w:szCs w:val="28"/>
        </w:rPr>
        <w:t>四、付款方式</w:t>
      </w:r>
    </w:p>
    <w:p w14:paraId="552D3B4A">
      <w:pPr>
        <w:pStyle w:val="4"/>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540" w:firstLineChars="200"/>
        <w:jc w:val="both"/>
        <w:textAlignment w:val="baseline"/>
        <w:rPr>
          <w:rFonts w:hint="eastAsia" w:ascii="仿宋" w:hAnsi="仿宋" w:eastAsia="仿宋" w:cs="仿宋"/>
          <w:sz w:val="28"/>
          <w:szCs w:val="28"/>
          <w:lang w:eastAsia="zh-CN"/>
        </w:rPr>
      </w:pPr>
      <w:r>
        <w:rPr>
          <w:rFonts w:hint="eastAsia" w:ascii="仿宋" w:hAnsi="仿宋" w:eastAsia="仿宋" w:cs="仿宋"/>
          <w:spacing w:val="-5"/>
          <w:sz w:val="28"/>
          <w:szCs w:val="28"/>
        </w:rPr>
        <w:t>（1）支付方式：</w:t>
      </w:r>
      <w:r>
        <w:rPr>
          <w:rFonts w:hint="eastAsia" w:ascii="仿宋" w:hAnsi="仿宋" w:eastAsia="仿宋" w:cs="仿宋"/>
          <w:spacing w:val="-5"/>
          <w:sz w:val="28"/>
          <w:szCs w:val="28"/>
          <w:u w:val="single" w:color="auto"/>
        </w:rPr>
        <w:t>根据相关政策、双方协商</w:t>
      </w:r>
    </w:p>
    <w:p w14:paraId="3F34E857">
      <w:pPr>
        <w:pStyle w:val="4"/>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536" w:firstLineChars="200"/>
        <w:jc w:val="both"/>
        <w:textAlignment w:val="baseline"/>
        <w:rPr>
          <w:rFonts w:hint="eastAsia" w:ascii="仿宋" w:hAnsi="仿宋" w:eastAsia="仿宋" w:cs="仿宋"/>
          <w:sz w:val="28"/>
          <w:szCs w:val="28"/>
          <w:lang w:eastAsia="zh-CN"/>
        </w:rPr>
        <w:sectPr>
          <w:footerReference r:id="rId10" w:type="default"/>
          <w:pgSz w:w="11906" w:h="16838"/>
          <w:pgMar w:top="1429" w:right="1786" w:bottom="1372" w:left="1786" w:header="0" w:footer="1208" w:gutter="0"/>
          <w:cols w:space="0" w:num="1"/>
          <w:rtlGutter w:val="0"/>
          <w:docGrid w:linePitch="0" w:charSpace="0"/>
        </w:sectPr>
      </w:pPr>
      <w:r>
        <w:rPr>
          <w:rFonts w:hint="eastAsia" w:ascii="仿宋" w:hAnsi="仿宋" w:eastAsia="仿宋" w:cs="仿宋"/>
          <w:spacing w:val="-6"/>
          <w:sz w:val="28"/>
          <w:szCs w:val="28"/>
        </w:rPr>
        <w:t>（2）结算方式：</w:t>
      </w:r>
      <w:r>
        <w:rPr>
          <w:rFonts w:hint="eastAsia" w:ascii="仿宋" w:hAnsi="仿宋" w:eastAsia="仿宋" w:cs="仿宋"/>
          <w:spacing w:val="-6"/>
          <w:sz w:val="28"/>
          <w:szCs w:val="28"/>
          <w:u w:val="single" w:color="auto"/>
        </w:rPr>
        <w:t>双方协商</w:t>
      </w:r>
    </w:p>
    <w:p w14:paraId="64F97A2F">
      <w:pPr>
        <w:pStyle w:val="4"/>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524" w:firstLineChars="200"/>
        <w:jc w:val="both"/>
        <w:textAlignment w:val="baseline"/>
        <w:rPr>
          <w:rFonts w:hint="eastAsia" w:ascii="仿宋" w:hAnsi="仿宋" w:eastAsia="仿宋" w:cs="仿宋"/>
          <w:sz w:val="28"/>
          <w:szCs w:val="28"/>
        </w:rPr>
      </w:pPr>
      <w:r>
        <w:rPr>
          <w:rFonts w:hint="eastAsia" w:ascii="仿宋" w:hAnsi="仿宋" w:eastAsia="仿宋" w:cs="仿宋"/>
          <w:spacing w:val="-9"/>
          <w:sz w:val="28"/>
          <w:szCs w:val="28"/>
        </w:rPr>
        <w:t>乙方收款财务信息如下：</w:t>
      </w:r>
    </w:p>
    <w:p w14:paraId="66B64CD0">
      <w:pPr>
        <w:pStyle w:val="4"/>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516" w:firstLineChars="200"/>
        <w:jc w:val="both"/>
        <w:textAlignment w:val="baseline"/>
        <w:rPr>
          <w:rFonts w:hint="eastAsia" w:ascii="仿宋" w:hAnsi="仿宋" w:eastAsia="仿宋" w:cs="仿宋"/>
          <w:sz w:val="28"/>
          <w:szCs w:val="28"/>
        </w:rPr>
      </w:pPr>
      <w:r>
        <w:rPr>
          <w:rFonts w:hint="eastAsia" w:ascii="仿宋" w:hAnsi="仿宋" w:eastAsia="仿宋" w:cs="仿宋"/>
          <w:spacing w:val="-11"/>
          <w:sz w:val="28"/>
          <w:szCs w:val="28"/>
        </w:rPr>
        <w:t>户名：</w:t>
      </w:r>
    </w:p>
    <w:p w14:paraId="4FDD325F">
      <w:pPr>
        <w:pStyle w:val="4"/>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516" w:firstLineChars="200"/>
        <w:jc w:val="both"/>
        <w:textAlignment w:val="baseline"/>
        <w:rPr>
          <w:rFonts w:hint="eastAsia" w:ascii="仿宋" w:hAnsi="仿宋" w:eastAsia="仿宋" w:cs="仿宋"/>
          <w:sz w:val="28"/>
          <w:szCs w:val="28"/>
        </w:rPr>
      </w:pPr>
      <w:r>
        <w:rPr>
          <w:rFonts w:hint="eastAsia" w:ascii="仿宋" w:hAnsi="仿宋" w:eastAsia="仿宋" w:cs="仿宋"/>
          <w:spacing w:val="-11"/>
          <w:sz w:val="28"/>
          <w:szCs w:val="28"/>
        </w:rPr>
        <w:t>开户银行：</w:t>
      </w:r>
    </w:p>
    <w:p w14:paraId="0EE6B217">
      <w:pPr>
        <w:pStyle w:val="4"/>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504" w:firstLineChars="200"/>
        <w:jc w:val="both"/>
        <w:textAlignment w:val="baseline"/>
        <w:rPr>
          <w:rFonts w:hint="eastAsia" w:ascii="仿宋" w:hAnsi="仿宋" w:eastAsia="仿宋" w:cs="仿宋"/>
          <w:sz w:val="28"/>
          <w:szCs w:val="28"/>
        </w:rPr>
      </w:pPr>
      <w:r>
        <w:rPr>
          <w:rFonts w:hint="eastAsia" w:ascii="仿宋" w:hAnsi="仿宋" w:eastAsia="仿宋" w:cs="仿宋"/>
          <w:spacing w:val="-14"/>
          <w:sz w:val="28"/>
          <w:szCs w:val="28"/>
        </w:rPr>
        <w:t>行号：</w:t>
      </w:r>
    </w:p>
    <w:p w14:paraId="45024BFC">
      <w:pPr>
        <w:pStyle w:val="4"/>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512" w:firstLineChars="200"/>
        <w:jc w:val="both"/>
        <w:textAlignment w:val="baseline"/>
        <w:rPr>
          <w:rFonts w:hint="eastAsia" w:ascii="仿宋" w:hAnsi="仿宋" w:eastAsia="仿宋" w:cs="仿宋"/>
          <w:sz w:val="28"/>
          <w:szCs w:val="28"/>
        </w:rPr>
      </w:pPr>
      <w:r>
        <w:rPr>
          <w:rFonts w:hint="eastAsia" w:ascii="仿宋" w:hAnsi="仿宋" w:eastAsia="仿宋" w:cs="仿宋"/>
          <w:spacing w:val="-12"/>
          <w:sz w:val="28"/>
          <w:szCs w:val="28"/>
        </w:rPr>
        <w:t>账号：</w:t>
      </w:r>
    </w:p>
    <w:p w14:paraId="73DB7CD0">
      <w:pPr>
        <w:pStyle w:val="4"/>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526" w:firstLineChars="200"/>
        <w:jc w:val="both"/>
        <w:textAlignment w:val="baseline"/>
        <w:rPr>
          <w:rFonts w:hint="eastAsia" w:ascii="仿宋" w:hAnsi="仿宋" w:eastAsia="仿宋" w:cs="仿宋"/>
          <w:sz w:val="28"/>
          <w:szCs w:val="28"/>
        </w:rPr>
      </w:pPr>
      <w:r>
        <w:rPr>
          <w:rFonts w:hint="eastAsia" w:ascii="仿宋" w:hAnsi="仿宋" w:eastAsia="仿宋" w:cs="仿宋"/>
          <w:b/>
          <w:bCs/>
          <w:spacing w:val="-9"/>
          <w:sz w:val="28"/>
          <w:szCs w:val="28"/>
        </w:rPr>
        <w:t>五、双方的权利和义务</w:t>
      </w:r>
    </w:p>
    <w:p w14:paraId="3AC6031E">
      <w:pPr>
        <w:pStyle w:val="4"/>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500" w:firstLineChars="200"/>
        <w:jc w:val="both"/>
        <w:textAlignment w:val="baseline"/>
        <w:rPr>
          <w:rFonts w:hint="eastAsia" w:ascii="仿宋" w:hAnsi="仿宋" w:eastAsia="仿宋" w:cs="仿宋"/>
          <w:sz w:val="28"/>
          <w:szCs w:val="28"/>
        </w:rPr>
      </w:pPr>
      <w:r>
        <w:rPr>
          <w:rFonts w:hint="eastAsia" w:ascii="仿宋" w:hAnsi="仿宋" w:eastAsia="仿宋" w:cs="仿宋"/>
          <w:spacing w:val="-15"/>
          <w:sz w:val="28"/>
          <w:szCs w:val="28"/>
        </w:rPr>
        <w:t>1、甲方的权利与义务</w:t>
      </w:r>
    </w:p>
    <w:p w14:paraId="5427DECE">
      <w:pPr>
        <w:pStyle w:val="4"/>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524" w:firstLineChars="200"/>
        <w:jc w:val="both"/>
        <w:textAlignment w:val="baseline"/>
        <w:rPr>
          <w:rFonts w:hint="eastAsia" w:ascii="仿宋" w:hAnsi="仿宋" w:eastAsia="仿宋" w:cs="仿宋"/>
          <w:sz w:val="28"/>
          <w:szCs w:val="28"/>
        </w:rPr>
      </w:pPr>
      <w:r>
        <w:rPr>
          <w:rFonts w:hint="eastAsia" w:ascii="仿宋" w:hAnsi="仿宋" w:eastAsia="仿宋" w:cs="仿宋"/>
          <w:spacing w:val="-9"/>
          <w:sz w:val="28"/>
          <w:szCs w:val="28"/>
        </w:rPr>
        <w:t>1.1甲方负责配合本次项目服务工作；</w:t>
      </w:r>
    </w:p>
    <w:p w14:paraId="5741A63C">
      <w:pPr>
        <w:pStyle w:val="4"/>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528" w:firstLineChars="200"/>
        <w:jc w:val="both"/>
        <w:textAlignment w:val="baseline"/>
        <w:rPr>
          <w:rFonts w:hint="eastAsia" w:ascii="仿宋" w:hAnsi="仿宋" w:eastAsia="仿宋" w:cs="仿宋"/>
          <w:sz w:val="28"/>
          <w:szCs w:val="28"/>
        </w:rPr>
      </w:pPr>
      <w:r>
        <w:rPr>
          <w:rFonts w:hint="eastAsia" w:ascii="仿宋" w:hAnsi="仿宋" w:eastAsia="仿宋" w:cs="仿宋"/>
          <w:spacing w:val="-8"/>
          <w:sz w:val="28"/>
          <w:szCs w:val="28"/>
        </w:rPr>
        <w:t>1.2甲方应按本合同的约定向乙方支付合同价款；</w:t>
      </w:r>
    </w:p>
    <w:p w14:paraId="477472F3">
      <w:pPr>
        <w:pStyle w:val="4"/>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524" w:firstLineChars="200"/>
        <w:jc w:val="both"/>
        <w:textAlignment w:val="baseline"/>
        <w:rPr>
          <w:rFonts w:hint="eastAsia" w:ascii="仿宋" w:hAnsi="仿宋" w:eastAsia="仿宋" w:cs="仿宋"/>
          <w:spacing w:val="-9"/>
          <w:sz w:val="28"/>
          <w:szCs w:val="28"/>
        </w:rPr>
      </w:pPr>
      <w:r>
        <w:rPr>
          <w:rFonts w:hint="eastAsia" w:ascii="仿宋" w:hAnsi="仿宋" w:eastAsia="仿宋" w:cs="仿宋"/>
          <w:spacing w:val="-9"/>
          <w:sz w:val="28"/>
          <w:szCs w:val="28"/>
        </w:rPr>
        <w:t>1.3甲方有权对乙方服务进行监督，如乙方未达到服务质量标准，甲方有权进行终止服务合同。</w:t>
      </w:r>
    </w:p>
    <w:p w14:paraId="38CA4567">
      <w:pPr>
        <w:pStyle w:val="4"/>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524" w:firstLineChars="200"/>
        <w:jc w:val="both"/>
        <w:textAlignment w:val="baseline"/>
        <w:rPr>
          <w:rFonts w:hint="eastAsia" w:ascii="仿宋" w:hAnsi="仿宋" w:eastAsia="仿宋" w:cs="仿宋"/>
          <w:spacing w:val="-9"/>
          <w:sz w:val="28"/>
          <w:szCs w:val="28"/>
        </w:rPr>
      </w:pPr>
      <w:r>
        <w:rPr>
          <w:rFonts w:hint="eastAsia" w:cs="仿宋"/>
          <w:spacing w:val="-9"/>
          <w:sz w:val="28"/>
          <w:szCs w:val="28"/>
          <w:lang w:val="en-US" w:eastAsia="zh-CN"/>
        </w:rPr>
        <w:t>1.4</w:t>
      </w:r>
      <w:r>
        <w:rPr>
          <w:rFonts w:hint="eastAsia" w:ascii="仿宋" w:hAnsi="仿宋" w:eastAsia="仿宋" w:cs="仿宋"/>
          <w:spacing w:val="-9"/>
          <w:sz w:val="28"/>
          <w:szCs w:val="28"/>
        </w:rPr>
        <w:t>在服务期内，甲方会根据国家相关法律法规、行业规范、内部规章制度及合同，对乙方工作人员在本项目中的工作进行监督。</w:t>
      </w:r>
    </w:p>
    <w:p w14:paraId="461BA557">
      <w:pPr>
        <w:pStyle w:val="4"/>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524" w:firstLineChars="200"/>
        <w:jc w:val="both"/>
        <w:textAlignment w:val="baseline"/>
        <w:rPr>
          <w:rFonts w:hint="eastAsia" w:ascii="仿宋" w:hAnsi="仿宋" w:eastAsia="仿宋" w:cs="仿宋"/>
          <w:spacing w:val="-9"/>
          <w:sz w:val="28"/>
          <w:szCs w:val="28"/>
        </w:rPr>
      </w:pPr>
      <w:r>
        <w:rPr>
          <w:rFonts w:hint="eastAsia" w:cs="仿宋"/>
          <w:spacing w:val="-9"/>
          <w:sz w:val="28"/>
          <w:szCs w:val="28"/>
          <w:lang w:val="en-US" w:eastAsia="zh-CN"/>
        </w:rPr>
        <w:t>1.5</w:t>
      </w:r>
      <w:r>
        <w:rPr>
          <w:rFonts w:hint="eastAsia" w:ascii="仿宋" w:hAnsi="仿宋" w:eastAsia="仿宋" w:cs="仿宋"/>
          <w:spacing w:val="-9"/>
          <w:sz w:val="28"/>
          <w:szCs w:val="28"/>
        </w:rPr>
        <w:t>甲方负责收集整理各方对本项目的意见和建议，甲方组织召开整改会议，乙方应参加并对提出问题进行整改。</w:t>
      </w:r>
    </w:p>
    <w:p w14:paraId="1C0925D8">
      <w:pPr>
        <w:pStyle w:val="4"/>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524" w:firstLineChars="200"/>
        <w:jc w:val="both"/>
        <w:textAlignment w:val="baseline"/>
        <w:rPr>
          <w:rFonts w:hint="default" w:ascii="仿宋" w:hAnsi="仿宋" w:eastAsia="仿宋" w:cs="仿宋"/>
          <w:spacing w:val="-9"/>
          <w:sz w:val="28"/>
          <w:szCs w:val="28"/>
          <w:lang w:val="en-US" w:eastAsia="zh-CN"/>
        </w:rPr>
      </w:pPr>
      <w:r>
        <w:rPr>
          <w:rFonts w:hint="eastAsia" w:cs="仿宋"/>
          <w:spacing w:val="-9"/>
          <w:sz w:val="28"/>
          <w:szCs w:val="28"/>
          <w:lang w:val="en-US" w:eastAsia="zh-CN"/>
        </w:rPr>
        <w:t>1.6甲方如遇政策性调整或其他特殊原因，直至有可能解除采购合同的情况下，可提前书面告知乙方，按照实际天数或实际工作量结算费用，甲方不承担其他违约责任，即可终止合同。</w:t>
      </w:r>
    </w:p>
    <w:p w14:paraId="57409BE4">
      <w:pPr>
        <w:pStyle w:val="4"/>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516" w:firstLineChars="200"/>
        <w:jc w:val="both"/>
        <w:textAlignment w:val="baseline"/>
        <w:rPr>
          <w:rFonts w:hint="eastAsia" w:ascii="仿宋" w:hAnsi="仿宋" w:eastAsia="仿宋" w:cs="仿宋"/>
          <w:sz w:val="28"/>
          <w:szCs w:val="28"/>
        </w:rPr>
      </w:pPr>
      <w:r>
        <w:rPr>
          <w:rFonts w:hint="eastAsia" w:ascii="仿宋" w:hAnsi="仿宋" w:eastAsia="仿宋" w:cs="仿宋"/>
          <w:spacing w:val="-11"/>
          <w:sz w:val="28"/>
          <w:szCs w:val="28"/>
        </w:rPr>
        <w:t>2、乙方的权利与义务</w:t>
      </w:r>
    </w:p>
    <w:p w14:paraId="1F5490A4">
      <w:pPr>
        <w:pStyle w:val="4"/>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548" w:firstLineChars="200"/>
        <w:jc w:val="both"/>
        <w:textAlignment w:val="baseline"/>
        <w:rPr>
          <w:rFonts w:hint="eastAsia" w:ascii="仿宋" w:hAnsi="仿宋" w:eastAsia="仿宋" w:cs="仿宋"/>
          <w:sz w:val="28"/>
          <w:szCs w:val="28"/>
        </w:rPr>
      </w:pPr>
      <w:r>
        <w:rPr>
          <w:rFonts w:hint="eastAsia" w:ascii="仿宋" w:hAnsi="仿宋" w:eastAsia="仿宋" w:cs="仿宋"/>
          <w:spacing w:val="-3"/>
          <w:sz w:val="28"/>
          <w:szCs w:val="28"/>
        </w:rPr>
        <w:t>2.1乙方在服务期内，应严格遵守中华人民共和国的现行法律法规，及乙方和甲方内部的相关管理制度，并应保障制度的有效执行。</w:t>
      </w:r>
    </w:p>
    <w:p w14:paraId="0D08D5BA">
      <w:pPr>
        <w:pStyle w:val="4"/>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560" w:firstLineChars="200"/>
        <w:jc w:val="both"/>
        <w:textAlignment w:val="baseline"/>
        <w:rPr>
          <w:rFonts w:hint="eastAsia" w:ascii="仿宋" w:hAnsi="仿宋" w:eastAsia="仿宋" w:cs="仿宋"/>
          <w:sz w:val="28"/>
          <w:szCs w:val="28"/>
        </w:rPr>
      </w:pPr>
      <w:r>
        <w:rPr>
          <w:rFonts w:hint="eastAsia" w:ascii="仿宋" w:hAnsi="仿宋" w:eastAsia="仿宋" w:cs="仿宋"/>
          <w:sz w:val="28"/>
          <w:szCs w:val="28"/>
        </w:rPr>
        <w:t>2.2乙方在服务期间发布的任何涉及甲方的相关信息，需经甲方确认无误后方可公</w:t>
      </w:r>
      <w:r>
        <w:rPr>
          <w:rFonts w:hint="eastAsia" w:ascii="仿宋" w:hAnsi="仿宋" w:eastAsia="仿宋" w:cs="仿宋"/>
          <w:spacing w:val="-9"/>
          <w:sz w:val="28"/>
          <w:szCs w:val="28"/>
        </w:rPr>
        <w:t>布。</w:t>
      </w:r>
    </w:p>
    <w:p w14:paraId="4030107C">
      <w:pPr>
        <w:pStyle w:val="4"/>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548" w:firstLineChars="200"/>
        <w:jc w:val="both"/>
        <w:textAlignment w:val="baseline"/>
        <w:rPr>
          <w:rFonts w:hint="eastAsia" w:ascii="仿宋" w:hAnsi="仿宋" w:eastAsia="仿宋" w:cs="仿宋"/>
          <w:sz w:val="28"/>
          <w:szCs w:val="28"/>
        </w:rPr>
      </w:pPr>
      <w:r>
        <w:rPr>
          <w:rFonts w:hint="eastAsia" w:ascii="仿宋" w:hAnsi="仿宋" w:eastAsia="仿宋" w:cs="仿宋"/>
          <w:spacing w:val="-3"/>
          <w:sz w:val="28"/>
          <w:szCs w:val="28"/>
        </w:rPr>
        <w:t>2.3乙方保证其所交付的服务没有侵犯任何第三人的知识产权和商业秘密等权利；</w:t>
      </w:r>
    </w:p>
    <w:p w14:paraId="48A00FBF">
      <w:pPr>
        <w:pStyle w:val="4"/>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536" w:firstLineChars="200"/>
        <w:jc w:val="both"/>
        <w:textAlignment w:val="baseline"/>
        <w:rPr>
          <w:rFonts w:hint="eastAsia" w:ascii="仿宋" w:hAnsi="仿宋" w:eastAsia="仿宋" w:cs="仿宋"/>
          <w:sz w:val="28"/>
          <w:szCs w:val="28"/>
        </w:rPr>
      </w:pPr>
      <w:r>
        <w:rPr>
          <w:rFonts w:hint="eastAsia" w:ascii="仿宋" w:hAnsi="仿宋" w:eastAsia="仿宋" w:cs="仿宋"/>
          <w:spacing w:val="-6"/>
          <w:sz w:val="28"/>
          <w:szCs w:val="28"/>
        </w:rPr>
        <w:t>2.4乙方保证对其交付的服务享有合法的权利；</w:t>
      </w:r>
    </w:p>
    <w:p w14:paraId="1A6B9E63">
      <w:pPr>
        <w:pStyle w:val="4"/>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540" w:firstLineChars="200"/>
        <w:jc w:val="both"/>
        <w:textAlignment w:val="baseline"/>
        <w:rPr>
          <w:rFonts w:hint="eastAsia" w:ascii="仿宋" w:hAnsi="仿宋" w:eastAsia="仿宋" w:cs="仿宋"/>
          <w:spacing w:val="-5"/>
          <w:sz w:val="28"/>
          <w:szCs w:val="28"/>
        </w:rPr>
      </w:pPr>
      <w:r>
        <w:rPr>
          <w:rFonts w:hint="eastAsia" w:ascii="仿宋" w:hAnsi="仿宋" w:eastAsia="仿宋" w:cs="仿宋"/>
          <w:spacing w:val="-5"/>
          <w:sz w:val="28"/>
          <w:szCs w:val="28"/>
        </w:rPr>
        <w:t>2.5服务期间,乙方必须要按照甲方要求对于突发事件提供应急服务和保障。</w:t>
      </w:r>
    </w:p>
    <w:p w14:paraId="19700C50">
      <w:pPr>
        <w:pStyle w:val="4"/>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540" w:firstLineChars="200"/>
        <w:jc w:val="both"/>
        <w:textAlignment w:val="baseline"/>
        <w:rPr>
          <w:rFonts w:hint="eastAsia" w:ascii="仿宋" w:hAnsi="仿宋" w:eastAsia="仿宋" w:cs="仿宋"/>
          <w:spacing w:val="-5"/>
          <w:sz w:val="28"/>
          <w:szCs w:val="28"/>
        </w:rPr>
      </w:pPr>
      <w:r>
        <w:rPr>
          <w:rFonts w:hint="eastAsia" w:cs="仿宋"/>
          <w:spacing w:val="-5"/>
          <w:sz w:val="28"/>
          <w:szCs w:val="28"/>
          <w:lang w:val="en-US" w:eastAsia="zh-CN"/>
        </w:rPr>
        <w:t>2.6</w:t>
      </w:r>
      <w:r>
        <w:rPr>
          <w:rFonts w:hint="eastAsia" w:ascii="仿宋" w:hAnsi="仿宋" w:eastAsia="仿宋" w:cs="仿宋"/>
          <w:spacing w:val="-5"/>
          <w:sz w:val="28"/>
          <w:szCs w:val="28"/>
        </w:rPr>
        <w:t>服务期间，乙方派出人员发生任何意外伤害，均由乙方承担责任和赔偿。</w:t>
      </w:r>
    </w:p>
    <w:p w14:paraId="65A78FDB">
      <w:pPr>
        <w:pStyle w:val="4"/>
        <w:keepNext w:val="0"/>
        <w:keepLines w:val="0"/>
        <w:pageBreakBefore w:val="0"/>
        <w:widowControl w:val="0"/>
        <w:kinsoku/>
        <w:wordWrap/>
        <w:overflowPunct w:val="0"/>
        <w:topLinePunct w:val="0"/>
        <w:autoSpaceDE w:val="0"/>
        <w:autoSpaceDN w:val="0"/>
        <w:bidi w:val="0"/>
        <w:adjustRightInd w:val="0"/>
        <w:snapToGrid w:val="0"/>
        <w:spacing w:line="360" w:lineRule="auto"/>
        <w:ind w:left="0" w:right="0" w:firstLine="556" w:firstLineChars="200"/>
        <w:jc w:val="both"/>
        <w:textAlignment w:val="baseline"/>
        <w:rPr>
          <w:rFonts w:hint="eastAsia" w:ascii="仿宋" w:hAnsi="仿宋" w:eastAsia="仿宋" w:cs="仿宋"/>
          <w:sz w:val="28"/>
          <w:szCs w:val="28"/>
        </w:rPr>
      </w:pPr>
      <w:r>
        <w:rPr>
          <w:rFonts w:hint="eastAsia" w:ascii="仿宋" w:hAnsi="仿宋" w:eastAsia="仿宋" w:cs="仿宋"/>
          <w:spacing w:val="-1"/>
          <w:sz w:val="28"/>
          <w:szCs w:val="28"/>
        </w:rPr>
        <w:t>2.</w:t>
      </w:r>
      <w:r>
        <w:rPr>
          <w:rFonts w:hint="eastAsia" w:cs="仿宋"/>
          <w:spacing w:val="-1"/>
          <w:sz w:val="28"/>
          <w:szCs w:val="28"/>
          <w:lang w:val="en-US" w:eastAsia="zh-CN"/>
        </w:rPr>
        <w:t>7</w:t>
      </w:r>
      <w:r>
        <w:rPr>
          <w:rFonts w:hint="eastAsia" w:ascii="仿宋" w:hAnsi="仿宋" w:eastAsia="仿宋" w:cs="仿宋"/>
          <w:spacing w:val="-1"/>
          <w:sz w:val="28"/>
          <w:szCs w:val="28"/>
        </w:rPr>
        <w:t>如甲方使用该服务构成上述侵权的，则由乙方承担全部责</w:t>
      </w:r>
      <w:r>
        <w:rPr>
          <w:rFonts w:hint="eastAsia" w:cs="仿宋"/>
          <w:spacing w:val="-1"/>
          <w:sz w:val="28"/>
          <w:szCs w:val="28"/>
          <w:lang w:val="en-US" w:eastAsia="zh-CN"/>
        </w:rPr>
        <w:t>任</w:t>
      </w:r>
      <w:r>
        <w:rPr>
          <w:rFonts w:hint="eastAsia" w:ascii="仿宋" w:hAnsi="仿宋" w:eastAsia="仿宋" w:cs="仿宋"/>
          <w:spacing w:val="-1"/>
          <w:sz w:val="28"/>
          <w:szCs w:val="28"/>
        </w:rPr>
        <w:t>。</w:t>
      </w:r>
    </w:p>
    <w:p w14:paraId="15E958B0">
      <w:pPr>
        <w:pStyle w:val="4"/>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518" w:firstLineChars="200"/>
        <w:jc w:val="both"/>
        <w:textAlignment w:val="baseline"/>
        <w:rPr>
          <w:rFonts w:hint="eastAsia" w:ascii="仿宋" w:hAnsi="仿宋" w:eastAsia="仿宋" w:cs="仿宋"/>
          <w:sz w:val="28"/>
          <w:szCs w:val="28"/>
        </w:rPr>
      </w:pPr>
      <w:r>
        <w:rPr>
          <w:rFonts w:hint="eastAsia" w:ascii="仿宋" w:hAnsi="仿宋" w:eastAsia="仿宋" w:cs="仿宋"/>
          <w:b/>
          <w:bCs/>
          <w:spacing w:val="-11"/>
          <w:sz w:val="28"/>
          <w:szCs w:val="28"/>
        </w:rPr>
        <w:t>六、验收标准</w:t>
      </w:r>
    </w:p>
    <w:p w14:paraId="6E2938BF">
      <w:pPr>
        <w:pStyle w:val="4"/>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548" w:firstLineChars="200"/>
        <w:jc w:val="both"/>
        <w:textAlignment w:val="baseline"/>
        <w:rPr>
          <w:rFonts w:hint="eastAsia" w:ascii="仿宋" w:hAnsi="仿宋" w:eastAsia="仿宋" w:cs="仿宋"/>
          <w:spacing w:val="-3"/>
          <w:sz w:val="28"/>
          <w:szCs w:val="28"/>
        </w:rPr>
      </w:pPr>
      <w:r>
        <w:rPr>
          <w:rFonts w:hint="eastAsia" w:cs="仿宋"/>
          <w:spacing w:val="-3"/>
          <w:sz w:val="28"/>
          <w:szCs w:val="28"/>
          <w:lang w:val="en-US" w:eastAsia="zh-CN"/>
        </w:rPr>
        <w:t>1.</w:t>
      </w:r>
      <w:r>
        <w:rPr>
          <w:rFonts w:hint="eastAsia" w:ascii="仿宋" w:hAnsi="仿宋" w:eastAsia="仿宋" w:cs="仿宋"/>
          <w:spacing w:val="-3"/>
          <w:sz w:val="28"/>
          <w:szCs w:val="28"/>
        </w:rPr>
        <w:t>服务期结束后，乙方向甲方提交验收申请。</w:t>
      </w:r>
    </w:p>
    <w:p w14:paraId="5C6B06EB">
      <w:pPr>
        <w:pStyle w:val="4"/>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548" w:firstLineChars="200"/>
        <w:jc w:val="both"/>
        <w:textAlignment w:val="baseline"/>
        <w:rPr>
          <w:rFonts w:hint="eastAsia" w:ascii="仿宋" w:hAnsi="仿宋" w:eastAsia="仿宋" w:cs="仿宋"/>
          <w:spacing w:val="-3"/>
          <w:sz w:val="28"/>
          <w:szCs w:val="28"/>
        </w:rPr>
      </w:pPr>
      <w:r>
        <w:rPr>
          <w:rFonts w:hint="eastAsia" w:cs="仿宋"/>
          <w:spacing w:val="-3"/>
          <w:sz w:val="28"/>
          <w:szCs w:val="28"/>
          <w:lang w:val="en-US" w:eastAsia="zh-CN"/>
        </w:rPr>
        <w:t>2.</w:t>
      </w:r>
      <w:r>
        <w:rPr>
          <w:rFonts w:hint="eastAsia" w:ascii="仿宋" w:hAnsi="仿宋" w:eastAsia="仿宋" w:cs="仿宋"/>
          <w:spacing w:val="-3"/>
          <w:sz w:val="28"/>
          <w:szCs w:val="28"/>
        </w:rPr>
        <w:t>甲方收到验收申请后组织验收,验收时乙方应无条件予以配合并提供验收所需的全部资料，若乙方不配合或者未按合同要求提供服务的，甲方将拒绝验收。</w:t>
      </w:r>
    </w:p>
    <w:p w14:paraId="4B6A1CAD">
      <w:pPr>
        <w:pStyle w:val="4"/>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548" w:firstLineChars="200"/>
        <w:jc w:val="both"/>
        <w:textAlignment w:val="baseline"/>
        <w:rPr>
          <w:rFonts w:hint="eastAsia" w:ascii="仿宋" w:hAnsi="仿宋" w:eastAsia="仿宋" w:cs="仿宋"/>
          <w:spacing w:val="-3"/>
          <w:sz w:val="28"/>
          <w:szCs w:val="28"/>
        </w:rPr>
      </w:pPr>
      <w:r>
        <w:rPr>
          <w:rFonts w:hint="eastAsia" w:cs="仿宋"/>
          <w:spacing w:val="-3"/>
          <w:sz w:val="28"/>
          <w:szCs w:val="28"/>
          <w:lang w:val="en-US" w:eastAsia="zh-CN"/>
        </w:rPr>
        <w:t>3.</w:t>
      </w:r>
      <w:r>
        <w:rPr>
          <w:rFonts w:hint="eastAsia" w:ascii="仿宋" w:hAnsi="仿宋" w:eastAsia="仿宋" w:cs="仿宋"/>
          <w:spacing w:val="-3"/>
          <w:sz w:val="28"/>
          <w:szCs w:val="28"/>
        </w:rPr>
        <w:t>验收依据:合同文本、相应的标准、规范。</w:t>
      </w:r>
    </w:p>
    <w:p w14:paraId="163410DE">
      <w:pPr>
        <w:pStyle w:val="4"/>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512" w:firstLineChars="200"/>
        <w:jc w:val="both"/>
        <w:textAlignment w:val="baseline"/>
        <w:rPr>
          <w:rFonts w:hint="eastAsia" w:ascii="仿宋" w:hAnsi="仿宋" w:eastAsia="仿宋" w:cs="仿宋"/>
          <w:sz w:val="28"/>
          <w:szCs w:val="28"/>
        </w:rPr>
      </w:pPr>
      <w:r>
        <w:rPr>
          <w:rFonts w:hint="eastAsia" w:cs="仿宋"/>
          <w:spacing w:val="-12"/>
          <w:sz w:val="28"/>
          <w:szCs w:val="28"/>
          <w:lang w:val="en-US" w:eastAsia="zh-CN"/>
        </w:rPr>
        <w:t>4.</w:t>
      </w:r>
      <w:r>
        <w:rPr>
          <w:rFonts w:hint="eastAsia" w:ascii="仿宋" w:hAnsi="仿宋" w:eastAsia="仿宋" w:cs="仿宋"/>
          <w:spacing w:val="-12"/>
          <w:sz w:val="28"/>
          <w:szCs w:val="28"/>
        </w:rPr>
        <w:t>除不可抗力和甲方原因造成无法按期交付服务成果的，乙方延期交付，</w:t>
      </w:r>
      <w:r>
        <w:rPr>
          <w:rFonts w:hint="eastAsia" w:ascii="仿宋" w:hAnsi="仿宋" w:eastAsia="仿宋" w:cs="仿宋"/>
          <w:spacing w:val="-13"/>
          <w:sz w:val="28"/>
          <w:szCs w:val="28"/>
        </w:rPr>
        <w:t>每延迟1日，按</w:t>
      </w:r>
      <w:r>
        <w:rPr>
          <w:rFonts w:hint="eastAsia" w:ascii="仿宋" w:hAnsi="仿宋" w:eastAsia="仿宋" w:cs="仿宋"/>
          <w:spacing w:val="-3"/>
          <w:sz w:val="28"/>
          <w:szCs w:val="28"/>
        </w:rPr>
        <w:t>合同总额0.5‰支付违约金；延期交付15日以上，乙方按合同总额日0.5‰向</w:t>
      </w:r>
      <w:r>
        <w:rPr>
          <w:rFonts w:hint="eastAsia" w:ascii="仿宋" w:hAnsi="仿宋" w:eastAsia="仿宋" w:cs="仿宋"/>
          <w:spacing w:val="-4"/>
          <w:sz w:val="28"/>
          <w:szCs w:val="28"/>
        </w:rPr>
        <w:t>甲方支付违约</w:t>
      </w:r>
      <w:r>
        <w:rPr>
          <w:rFonts w:hint="eastAsia" w:ascii="仿宋" w:hAnsi="仿宋" w:eastAsia="仿宋" w:cs="仿宋"/>
          <w:spacing w:val="-1"/>
          <w:sz w:val="28"/>
          <w:szCs w:val="28"/>
        </w:rPr>
        <w:t>金，同时甲方有权解除本合同，乙方还应赔偿甲方因此遭受的</w:t>
      </w:r>
      <w:r>
        <w:rPr>
          <w:rFonts w:hint="eastAsia" w:ascii="仿宋" w:hAnsi="仿宋" w:eastAsia="仿宋" w:cs="仿宋"/>
          <w:spacing w:val="-2"/>
          <w:sz w:val="28"/>
          <w:szCs w:val="28"/>
        </w:rPr>
        <w:t>所有损失。</w:t>
      </w:r>
    </w:p>
    <w:p w14:paraId="6F15CA50">
      <w:pPr>
        <w:pStyle w:val="4"/>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518" w:firstLineChars="200"/>
        <w:jc w:val="both"/>
        <w:textAlignment w:val="baseline"/>
        <w:rPr>
          <w:rFonts w:hint="eastAsia" w:ascii="仿宋" w:hAnsi="仿宋" w:eastAsia="仿宋" w:cs="仿宋"/>
          <w:sz w:val="28"/>
          <w:szCs w:val="28"/>
        </w:rPr>
      </w:pPr>
      <w:r>
        <w:rPr>
          <w:rFonts w:hint="eastAsia" w:ascii="仿宋" w:hAnsi="仿宋" w:eastAsia="仿宋" w:cs="仿宋"/>
          <w:b/>
          <w:bCs/>
          <w:spacing w:val="-11"/>
          <w:sz w:val="28"/>
          <w:szCs w:val="28"/>
        </w:rPr>
        <w:t>七、知识产权</w:t>
      </w:r>
    </w:p>
    <w:p w14:paraId="478BB637">
      <w:pPr>
        <w:pStyle w:val="4"/>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584" w:firstLineChars="200"/>
        <w:jc w:val="both"/>
        <w:textAlignment w:val="baseline"/>
        <w:rPr>
          <w:rFonts w:hint="eastAsia" w:ascii="仿宋" w:hAnsi="仿宋" w:eastAsia="仿宋" w:cs="仿宋"/>
          <w:sz w:val="28"/>
          <w:szCs w:val="28"/>
        </w:rPr>
      </w:pPr>
      <w:r>
        <w:rPr>
          <w:rFonts w:hint="eastAsia" w:ascii="仿宋" w:hAnsi="仿宋" w:eastAsia="仿宋" w:cs="仿宋"/>
          <w:spacing w:val="6"/>
          <w:sz w:val="28"/>
          <w:szCs w:val="28"/>
        </w:rPr>
        <w:t>乙方应保证所实施内容涉及到的技术服务不会出现因第三方提出侵犯其知</w:t>
      </w:r>
      <w:r>
        <w:rPr>
          <w:rFonts w:hint="eastAsia" w:ascii="仿宋" w:hAnsi="仿宋" w:eastAsia="仿宋" w:cs="仿宋"/>
          <w:spacing w:val="5"/>
          <w:sz w:val="28"/>
          <w:szCs w:val="28"/>
        </w:rPr>
        <w:t>识产权等</w:t>
      </w:r>
      <w:r>
        <w:rPr>
          <w:rFonts w:hint="eastAsia" w:ascii="仿宋" w:hAnsi="仿宋" w:eastAsia="仿宋" w:cs="仿宋"/>
          <w:spacing w:val="-5"/>
          <w:sz w:val="28"/>
          <w:szCs w:val="28"/>
        </w:rPr>
        <w:t>而引发的法律或经济纠纷，否则由乙方承担全部责任。本合同涉及的服务成果的知识产权归</w:t>
      </w:r>
      <w:r>
        <w:rPr>
          <w:rFonts w:hint="eastAsia" w:ascii="仿宋" w:hAnsi="仿宋" w:eastAsia="仿宋" w:cs="仿宋"/>
          <w:spacing w:val="-4"/>
          <w:sz w:val="28"/>
          <w:szCs w:val="28"/>
        </w:rPr>
        <w:t>甲乙双方共同所有。</w:t>
      </w:r>
    </w:p>
    <w:p w14:paraId="0F28CD92">
      <w:pPr>
        <w:pStyle w:val="4"/>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522" w:firstLineChars="200"/>
        <w:jc w:val="both"/>
        <w:textAlignment w:val="baseline"/>
        <w:rPr>
          <w:rFonts w:hint="eastAsia" w:ascii="仿宋" w:hAnsi="仿宋" w:eastAsia="仿宋" w:cs="仿宋"/>
          <w:sz w:val="28"/>
          <w:szCs w:val="28"/>
        </w:rPr>
      </w:pPr>
      <w:r>
        <w:rPr>
          <w:rFonts w:hint="eastAsia" w:ascii="仿宋" w:hAnsi="仿宋" w:eastAsia="仿宋" w:cs="仿宋"/>
          <w:b/>
          <w:bCs/>
          <w:spacing w:val="-10"/>
          <w:sz w:val="28"/>
          <w:szCs w:val="28"/>
        </w:rPr>
        <w:t>八、服务质量保证</w:t>
      </w:r>
    </w:p>
    <w:p w14:paraId="4885C416">
      <w:pPr>
        <w:pStyle w:val="4"/>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540" w:firstLineChars="200"/>
        <w:jc w:val="left"/>
        <w:textAlignment w:val="baseline"/>
        <w:rPr>
          <w:rFonts w:hint="eastAsia" w:ascii="仿宋" w:hAnsi="仿宋" w:eastAsia="仿宋" w:cs="仿宋"/>
          <w:spacing w:val="-6"/>
          <w:sz w:val="28"/>
          <w:szCs w:val="28"/>
        </w:rPr>
      </w:pPr>
      <w:r>
        <w:rPr>
          <w:rFonts w:hint="eastAsia" w:ascii="仿宋" w:hAnsi="仿宋" w:eastAsia="仿宋" w:cs="仿宋"/>
          <w:spacing w:val="-5"/>
          <w:sz w:val="28"/>
          <w:szCs w:val="28"/>
        </w:rPr>
        <w:t>1、乙方需派一名项目负责人，直接与甲方沟通，项目负责人接收甲方提出的</w:t>
      </w:r>
      <w:r>
        <w:rPr>
          <w:rFonts w:hint="eastAsia" w:ascii="仿宋" w:hAnsi="仿宋" w:eastAsia="仿宋" w:cs="仿宋"/>
          <w:spacing w:val="-6"/>
          <w:sz w:val="28"/>
          <w:szCs w:val="28"/>
        </w:rPr>
        <w:t>问题与</w:t>
      </w:r>
      <w:r>
        <w:rPr>
          <w:rFonts w:hint="eastAsia" w:cs="仿宋"/>
          <w:spacing w:val="-3"/>
          <w:sz w:val="28"/>
          <w:szCs w:val="28"/>
          <w:lang w:val="en-US" w:eastAsia="zh-CN"/>
        </w:rPr>
        <w:t>要求</w:t>
      </w:r>
      <w:r>
        <w:rPr>
          <w:rFonts w:hint="eastAsia" w:ascii="仿宋" w:hAnsi="仿宋" w:eastAsia="仿宋" w:cs="仿宋"/>
          <w:spacing w:val="-3"/>
          <w:sz w:val="28"/>
          <w:szCs w:val="28"/>
        </w:rPr>
        <w:t>，并及时解决在项目实施过程中遇到的问题。</w:t>
      </w:r>
    </w:p>
    <w:p w14:paraId="15BA9686">
      <w:pPr>
        <w:pStyle w:val="4"/>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544" w:firstLineChars="200"/>
        <w:jc w:val="both"/>
        <w:textAlignment w:val="baseline"/>
        <w:rPr>
          <w:rFonts w:hint="eastAsia" w:ascii="仿宋" w:hAnsi="仿宋" w:eastAsia="仿宋" w:cs="仿宋"/>
          <w:sz w:val="28"/>
          <w:szCs w:val="28"/>
        </w:rPr>
      </w:pPr>
      <w:r>
        <w:rPr>
          <w:rFonts w:hint="eastAsia" w:ascii="仿宋" w:hAnsi="仿宋" w:eastAsia="仿宋" w:cs="仿宋"/>
          <w:spacing w:val="-4"/>
          <w:sz w:val="28"/>
          <w:szCs w:val="28"/>
        </w:rPr>
        <w:t>2、项目在实施过程中如出现不可预料的需求变更</w:t>
      </w:r>
      <w:r>
        <w:rPr>
          <w:rFonts w:hint="eastAsia" w:ascii="仿宋" w:hAnsi="仿宋" w:eastAsia="仿宋" w:cs="仿宋"/>
          <w:spacing w:val="-5"/>
          <w:sz w:val="28"/>
          <w:szCs w:val="28"/>
        </w:rPr>
        <w:t>，乙方需积极配合甲方的需求变更，</w:t>
      </w:r>
      <w:r>
        <w:rPr>
          <w:rFonts w:hint="eastAsia" w:ascii="仿宋" w:hAnsi="仿宋" w:eastAsia="仿宋" w:cs="仿宋"/>
          <w:spacing w:val="-3"/>
          <w:sz w:val="28"/>
          <w:szCs w:val="28"/>
        </w:rPr>
        <w:t>并按照变更后的需求继续进行项目实施。</w:t>
      </w:r>
    </w:p>
    <w:p w14:paraId="3D629874">
      <w:pPr>
        <w:pStyle w:val="4"/>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502" w:firstLineChars="200"/>
        <w:jc w:val="both"/>
        <w:textAlignment w:val="baseline"/>
        <w:rPr>
          <w:rFonts w:hint="eastAsia" w:ascii="仿宋" w:hAnsi="仿宋" w:eastAsia="仿宋" w:cs="仿宋"/>
          <w:sz w:val="28"/>
          <w:szCs w:val="28"/>
        </w:rPr>
      </w:pPr>
      <w:r>
        <w:rPr>
          <w:rFonts w:hint="eastAsia" w:ascii="仿宋" w:hAnsi="仿宋" w:eastAsia="仿宋" w:cs="仿宋"/>
          <w:b/>
          <w:bCs/>
          <w:spacing w:val="-15"/>
          <w:sz w:val="28"/>
          <w:szCs w:val="28"/>
        </w:rPr>
        <w:t>九、保密</w:t>
      </w:r>
    </w:p>
    <w:p w14:paraId="64B0ED7B">
      <w:pPr>
        <w:pStyle w:val="4"/>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512" w:firstLineChars="200"/>
        <w:jc w:val="both"/>
        <w:textAlignment w:val="baseline"/>
        <w:rPr>
          <w:rFonts w:hint="eastAsia" w:ascii="仿宋" w:hAnsi="仿宋" w:eastAsia="仿宋" w:cs="仿宋"/>
          <w:sz w:val="28"/>
          <w:szCs w:val="28"/>
        </w:rPr>
      </w:pPr>
      <w:r>
        <w:rPr>
          <w:rFonts w:hint="eastAsia" w:ascii="仿宋" w:hAnsi="仿宋" w:eastAsia="仿宋" w:cs="仿宋"/>
          <w:spacing w:val="-12"/>
          <w:sz w:val="28"/>
          <w:szCs w:val="28"/>
        </w:rPr>
        <w:t>1、乙方对所有监测数据、所出具的成果报告及甲方提供的资料（</w:t>
      </w:r>
      <w:r>
        <w:rPr>
          <w:rFonts w:hint="eastAsia" w:ascii="仿宋" w:hAnsi="仿宋" w:eastAsia="仿宋" w:cs="仿宋"/>
          <w:spacing w:val="-13"/>
          <w:sz w:val="28"/>
          <w:szCs w:val="28"/>
        </w:rPr>
        <w:t>以下合称“保密资料”）</w:t>
      </w:r>
      <w:r>
        <w:rPr>
          <w:rFonts w:hint="eastAsia" w:ascii="仿宋" w:hAnsi="仿宋" w:eastAsia="仿宋" w:cs="仿宋"/>
          <w:spacing w:val="-4"/>
          <w:sz w:val="28"/>
          <w:szCs w:val="28"/>
        </w:rPr>
        <w:t>保密，未经甲方书面同意，乙方不得将保密资料披露</w:t>
      </w:r>
      <w:r>
        <w:rPr>
          <w:rFonts w:hint="eastAsia" w:ascii="仿宋" w:hAnsi="仿宋" w:eastAsia="仿宋" w:cs="仿宋"/>
          <w:spacing w:val="-5"/>
          <w:sz w:val="28"/>
          <w:szCs w:val="28"/>
        </w:rPr>
        <w:t>给任何第三方，也不得保密资料用于本</w:t>
      </w:r>
      <w:r>
        <w:rPr>
          <w:rFonts w:hint="eastAsia" w:ascii="仿宋" w:hAnsi="仿宋" w:eastAsia="仿宋" w:cs="仿宋"/>
          <w:spacing w:val="-4"/>
          <w:sz w:val="28"/>
          <w:szCs w:val="28"/>
        </w:rPr>
        <w:t>合同约定工作以外的目的</w:t>
      </w:r>
    </w:p>
    <w:p w14:paraId="6C63D217">
      <w:pPr>
        <w:pStyle w:val="4"/>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514" w:firstLineChars="200"/>
        <w:jc w:val="both"/>
        <w:textAlignment w:val="baseline"/>
        <w:rPr>
          <w:rFonts w:hint="eastAsia" w:ascii="仿宋" w:hAnsi="仿宋" w:eastAsia="仿宋" w:cs="仿宋"/>
          <w:sz w:val="28"/>
          <w:szCs w:val="28"/>
        </w:rPr>
      </w:pPr>
      <w:r>
        <w:rPr>
          <w:rFonts w:hint="eastAsia" w:ascii="仿宋" w:hAnsi="仿宋" w:eastAsia="仿宋" w:cs="仿宋"/>
          <w:b/>
          <w:bCs/>
          <w:spacing w:val="-12"/>
          <w:sz w:val="28"/>
          <w:szCs w:val="28"/>
        </w:rPr>
        <w:t>十、其它事项</w:t>
      </w:r>
    </w:p>
    <w:p w14:paraId="491C4711">
      <w:pPr>
        <w:pStyle w:val="4"/>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536" w:firstLineChars="200"/>
        <w:jc w:val="both"/>
        <w:textAlignment w:val="baseline"/>
        <w:rPr>
          <w:rFonts w:hint="eastAsia" w:ascii="仿宋" w:hAnsi="仿宋" w:eastAsia="仿宋" w:cs="仿宋"/>
          <w:sz w:val="28"/>
          <w:szCs w:val="28"/>
        </w:rPr>
      </w:pPr>
      <w:r>
        <w:rPr>
          <w:rFonts w:hint="eastAsia" w:ascii="仿宋" w:hAnsi="仿宋" w:eastAsia="仿宋" w:cs="仿宋"/>
          <w:spacing w:val="-6"/>
          <w:sz w:val="28"/>
          <w:szCs w:val="28"/>
        </w:rPr>
        <w:t>1、乙方不得将本合同约定的服务事项转让、分包给其它单位或个人。</w:t>
      </w:r>
    </w:p>
    <w:p w14:paraId="20E9F4C3">
      <w:pPr>
        <w:pStyle w:val="4"/>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536" w:firstLineChars="200"/>
        <w:jc w:val="both"/>
        <w:textAlignment w:val="baseline"/>
        <w:rPr>
          <w:rFonts w:hint="eastAsia" w:ascii="仿宋" w:hAnsi="仿宋" w:eastAsia="仿宋" w:cs="仿宋"/>
          <w:sz w:val="28"/>
          <w:szCs w:val="28"/>
        </w:rPr>
      </w:pPr>
      <w:r>
        <w:rPr>
          <w:rFonts w:hint="eastAsia" w:ascii="仿宋" w:hAnsi="仿宋" w:eastAsia="仿宋" w:cs="仿宋"/>
          <w:spacing w:val="-6"/>
          <w:sz w:val="28"/>
          <w:szCs w:val="28"/>
        </w:rPr>
        <w:t>2、乙方的投标响应文件将作为合同附件。</w:t>
      </w:r>
    </w:p>
    <w:p w14:paraId="72469229">
      <w:pPr>
        <w:pStyle w:val="4"/>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526" w:firstLineChars="200"/>
        <w:jc w:val="both"/>
        <w:textAlignment w:val="baseline"/>
        <w:rPr>
          <w:rFonts w:hint="eastAsia" w:ascii="仿宋" w:hAnsi="仿宋" w:eastAsia="仿宋" w:cs="仿宋"/>
          <w:sz w:val="28"/>
          <w:szCs w:val="28"/>
        </w:rPr>
      </w:pPr>
      <w:r>
        <w:rPr>
          <w:rFonts w:hint="eastAsia" w:ascii="仿宋" w:hAnsi="仿宋" w:eastAsia="仿宋" w:cs="仿宋"/>
          <w:b/>
          <w:bCs/>
          <w:spacing w:val="-9"/>
          <w:sz w:val="28"/>
          <w:szCs w:val="28"/>
        </w:rPr>
        <w:t>十一、补救措施和索赔</w:t>
      </w:r>
    </w:p>
    <w:p w14:paraId="7B5D5518">
      <w:pPr>
        <w:pStyle w:val="4"/>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536" w:firstLineChars="200"/>
        <w:jc w:val="both"/>
        <w:textAlignment w:val="baseline"/>
        <w:rPr>
          <w:rFonts w:hint="eastAsia" w:ascii="仿宋" w:hAnsi="仿宋" w:eastAsia="仿宋" w:cs="仿宋"/>
          <w:sz w:val="28"/>
          <w:szCs w:val="28"/>
        </w:rPr>
      </w:pPr>
      <w:r>
        <w:rPr>
          <w:rFonts w:hint="eastAsia" w:ascii="仿宋" w:hAnsi="仿宋" w:eastAsia="仿宋" w:cs="仿宋"/>
          <w:spacing w:val="-6"/>
          <w:sz w:val="28"/>
          <w:szCs w:val="28"/>
        </w:rPr>
        <w:t>在服务期限内，如果乙方对提供服务的缺陷负有责任而甲方提出索赔，乙方应按照甲方同意的下列一种或多种方式解决索赔事宜：</w:t>
      </w:r>
    </w:p>
    <w:p w14:paraId="0C6D41A3">
      <w:pPr>
        <w:pStyle w:val="4"/>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540" w:firstLineChars="200"/>
        <w:jc w:val="both"/>
        <w:textAlignment w:val="baseline"/>
        <w:rPr>
          <w:rFonts w:hint="eastAsia" w:ascii="仿宋" w:hAnsi="仿宋" w:eastAsia="仿宋" w:cs="仿宋"/>
          <w:sz w:val="28"/>
          <w:szCs w:val="28"/>
        </w:rPr>
      </w:pPr>
      <w:r>
        <w:rPr>
          <w:rFonts w:hint="eastAsia" w:ascii="仿宋" w:hAnsi="仿宋" w:eastAsia="仿宋" w:cs="仿宋"/>
          <w:spacing w:val="-5"/>
          <w:sz w:val="28"/>
          <w:szCs w:val="28"/>
        </w:rPr>
        <w:t>1、根据服务的质量状况以及甲方所遭受的损失，经过甲乙双方</w:t>
      </w:r>
      <w:r>
        <w:rPr>
          <w:rFonts w:hint="eastAsia" w:ascii="仿宋" w:hAnsi="仿宋" w:eastAsia="仿宋" w:cs="仿宋"/>
          <w:spacing w:val="-6"/>
          <w:sz w:val="28"/>
          <w:szCs w:val="28"/>
        </w:rPr>
        <w:t>商定降低服务的价格。</w:t>
      </w:r>
    </w:p>
    <w:p w14:paraId="62610A37">
      <w:pPr>
        <w:pStyle w:val="4"/>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548" w:firstLineChars="200"/>
        <w:jc w:val="both"/>
        <w:textAlignment w:val="baseline"/>
        <w:rPr>
          <w:rFonts w:hint="eastAsia" w:ascii="仿宋" w:hAnsi="仿宋" w:eastAsia="仿宋" w:cs="仿宋"/>
          <w:sz w:val="28"/>
          <w:szCs w:val="28"/>
        </w:rPr>
      </w:pPr>
      <w:r>
        <w:rPr>
          <w:rFonts w:hint="eastAsia" w:ascii="仿宋" w:hAnsi="仿宋" w:eastAsia="仿宋" w:cs="仿宋"/>
          <w:spacing w:val="-3"/>
          <w:sz w:val="28"/>
          <w:szCs w:val="28"/>
        </w:rPr>
        <w:t>2、乙方应在接到甲方通知后三日内，采取补救措施，其</w:t>
      </w:r>
      <w:r>
        <w:rPr>
          <w:rFonts w:hint="eastAsia" w:ascii="仿宋" w:hAnsi="仿宋" w:eastAsia="仿宋" w:cs="仿宋"/>
          <w:spacing w:val="-4"/>
          <w:sz w:val="28"/>
          <w:szCs w:val="28"/>
        </w:rPr>
        <w:t>费用由乙方负担。</w:t>
      </w:r>
    </w:p>
    <w:p w14:paraId="7F399021">
      <w:pPr>
        <w:pStyle w:val="4"/>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548" w:firstLineChars="200"/>
        <w:jc w:val="both"/>
        <w:textAlignment w:val="baseline"/>
        <w:rPr>
          <w:rFonts w:hint="eastAsia" w:ascii="仿宋" w:hAnsi="仿宋" w:eastAsia="仿宋" w:cs="仿宋"/>
          <w:sz w:val="28"/>
          <w:szCs w:val="28"/>
        </w:rPr>
      </w:pPr>
      <w:r>
        <w:rPr>
          <w:rFonts w:hint="eastAsia" w:ascii="仿宋" w:hAnsi="仿宋" w:eastAsia="仿宋" w:cs="仿宋"/>
          <w:spacing w:val="-3"/>
          <w:sz w:val="28"/>
          <w:szCs w:val="28"/>
        </w:rPr>
        <w:t>3、如果在甲方发出索赔通知后十天内乙方未作答复，上述索赔应</w:t>
      </w:r>
      <w:r>
        <w:rPr>
          <w:rFonts w:hint="eastAsia" w:ascii="仿宋" w:hAnsi="仿宋" w:eastAsia="仿宋" w:cs="仿宋"/>
          <w:spacing w:val="-4"/>
          <w:sz w:val="28"/>
          <w:szCs w:val="28"/>
        </w:rPr>
        <w:t>视为已被乙方接受。</w:t>
      </w:r>
    </w:p>
    <w:p w14:paraId="13A7C0E5">
      <w:pPr>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560" w:firstLineChars="200"/>
        <w:jc w:val="both"/>
        <w:textAlignment w:val="baseline"/>
        <w:rPr>
          <w:rFonts w:hint="eastAsia" w:ascii="仿宋" w:hAnsi="仿宋" w:eastAsia="仿宋" w:cs="仿宋"/>
          <w:sz w:val="28"/>
          <w:szCs w:val="28"/>
        </w:rPr>
      </w:pPr>
    </w:p>
    <w:p w14:paraId="63997D2F">
      <w:pPr>
        <w:pStyle w:val="4"/>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540" w:firstLineChars="200"/>
        <w:jc w:val="both"/>
        <w:textAlignment w:val="baseline"/>
        <w:rPr>
          <w:rFonts w:hint="eastAsia" w:ascii="仿宋" w:hAnsi="仿宋" w:eastAsia="仿宋" w:cs="仿宋"/>
          <w:sz w:val="28"/>
          <w:szCs w:val="28"/>
        </w:rPr>
      </w:pPr>
      <w:r>
        <w:rPr>
          <w:rFonts w:hint="eastAsia" w:ascii="仿宋" w:hAnsi="仿宋" w:eastAsia="仿宋" w:cs="仿宋"/>
          <w:spacing w:val="-5"/>
          <w:sz w:val="28"/>
          <w:szCs w:val="28"/>
        </w:rPr>
        <w:t>如果乙方未能在甲方发出索赔通知后十天内或甲方同意延长的期限内，按照上述规定的任何一种方法采取补救措施，甲方有权从应付的合同款项中扣除索赔金额，如不足</w:t>
      </w:r>
      <w:r>
        <w:rPr>
          <w:rFonts w:hint="eastAsia" w:ascii="仿宋" w:hAnsi="仿宋" w:eastAsia="仿宋" w:cs="仿宋"/>
          <w:spacing w:val="-6"/>
          <w:sz w:val="28"/>
          <w:szCs w:val="28"/>
        </w:rPr>
        <w:t>以弥补甲</w:t>
      </w:r>
      <w:r>
        <w:rPr>
          <w:rFonts w:hint="eastAsia" w:ascii="仿宋" w:hAnsi="仿宋" w:eastAsia="仿宋" w:cs="仿宋"/>
          <w:spacing w:val="-3"/>
          <w:sz w:val="28"/>
          <w:szCs w:val="28"/>
        </w:rPr>
        <w:t>方损失的，甲方有权进一步要求乙方赔偿。</w:t>
      </w:r>
    </w:p>
    <w:p w14:paraId="7C2648C0">
      <w:pPr>
        <w:pStyle w:val="4"/>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526" w:firstLineChars="200"/>
        <w:jc w:val="both"/>
        <w:textAlignment w:val="baseline"/>
        <w:rPr>
          <w:rFonts w:hint="eastAsia" w:ascii="仿宋" w:hAnsi="仿宋" w:eastAsia="仿宋" w:cs="仿宋"/>
          <w:sz w:val="28"/>
          <w:szCs w:val="28"/>
        </w:rPr>
      </w:pPr>
      <w:r>
        <w:rPr>
          <w:rFonts w:hint="eastAsia" w:ascii="仿宋" w:hAnsi="仿宋" w:eastAsia="仿宋" w:cs="仿宋"/>
          <w:b/>
          <w:bCs/>
          <w:spacing w:val="-9"/>
          <w:sz w:val="28"/>
          <w:szCs w:val="28"/>
        </w:rPr>
        <w:t>十二、合同争议解决的方式</w:t>
      </w:r>
    </w:p>
    <w:p w14:paraId="120AD65B">
      <w:pPr>
        <w:pStyle w:val="4"/>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532" w:firstLineChars="200"/>
        <w:jc w:val="both"/>
        <w:textAlignment w:val="baseline"/>
        <w:rPr>
          <w:rFonts w:hint="eastAsia" w:ascii="仿宋" w:hAnsi="仿宋" w:eastAsia="仿宋" w:cs="仿宋"/>
          <w:sz w:val="28"/>
          <w:szCs w:val="28"/>
        </w:rPr>
      </w:pPr>
      <w:r>
        <w:rPr>
          <w:rFonts w:hint="eastAsia" w:ascii="仿宋" w:hAnsi="仿宋" w:eastAsia="仿宋" w:cs="仿宋"/>
          <w:spacing w:val="-7"/>
          <w:sz w:val="28"/>
          <w:szCs w:val="28"/>
        </w:rPr>
        <w:t>本合同在履行过程中发生的争议，由甲、乙双方当事人协商解决，协商不成的按下列第2</w:t>
      </w:r>
      <w:r>
        <w:rPr>
          <w:rFonts w:hint="eastAsia" w:ascii="仿宋" w:hAnsi="仿宋" w:eastAsia="仿宋" w:cs="仿宋"/>
          <w:spacing w:val="-6"/>
          <w:sz w:val="28"/>
          <w:szCs w:val="28"/>
        </w:rPr>
        <w:t>种方式解决：</w:t>
      </w:r>
    </w:p>
    <w:p w14:paraId="09774DBC">
      <w:pPr>
        <w:pStyle w:val="4"/>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516" w:firstLineChars="200"/>
        <w:jc w:val="both"/>
        <w:textAlignment w:val="baseline"/>
        <w:rPr>
          <w:rFonts w:hint="eastAsia" w:ascii="仿宋" w:hAnsi="仿宋" w:eastAsia="仿宋" w:cs="仿宋"/>
          <w:sz w:val="28"/>
          <w:szCs w:val="28"/>
        </w:rPr>
      </w:pPr>
      <w:r>
        <w:rPr>
          <w:rFonts w:hint="eastAsia" w:ascii="仿宋" w:hAnsi="仿宋" w:eastAsia="仿宋" w:cs="仿宋"/>
          <w:spacing w:val="-11"/>
          <w:sz w:val="28"/>
          <w:szCs w:val="28"/>
        </w:rPr>
        <w:t>1、提交</w:t>
      </w:r>
      <w:r>
        <w:rPr>
          <w:rFonts w:hint="eastAsia" w:ascii="仿宋" w:hAnsi="仿宋" w:eastAsia="仿宋" w:cs="仿宋"/>
          <w:spacing w:val="-11"/>
          <w:sz w:val="28"/>
          <w:szCs w:val="28"/>
          <w:lang w:eastAsia="zh-CN"/>
        </w:rPr>
        <w:t>绥德县</w:t>
      </w:r>
      <w:r>
        <w:rPr>
          <w:rFonts w:hint="eastAsia" w:ascii="仿宋" w:hAnsi="仿宋" w:eastAsia="仿宋" w:cs="仿宋"/>
          <w:spacing w:val="-11"/>
          <w:sz w:val="28"/>
          <w:szCs w:val="28"/>
        </w:rPr>
        <w:t>仲裁委员会仲裁；</w:t>
      </w:r>
    </w:p>
    <w:p w14:paraId="4BBBDFEF">
      <w:pPr>
        <w:pStyle w:val="4"/>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536" w:firstLineChars="200"/>
        <w:jc w:val="both"/>
        <w:textAlignment w:val="baseline"/>
        <w:rPr>
          <w:rFonts w:hint="eastAsia" w:ascii="仿宋" w:hAnsi="仿宋" w:eastAsia="仿宋" w:cs="仿宋"/>
          <w:sz w:val="28"/>
          <w:szCs w:val="28"/>
        </w:rPr>
      </w:pPr>
      <w:r>
        <w:rPr>
          <w:rFonts w:hint="eastAsia" w:ascii="仿宋" w:hAnsi="仿宋" w:eastAsia="仿宋" w:cs="仿宋"/>
          <w:spacing w:val="-6"/>
          <w:sz w:val="28"/>
          <w:szCs w:val="28"/>
        </w:rPr>
        <w:t>2、依法向甲方所在地人民法院起诉。</w:t>
      </w:r>
    </w:p>
    <w:p w14:paraId="7DF3F620">
      <w:pPr>
        <w:pStyle w:val="4"/>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518" w:firstLineChars="200"/>
        <w:jc w:val="both"/>
        <w:textAlignment w:val="baseline"/>
        <w:rPr>
          <w:rFonts w:hint="eastAsia" w:ascii="仿宋" w:hAnsi="仿宋" w:eastAsia="仿宋" w:cs="仿宋"/>
          <w:sz w:val="28"/>
          <w:szCs w:val="28"/>
        </w:rPr>
      </w:pPr>
      <w:r>
        <w:rPr>
          <w:rFonts w:hint="eastAsia" w:ascii="仿宋" w:hAnsi="仿宋" w:eastAsia="仿宋" w:cs="仿宋"/>
          <w:b/>
          <w:bCs/>
          <w:spacing w:val="-11"/>
          <w:sz w:val="28"/>
          <w:szCs w:val="28"/>
        </w:rPr>
        <w:t>十三、合同生效</w:t>
      </w:r>
    </w:p>
    <w:p w14:paraId="1B417E30">
      <w:pPr>
        <w:pStyle w:val="4"/>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540" w:firstLineChars="200"/>
        <w:jc w:val="both"/>
        <w:textAlignment w:val="baseline"/>
        <w:rPr>
          <w:rFonts w:hint="eastAsia" w:ascii="仿宋" w:hAnsi="仿宋" w:eastAsia="仿宋" w:cs="仿宋"/>
          <w:sz w:val="28"/>
          <w:szCs w:val="28"/>
        </w:rPr>
      </w:pPr>
      <w:r>
        <w:rPr>
          <w:rFonts w:hint="eastAsia" w:ascii="仿宋" w:hAnsi="仿宋" w:eastAsia="仿宋" w:cs="仿宋"/>
          <w:spacing w:val="-5"/>
          <w:sz w:val="28"/>
          <w:szCs w:val="28"/>
        </w:rPr>
        <w:t>1、合同经甲乙双方盖章、签字后生效，合同签订地点为。</w:t>
      </w:r>
    </w:p>
    <w:p w14:paraId="161AF878">
      <w:pPr>
        <w:pStyle w:val="4"/>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524" w:firstLineChars="200"/>
        <w:jc w:val="both"/>
        <w:textAlignment w:val="baseline"/>
        <w:rPr>
          <w:rFonts w:hint="eastAsia" w:ascii="仿宋" w:hAnsi="仿宋" w:eastAsia="仿宋" w:cs="仿宋"/>
          <w:sz w:val="28"/>
          <w:szCs w:val="28"/>
        </w:rPr>
      </w:pPr>
      <w:r>
        <w:rPr>
          <w:rFonts w:hint="eastAsia" w:ascii="仿宋" w:hAnsi="仿宋" w:eastAsia="仿宋" w:cs="仿宋"/>
          <w:spacing w:val="-9"/>
          <w:sz w:val="28"/>
          <w:szCs w:val="28"/>
        </w:rPr>
        <w:t>2、合同生效后，甲、乙双方须严格执行本合同条款的规定，全面履行合同，违者按《中</w:t>
      </w:r>
      <w:r>
        <w:rPr>
          <w:rFonts w:hint="eastAsia" w:ascii="仿宋" w:hAnsi="仿宋" w:eastAsia="仿宋" w:cs="仿宋"/>
          <w:spacing w:val="-3"/>
          <w:sz w:val="28"/>
          <w:szCs w:val="28"/>
        </w:rPr>
        <w:t>华人民共和国民法典》的有关规定承担相应责任。</w:t>
      </w:r>
    </w:p>
    <w:p w14:paraId="087BE34F">
      <w:pPr>
        <w:pStyle w:val="4"/>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528" w:firstLineChars="200"/>
        <w:jc w:val="both"/>
        <w:textAlignment w:val="baseline"/>
        <w:rPr>
          <w:rFonts w:hint="eastAsia" w:ascii="仿宋" w:hAnsi="仿宋" w:eastAsia="仿宋" w:cs="仿宋"/>
          <w:sz w:val="28"/>
          <w:szCs w:val="28"/>
        </w:rPr>
      </w:pPr>
      <w:r>
        <w:rPr>
          <w:rFonts w:hint="eastAsia" w:ascii="仿宋" w:hAnsi="仿宋" w:eastAsia="仿宋" w:cs="仿宋"/>
          <w:spacing w:val="-8"/>
          <w:sz w:val="28"/>
          <w:szCs w:val="28"/>
        </w:rPr>
        <w:t>3、本合同一式份，甲乙双方各执份。</w:t>
      </w:r>
    </w:p>
    <w:p w14:paraId="46EB8472">
      <w:pPr>
        <w:pStyle w:val="4"/>
        <w:keepNext w:val="0"/>
        <w:keepLines w:val="0"/>
        <w:pageBreakBefore w:val="0"/>
        <w:widowControl w:val="0"/>
        <w:kinsoku w:val="0"/>
        <w:wordWrap/>
        <w:overflowPunct w:val="0"/>
        <w:topLinePunct w:val="0"/>
        <w:autoSpaceDE w:val="0"/>
        <w:autoSpaceDN w:val="0"/>
        <w:bidi w:val="0"/>
        <w:adjustRightInd w:val="0"/>
        <w:snapToGrid w:val="0"/>
        <w:spacing w:line="360" w:lineRule="auto"/>
        <w:ind w:left="0" w:right="0" w:firstLine="536" w:firstLineChars="200"/>
        <w:jc w:val="both"/>
        <w:textAlignment w:val="baseline"/>
        <w:rPr>
          <w:sz w:val="24"/>
          <w:szCs w:val="24"/>
        </w:rPr>
      </w:pPr>
      <w:r>
        <w:rPr>
          <w:rFonts w:hint="eastAsia" w:ascii="仿宋" w:hAnsi="仿宋" w:eastAsia="仿宋" w:cs="仿宋"/>
          <w:spacing w:val="-6"/>
          <w:sz w:val="28"/>
          <w:szCs w:val="28"/>
        </w:rPr>
        <w:t>4、本合同如有未尽事宜，甲、乙双方协商解决。</w:t>
      </w:r>
    </w:p>
    <w:p w14:paraId="0B041229">
      <w:pPr>
        <w:spacing w:line="360" w:lineRule="auto"/>
        <w:rPr>
          <w:rFonts w:ascii="Arial"/>
          <w:sz w:val="21"/>
        </w:rPr>
      </w:pPr>
    </w:p>
    <w:p w14:paraId="270A6739">
      <w:pPr>
        <w:spacing w:line="360" w:lineRule="auto"/>
        <w:rPr>
          <w:rFonts w:ascii="Arial"/>
          <w:sz w:val="21"/>
        </w:rPr>
      </w:pPr>
    </w:p>
    <w:p w14:paraId="423D3BC9">
      <w:pPr>
        <w:pStyle w:val="4"/>
        <w:spacing w:before="78" w:line="360" w:lineRule="auto"/>
        <w:ind w:left="62"/>
        <w:rPr>
          <w:sz w:val="24"/>
          <w:szCs w:val="24"/>
        </w:rPr>
      </w:pPr>
      <w:r>
        <w:rPr>
          <w:b/>
          <w:bCs/>
          <w:spacing w:val="-11"/>
          <w:sz w:val="24"/>
          <w:szCs w:val="24"/>
        </w:rPr>
        <w:t>甲方：乙方：</w:t>
      </w:r>
    </w:p>
    <w:p w14:paraId="41A1E4A2">
      <w:pPr>
        <w:pStyle w:val="4"/>
        <w:spacing w:before="166" w:line="360" w:lineRule="auto"/>
        <w:ind w:left="3"/>
        <w:rPr>
          <w:sz w:val="24"/>
          <w:szCs w:val="24"/>
        </w:rPr>
      </w:pPr>
      <w:r>
        <w:rPr>
          <w:spacing w:val="-1"/>
          <w:sz w:val="24"/>
          <w:szCs w:val="24"/>
        </w:rPr>
        <w:t>单位名称(公章)：单位名称(公章)：</w:t>
      </w:r>
    </w:p>
    <w:p w14:paraId="3B63AD05">
      <w:pPr>
        <w:spacing w:line="360" w:lineRule="auto"/>
        <w:rPr>
          <w:rFonts w:ascii="Arial"/>
          <w:sz w:val="21"/>
        </w:rPr>
      </w:pPr>
    </w:p>
    <w:p w14:paraId="164A9D3C">
      <w:pPr>
        <w:spacing w:line="360" w:lineRule="auto"/>
        <w:rPr>
          <w:rFonts w:ascii="Arial"/>
          <w:sz w:val="21"/>
        </w:rPr>
      </w:pPr>
    </w:p>
    <w:p w14:paraId="0241625D">
      <w:pPr>
        <w:pStyle w:val="4"/>
        <w:spacing w:before="78" w:line="360" w:lineRule="auto"/>
        <w:rPr>
          <w:sz w:val="24"/>
          <w:szCs w:val="24"/>
        </w:rPr>
      </w:pPr>
      <w:r>
        <w:rPr>
          <w:spacing w:val="-17"/>
          <w:sz w:val="24"/>
          <w:szCs w:val="24"/>
        </w:rPr>
        <w:t>地址：地址：</w:t>
      </w:r>
    </w:p>
    <w:p w14:paraId="1A5115D5">
      <w:pPr>
        <w:pStyle w:val="4"/>
        <w:spacing w:before="174" w:line="360" w:lineRule="auto"/>
        <w:ind w:left="6"/>
        <w:rPr>
          <w:sz w:val="24"/>
          <w:szCs w:val="24"/>
        </w:rPr>
      </w:pPr>
      <w:r>
        <w:rPr>
          <w:spacing w:val="-7"/>
          <w:sz w:val="24"/>
          <w:szCs w:val="24"/>
        </w:rPr>
        <w:t>法定代表人或授权法定代表人或授权</w:t>
      </w:r>
    </w:p>
    <w:p w14:paraId="2D54C4C4">
      <w:pPr>
        <w:pStyle w:val="4"/>
        <w:spacing w:before="179" w:line="360" w:lineRule="auto"/>
        <w:ind w:left="1"/>
        <w:rPr>
          <w:sz w:val="24"/>
          <w:szCs w:val="24"/>
        </w:rPr>
      </w:pPr>
      <w:r>
        <w:rPr>
          <w:spacing w:val="1"/>
          <w:sz w:val="24"/>
          <w:szCs w:val="24"/>
        </w:rPr>
        <w:t>代理人</w:t>
      </w:r>
      <w:r>
        <w:rPr>
          <w:spacing w:val="-25"/>
          <w:sz w:val="24"/>
          <w:szCs w:val="24"/>
        </w:rPr>
        <w:t>：（</w:t>
      </w:r>
      <w:r>
        <w:rPr>
          <w:spacing w:val="1"/>
          <w:sz w:val="24"/>
          <w:szCs w:val="24"/>
        </w:rPr>
        <w:t>签字）代理人</w:t>
      </w:r>
      <w:r>
        <w:rPr>
          <w:spacing w:val="-25"/>
          <w:sz w:val="24"/>
          <w:szCs w:val="24"/>
        </w:rPr>
        <w:t>：（</w:t>
      </w:r>
      <w:r>
        <w:rPr>
          <w:spacing w:val="1"/>
          <w:sz w:val="24"/>
          <w:szCs w:val="24"/>
        </w:rPr>
        <w:t>签字）</w:t>
      </w:r>
    </w:p>
    <w:p w14:paraId="4B70B783">
      <w:pPr>
        <w:pStyle w:val="4"/>
        <w:spacing w:before="216" w:line="360" w:lineRule="auto"/>
        <w:ind w:left="51"/>
        <w:rPr>
          <w:sz w:val="24"/>
          <w:szCs w:val="24"/>
        </w:rPr>
      </w:pPr>
      <w:r>
        <w:rPr>
          <w:spacing w:val="-27"/>
          <w:sz w:val="24"/>
          <w:szCs w:val="24"/>
        </w:rPr>
        <w:t>电话：电话：</w:t>
      </w:r>
    </w:p>
    <w:p w14:paraId="21FBA4F7">
      <w:pPr>
        <w:spacing w:line="360" w:lineRule="auto"/>
        <w:rPr>
          <w:rFonts w:ascii="Arial"/>
          <w:sz w:val="21"/>
        </w:rPr>
      </w:pPr>
    </w:p>
    <w:p w14:paraId="05E667C8">
      <w:pPr>
        <w:spacing w:line="360" w:lineRule="auto"/>
        <w:rPr>
          <w:rFonts w:ascii="Arial"/>
          <w:sz w:val="21"/>
        </w:rPr>
      </w:pPr>
    </w:p>
    <w:p w14:paraId="0C4D8235">
      <w:pPr>
        <w:pStyle w:val="4"/>
        <w:spacing w:before="79" w:line="360" w:lineRule="auto"/>
        <w:ind w:left="4"/>
        <w:rPr>
          <w:sz w:val="24"/>
          <w:szCs w:val="24"/>
        </w:rPr>
      </w:pPr>
      <w:r>
        <w:rPr>
          <w:spacing w:val="-8"/>
          <w:sz w:val="24"/>
          <w:szCs w:val="24"/>
        </w:rPr>
        <w:t>签订日期：签订日期：</w:t>
      </w:r>
    </w:p>
    <w:p w14:paraId="1D5BA666">
      <w:pPr>
        <w:spacing w:line="360" w:lineRule="auto"/>
        <w:rPr>
          <w:sz w:val="24"/>
          <w:szCs w:val="24"/>
        </w:rPr>
        <w:sectPr>
          <w:footerReference r:id="rId11" w:type="default"/>
          <w:pgSz w:w="11906" w:h="16838"/>
          <w:pgMar w:top="1429" w:right="1786" w:bottom="1372" w:left="1786" w:header="0" w:footer="1208" w:gutter="0"/>
          <w:cols w:space="0" w:num="1"/>
          <w:rtlGutter w:val="0"/>
          <w:docGrid w:linePitch="0" w:charSpace="0"/>
        </w:sectPr>
      </w:pPr>
    </w:p>
    <w:p w14:paraId="1EB8C6D5">
      <w:pPr>
        <w:spacing w:before="139" w:line="360" w:lineRule="auto"/>
        <w:ind w:left="1828"/>
        <w:outlineLvl w:val="0"/>
        <w:rPr>
          <w:rFonts w:ascii="宋体" w:hAnsi="宋体" w:eastAsia="宋体" w:cs="宋体"/>
          <w:sz w:val="35"/>
          <w:szCs w:val="35"/>
        </w:rPr>
      </w:pPr>
      <w:r>
        <w:rPr>
          <w:rFonts w:ascii="宋体" w:hAnsi="宋体" w:eastAsia="宋体" w:cs="宋体"/>
          <w:b/>
          <w:bCs/>
          <w:spacing w:val="6"/>
          <w:sz w:val="35"/>
          <w:szCs w:val="35"/>
        </w:rPr>
        <w:t>第六部分采购内容及要求</w:t>
      </w:r>
      <w:bookmarkEnd w:id="10"/>
    </w:p>
    <w:p w14:paraId="03D4094A">
      <w:pPr>
        <w:spacing w:line="360" w:lineRule="auto"/>
        <w:jc w:val="center"/>
        <w:rPr>
          <w:rFonts w:hint="eastAsia"/>
          <w:b/>
          <w:bCs/>
          <w:sz w:val="40"/>
          <w:szCs w:val="48"/>
        </w:rPr>
      </w:pPr>
      <w:r>
        <w:rPr>
          <w:rFonts w:hint="eastAsia"/>
          <w:b/>
          <w:bCs/>
          <w:sz w:val="40"/>
          <w:szCs w:val="48"/>
        </w:rPr>
        <w:t>《绥德县丁家沟-十里铺饮用水水源地保护区撤销技术报告》编制服务采购清单</w:t>
      </w:r>
    </w:p>
    <w:p w14:paraId="27869CBD">
      <w:pPr>
        <w:spacing w:line="360" w:lineRule="auto"/>
        <w:rPr>
          <w:rFonts w:hint="eastAsia" w:ascii="宋体" w:hAnsi="宋体" w:eastAsia="宋体" w:cs="宋体"/>
          <w:b w:val="0"/>
          <w:bCs w:val="0"/>
          <w:sz w:val="28"/>
          <w:szCs w:val="36"/>
        </w:rPr>
      </w:pPr>
      <w:r>
        <w:rPr>
          <w:rFonts w:hint="eastAsia" w:ascii="宋体" w:hAnsi="宋体" w:eastAsia="宋体" w:cs="宋体"/>
          <w:b w:val="0"/>
          <w:bCs w:val="0"/>
          <w:sz w:val="28"/>
          <w:szCs w:val="36"/>
        </w:rPr>
        <w:t>一、项目立项的必要性</w:t>
      </w:r>
    </w:p>
    <w:p w14:paraId="2595C104">
      <w:pPr>
        <w:spacing w:line="360" w:lineRule="auto"/>
        <w:rPr>
          <w:rFonts w:hint="eastAsia" w:ascii="宋体" w:hAnsi="宋体" w:eastAsia="宋体" w:cs="宋体"/>
          <w:b w:val="0"/>
          <w:bCs w:val="0"/>
          <w:sz w:val="28"/>
          <w:szCs w:val="36"/>
        </w:rPr>
      </w:pPr>
      <w:r>
        <w:rPr>
          <w:rFonts w:hint="eastAsia" w:ascii="宋体" w:hAnsi="宋体" w:eastAsia="宋体" w:cs="宋体"/>
          <w:b w:val="0"/>
          <w:bCs w:val="0"/>
          <w:sz w:val="28"/>
          <w:szCs w:val="36"/>
        </w:rPr>
        <w:t>（一）项目立项相关性</w:t>
      </w:r>
    </w:p>
    <w:p w14:paraId="2DEC0343">
      <w:pPr>
        <w:spacing w:line="360" w:lineRule="auto"/>
        <w:rPr>
          <w:rFonts w:hint="eastAsia" w:ascii="宋体" w:hAnsi="宋体" w:eastAsia="宋体" w:cs="宋体"/>
          <w:b w:val="0"/>
          <w:bCs w:val="0"/>
          <w:sz w:val="28"/>
          <w:szCs w:val="36"/>
        </w:rPr>
      </w:pPr>
      <w:r>
        <w:rPr>
          <w:rFonts w:hint="eastAsia" w:ascii="宋体" w:hAnsi="宋体" w:eastAsia="宋体" w:cs="宋体"/>
          <w:b w:val="0"/>
          <w:bCs w:val="0"/>
          <w:sz w:val="28"/>
          <w:szCs w:val="36"/>
        </w:rPr>
        <w:t>由于绥德县丁家沟-十里铺水源地水量逐年下降，鉴于榆林市横山区王圪堵水库水源地已作为跨区域水源，通过榆林三县供水工程向绥德县稳定供水，全县城乡饮用水已全面切换至王圪堵水库水源，且原无定河四十铺水源地作为备用水源，足以承担居民饮用水供给，无需丁家沟—十里铺水源地供水。</w:t>
      </w:r>
    </w:p>
    <w:p w14:paraId="41BD6452">
      <w:pPr>
        <w:spacing w:line="360" w:lineRule="auto"/>
        <w:rPr>
          <w:rFonts w:hint="eastAsia" w:ascii="宋体" w:hAnsi="宋体" w:eastAsia="宋体" w:cs="宋体"/>
          <w:b w:val="0"/>
          <w:bCs w:val="0"/>
          <w:sz w:val="28"/>
          <w:szCs w:val="36"/>
        </w:rPr>
      </w:pPr>
      <w:r>
        <w:rPr>
          <w:rFonts w:hint="eastAsia" w:ascii="宋体" w:hAnsi="宋体" w:eastAsia="宋体" w:cs="宋体"/>
          <w:b w:val="0"/>
          <w:bCs w:val="0"/>
          <w:sz w:val="28"/>
          <w:szCs w:val="36"/>
        </w:rPr>
        <w:t>编制《撤销绥德县丁家沟-十里铺饮用水源地水源保护区报告》，通过专家评审，报榆林市人民政府及陕西省人民政府，取得同意撤销绥德县丁家沟-十里铺饮用水源地水源保护区的批复文件。</w:t>
      </w:r>
    </w:p>
    <w:p w14:paraId="6AD44DD1">
      <w:pPr>
        <w:spacing w:line="360" w:lineRule="auto"/>
        <w:rPr>
          <w:rFonts w:hint="eastAsia" w:ascii="宋体" w:hAnsi="宋体" w:eastAsia="宋体" w:cs="宋体"/>
          <w:b w:val="0"/>
          <w:bCs w:val="0"/>
          <w:sz w:val="28"/>
          <w:szCs w:val="36"/>
        </w:rPr>
      </w:pPr>
      <w:r>
        <w:rPr>
          <w:rFonts w:hint="eastAsia" w:ascii="宋体" w:hAnsi="宋体" w:eastAsia="宋体" w:cs="宋体"/>
          <w:b w:val="0"/>
          <w:bCs w:val="0"/>
          <w:sz w:val="28"/>
          <w:szCs w:val="36"/>
        </w:rPr>
        <w:t>（二）职能相关性</w:t>
      </w:r>
    </w:p>
    <w:p w14:paraId="2DA9AFA8">
      <w:pPr>
        <w:spacing w:line="360" w:lineRule="auto"/>
        <w:rPr>
          <w:rFonts w:hint="eastAsia" w:ascii="宋体" w:hAnsi="宋体" w:eastAsia="宋体" w:cs="宋体"/>
          <w:b w:val="0"/>
          <w:bCs w:val="0"/>
          <w:sz w:val="28"/>
          <w:szCs w:val="36"/>
        </w:rPr>
      </w:pPr>
      <w:r>
        <w:rPr>
          <w:rFonts w:hint="eastAsia" w:ascii="宋体" w:hAnsi="宋体" w:eastAsia="宋体" w:cs="宋体"/>
          <w:b w:val="0"/>
          <w:bCs w:val="0"/>
          <w:sz w:val="28"/>
          <w:szCs w:val="36"/>
        </w:rPr>
        <w:t>根据榆林市环境保护局绥德分局核心职能定位，绥德分局负责绥德县饮用水水源地生态环境保护统一监督管理，承担辖区饮用水水源保护区划定、调整、撤销相关技术报告编制、技术论证等工作。</w:t>
      </w:r>
    </w:p>
    <w:p w14:paraId="15CED31B">
      <w:pPr>
        <w:spacing w:line="360" w:lineRule="auto"/>
        <w:rPr>
          <w:rFonts w:hint="eastAsia" w:ascii="宋体" w:hAnsi="宋体" w:eastAsia="宋体" w:cs="宋体"/>
          <w:b w:val="0"/>
          <w:bCs w:val="0"/>
          <w:sz w:val="28"/>
          <w:szCs w:val="36"/>
        </w:rPr>
      </w:pPr>
      <w:r>
        <w:rPr>
          <w:rFonts w:hint="eastAsia" w:ascii="宋体" w:hAnsi="宋体" w:eastAsia="宋体" w:cs="宋体"/>
          <w:b w:val="0"/>
          <w:bCs w:val="0"/>
          <w:sz w:val="28"/>
          <w:szCs w:val="36"/>
        </w:rPr>
        <w:t>（三）需求相关性</w:t>
      </w:r>
    </w:p>
    <w:p w14:paraId="139A54CA">
      <w:pPr>
        <w:spacing w:line="360" w:lineRule="auto"/>
        <w:rPr>
          <w:rFonts w:hint="eastAsia" w:ascii="宋体" w:hAnsi="宋体" w:eastAsia="宋体" w:cs="宋体"/>
          <w:b w:val="0"/>
          <w:bCs w:val="0"/>
          <w:sz w:val="28"/>
          <w:szCs w:val="36"/>
        </w:rPr>
      </w:pPr>
      <w:r>
        <w:rPr>
          <w:rFonts w:hint="eastAsia" w:ascii="宋体" w:hAnsi="宋体" w:eastAsia="宋体" w:cs="宋体"/>
          <w:b w:val="0"/>
          <w:bCs w:val="0"/>
          <w:sz w:val="28"/>
          <w:szCs w:val="36"/>
        </w:rPr>
        <w:t>本项目为饮用水水源地撤销专项工作，事关全县饮水安全、生态环保、国土空间优化与高质量发展大局，是政策刚性要求、民生迫切需要、发展必上项目，实施必要性、迫切性充分，综合效益显著。​</w:t>
      </w:r>
    </w:p>
    <w:p w14:paraId="08BB6E98">
      <w:pPr>
        <w:spacing w:line="360" w:lineRule="auto"/>
        <w:rPr>
          <w:rFonts w:hint="eastAsia" w:ascii="宋体" w:hAnsi="宋体" w:eastAsia="宋体" w:cs="宋体"/>
          <w:b w:val="0"/>
          <w:bCs w:val="0"/>
          <w:sz w:val="28"/>
          <w:szCs w:val="36"/>
        </w:rPr>
      </w:pPr>
      <w:r>
        <w:rPr>
          <w:rFonts w:hint="eastAsia" w:ascii="宋体" w:hAnsi="宋体" w:eastAsia="宋体" w:cs="宋体"/>
          <w:b w:val="0"/>
          <w:bCs w:val="0"/>
          <w:sz w:val="28"/>
          <w:szCs w:val="36"/>
        </w:rPr>
        <w:t>1.项目实施的必要性​</w:t>
      </w:r>
    </w:p>
    <w:p w14:paraId="6A2BE9A4">
      <w:pPr>
        <w:spacing w:line="360" w:lineRule="auto"/>
        <w:rPr>
          <w:rFonts w:hint="eastAsia" w:ascii="宋体" w:hAnsi="宋体" w:eastAsia="宋体" w:cs="宋体"/>
          <w:b w:val="0"/>
          <w:bCs w:val="0"/>
          <w:sz w:val="28"/>
          <w:szCs w:val="36"/>
        </w:rPr>
      </w:pPr>
      <w:r>
        <w:rPr>
          <w:rFonts w:hint="eastAsia" w:ascii="宋体" w:hAnsi="宋体" w:eastAsia="宋体" w:cs="宋体"/>
          <w:b w:val="0"/>
          <w:bCs w:val="0"/>
          <w:sz w:val="28"/>
          <w:szCs w:val="36"/>
        </w:rPr>
        <w:t>（1）落实法规政策与上级整改要求的刚性举措</w:t>
      </w:r>
    </w:p>
    <w:p w14:paraId="53A17539">
      <w:pPr>
        <w:spacing w:line="360" w:lineRule="auto"/>
        <w:rPr>
          <w:rFonts w:hint="eastAsia" w:ascii="宋体" w:hAnsi="宋体" w:eastAsia="宋体" w:cs="宋体"/>
          <w:b w:val="0"/>
          <w:bCs w:val="0"/>
          <w:sz w:val="28"/>
          <w:szCs w:val="36"/>
        </w:rPr>
      </w:pPr>
      <w:r>
        <w:rPr>
          <w:rFonts w:hint="eastAsia" w:ascii="宋体" w:hAnsi="宋体" w:eastAsia="宋体" w:cs="宋体"/>
          <w:b w:val="0"/>
          <w:bCs w:val="0"/>
          <w:sz w:val="28"/>
          <w:szCs w:val="36"/>
        </w:rPr>
        <w:t>项目严格遵循《中华人民共和国水污染防治法》《饮用水水源保护区管理规定》等法律法规，符合水源地因供水格局变化、替代水源建成、保护区功能失效应予撤销的法定情形。当前我县该水源地水量逐年下降，供水范围由新水源全覆盖，按生态环境、水利、自然资源等部门监管要求，必须依法依规完成撤销、备案、界标清理与矢量库退库等全流程工作，是履行政府生态环保责任、完成上级考核与专项整改任务的必做事项、硬性任务。</w:t>
      </w:r>
    </w:p>
    <w:p w14:paraId="1A9DE7CC">
      <w:pPr>
        <w:spacing w:line="360" w:lineRule="auto"/>
        <w:rPr>
          <w:rFonts w:hint="eastAsia" w:ascii="宋体" w:hAnsi="宋体" w:eastAsia="宋体" w:cs="宋体"/>
          <w:b w:val="0"/>
          <w:bCs w:val="0"/>
          <w:sz w:val="28"/>
          <w:szCs w:val="36"/>
        </w:rPr>
      </w:pPr>
      <w:r>
        <w:rPr>
          <w:rFonts w:hint="eastAsia" w:ascii="宋体" w:hAnsi="宋体" w:eastAsia="宋体" w:cs="宋体"/>
          <w:b w:val="0"/>
          <w:bCs w:val="0"/>
          <w:sz w:val="28"/>
          <w:szCs w:val="36"/>
        </w:rPr>
        <w:t>（2）保障全县饮水安全与公共服务提质的现实需要</w:t>
      </w:r>
    </w:p>
    <w:p w14:paraId="2EB385D0">
      <w:pPr>
        <w:spacing w:line="360" w:lineRule="auto"/>
        <w:rPr>
          <w:rFonts w:hint="eastAsia" w:ascii="宋体" w:hAnsi="宋体" w:eastAsia="宋体" w:cs="宋体"/>
          <w:b w:val="0"/>
          <w:bCs w:val="0"/>
          <w:sz w:val="28"/>
          <w:szCs w:val="36"/>
        </w:rPr>
      </w:pPr>
      <w:r>
        <w:rPr>
          <w:rFonts w:hint="eastAsia" w:ascii="宋体" w:hAnsi="宋体" w:eastAsia="宋体" w:cs="宋体"/>
          <w:b w:val="0"/>
          <w:bCs w:val="0"/>
          <w:sz w:val="28"/>
          <w:szCs w:val="36"/>
        </w:rPr>
        <w:t>原水源地存在水量不足、水质不稳定、保护管控难度大等突出问题，已不具备集中式饮用水供水保障能力。撤销后可彻底退出低效、高风险水源管理，集中资源管护水质更优、水量更稳、运维更安全的在用水源地，从源头筑牢饮水安全防线，切实保障城乡居民饮水质量与供水可靠性，提升公共服务均等化水平。</w:t>
      </w:r>
    </w:p>
    <w:p w14:paraId="05B042F7">
      <w:pPr>
        <w:spacing w:line="360" w:lineRule="auto"/>
        <w:rPr>
          <w:rFonts w:hint="eastAsia" w:ascii="宋体" w:hAnsi="宋体" w:eastAsia="宋体" w:cs="宋体"/>
          <w:b w:val="0"/>
          <w:bCs w:val="0"/>
          <w:sz w:val="28"/>
          <w:szCs w:val="36"/>
        </w:rPr>
      </w:pPr>
      <w:r>
        <w:rPr>
          <w:rFonts w:hint="eastAsia" w:ascii="宋体" w:hAnsi="宋体" w:eastAsia="宋体" w:cs="宋体"/>
          <w:b w:val="0"/>
          <w:bCs w:val="0"/>
          <w:sz w:val="28"/>
          <w:szCs w:val="36"/>
        </w:rPr>
        <w:t>（3）优化国土空间与释放发展要素的关键支撑</w:t>
      </w:r>
    </w:p>
    <w:p w14:paraId="70E6E367">
      <w:pPr>
        <w:spacing w:line="360" w:lineRule="auto"/>
        <w:rPr>
          <w:rFonts w:hint="eastAsia" w:ascii="宋体" w:hAnsi="宋体" w:eastAsia="宋体" w:cs="宋体"/>
          <w:b w:val="0"/>
          <w:bCs w:val="0"/>
          <w:sz w:val="28"/>
          <w:szCs w:val="36"/>
        </w:rPr>
      </w:pPr>
      <w:r>
        <w:rPr>
          <w:rFonts w:hint="eastAsia" w:ascii="宋体" w:hAnsi="宋体" w:eastAsia="宋体" w:cs="宋体"/>
          <w:b w:val="0"/>
          <w:bCs w:val="0"/>
          <w:sz w:val="28"/>
          <w:szCs w:val="36"/>
        </w:rPr>
        <w:t>原水源地保护区长期对周边土地利用、项目建设、产业布局、乡村发展形成刚性约束，大量适宜开发空间被限制使用。实施撤销后，可依法解除保护区管控，盘活存量土地与生态空间，为我县基础设施建设、乡村振兴、文旅融合、绿色产业落地腾出发展载体，破解空间要素瓶颈，支撑县域规划落地与可持续发展。</w:t>
      </w:r>
    </w:p>
    <w:p w14:paraId="43D97295">
      <w:pPr>
        <w:spacing w:line="360" w:lineRule="auto"/>
        <w:rPr>
          <w:rFonts w:hint="eastAsia" w:ascii="宋体" w:hAnsi="宋体" w:eastAsia="宋体" w:cs="宋体"/>
          <w:b w:val="0"/>
          <w:bCs w:val="0"/>
          <w:sz w:val="28"/>
          <w:szCs w:val="36"/>
        </w:rPr>
      </w:pPr>
      <w:r>
        <w:rPr>
          <w:rFonts w:hint="eastAsia" w:ascii="宋体" w:hAnsi="宋体" w:eastAsia="宋体" w:cs="宋体"/>
          <w:b w:val="0"/>
          <w:bCs w:val="0"/>
          <w:sz w:val="28"/>
          <w:szCs w:val="36"/>
        </w:rPr>
        <w:t>2.项目实施的迫切性</w:t>
      </w:r>
    </w:p>
    <w:p w14:paraId="5DE32C24">
      <w:pPr>
        <w:spacing w:line="360" w:lineRule="auto"/>
        <w:rPr>
          <w:rFonts w:hint="eastAsia" w:ascii="宋体" w:hAnsi="宋体" w:eastAsia="宋体" w:cs="宋体"/>
          <w:b w:val="0"/>
          <w:bCs w:val="0"/>
          <w:sz w:val="28"/>
          <w:szCs w:val="36"/>
        </w:rPr>
      </w:pPr>
      <w:r>
        <w:rPr>
          <w:rFonts w:hint="eastAsia" w:ascii="宋体" w:hAnsi="宋体" w:eastAsia="宋体" w:cs="宋体"/>
          <w:b w:val="0"/>
          <w:bCs w:val="0"/>
          <w:sz w:val="28"/>
          <w:szCs w:val="36"/>
        </w:rPr>
        <w:t>（1）整改时限紧迫，必须按期闭环</w:t>
      </w:r>
    </w:p>
    <w:p w14:paraId="2009D0B7">
      <w:pPr>
        <w:spacing w:line="360" w:lineRule="auto"/>
        <w:rPr>
          <w:rFonts w:hint="eastAsia" w:ascii="宋体" w:hAnsi="宋体" w:eastAsia="宋体" w:cs="宋体"/>
          <w:b w:val="0"/>
          <w:bCs w:val="0"/>
          <w:sz w:val="28"/>
          <w:szCs w:val="36"/>
        </w:rPr>
      </w:pPr>
      <w:r>
        <w:rPr>
          <w:rFonts w:hint="eastAsia" w:ascii="宋体" w:hAnsi="宋体" w:eastAsia="宋体" w:cs="宋体"/>
          <w:b w:val="0"/>
          <w:bCs w:val="0"/>
          <w:sz w:val="28"/>
          <w:szCs w:val="36"/>
        </w:rPr>
        <w:t>本项目涉及水源地规范化管理、饮用水安全专项行动等多项硬性任务，上级明确时限要求，需尽快完成方案编制、专家论证、政府审议、报批备案、现场清理等工作，逾期将影响全县考核结果、造成监管风险，启动实施刻不容缓。</w:t>
      </w:r>
    </w:p>
    <w:p w14:paraId="4F3F4A9D">
      <w:pPr>
        <w:spacing w:line="360" w:lineRule="auto"/>
        <w:rPr>
          <w:rFonts w:hint="eastAsia" w:ascii="宋体" w:hAnsi="宋体" w:eastAsia="宋体" w:cs="宋体"/>
          <w:b w:val="0"/>
          <w:bCs w:val="0"/>
          <w:sz w:val="28"/>
          <w:szCs w:val="36"/>
        </w:rPr>
      </w:pPr>
      <w:r>
        <w:rPr>
          <w:rFonts w:hint="eastAsia" w:ascii="宋体" w:hAnsi="宋体" w:eastAsia="宋体" w:cs="宋体"/>
          <w:b w:val="0"/>
          <w:bCs w:val="0"/>
          <w:sz w:val="28"/>
          <w:szCs w:val="36"/>
        </w:rPr>
        <w:t>（2）管理成本高企，低效管控亟待终止</w:t>
      </w:r>
    </w:p>
    <w:p w14:paraId="65AE0D25">
      <w:pPr>
        <w:spacing w:line="360" w:lineRule="auto"/>
        <w:rPr>
          <w:rFonts w:hint="eastAsia" w:ascii="宋体" w:hAnsi="宋体" w:eastAsia="宋体" w:cs="宋体"/>
          <w:b w:val="0"/>
          <w:bCs w:val="0"/>
          <w:sz w:val="28"/>
          <w:szCs w:val="36"/>
        </w:rPr>
      </w:pPr>
      <w:r>
        <w:rPr>
          <w:rFonts w:hint="eastAsia" w:ascii="宋体" w:hAnsi="宋体" w:eastAsia="宋体" w:cs="宋体"/>
          <w:b w:val="0"/>
          <w:bCs w:val="0"/>
          <w:sz w:val="28"/>
          <w:szCs w:val="36"/>
        </w:rPr>
        <w:t>原水源地已无供水功能，但仍需投入人力、物力开展日常巡查、界标维护、污染防控，造成财政资源浪费与管理负担。尽快撤销可终止无效管护、节约公共支出，将资金与力量投向更急需的民生保障与生态治理领域。</w:t>
      </w:r>
    </w:p>
    <w:p w14:paraId="785DA746">
      <w:pPr>
        <w:spacing w:line="360" w:lineRule="auto"/>
        <w:rPr>
          <w:rFonts w:hint="eastAsia" w:ascii="宋体" w:hAnsi="宋体" w:eastAsia="宋体" w:cs="宋体"/>
          <w:b w:val="0"/>
          <w:bCs w:val="0"/>
          <w:sz w:val="28"/>
          <w:szCs w:val="36"/>
        </w:rPr>
      </w:pPr>
      <w:r>
        <w:rPr>
          <w:rFonts w:hint="eastAsia" w:ascii="宋体" w:hAnsi="宋体" w:eastAsia="宋体" w:cs="宋体"/>
          <w:b w:val="0"/>
          <w:bCs w:val="0"/>
          <w:sz w:val="28"/>
          <w:szCs w:val="36"/>
        </w:rPr>
        <w:t>（3）发展诉求强烈，群众与市场期盼迫切</w:t>
      </w:r>
    </w:p>
    <w:p w14:paraId="6A2DB55A">
      <w:pPr>
        <w:spacing w:line="360" w:lineRule="auto"/>
        <w:rPr>
          <w:rFonts w:hint="eastAsia" w:ascii="宋体" w:hAnsi="宋体" w:eastAsia="宋体" w:cs="宋体"/>
          <w:b w:val="0"/>
          <w:bCs w:val="0"/>
          <w:sz w:val="28"/>
          <w:szCs w:val="36"/>
        </w:rPr>
      </w:pPr>
      <w:r>
        <w:rPr>
          <w:rFonts w:hint="eastAsia" w:ascii="宋体" w:hAnsi="宋体" w:eastAsia="宋体" w:cs="宋体"/>
          <w:b w:val="0"/>
          <w:bCs w:val="0"/>
          <w:sz w:val="28"/>
          <w:szCs w:val="36"/>
        </w:rPr>
        <w:t>保护区周边镇村、企业、群众对解除开发限制、盘活土地资源、改善生产生活条件诉求强烈。项目早实施、早落地，就能早释放红利、早化解矛盾，维护社会稳定，提升群众获得感与满意度。</w:t>
      </w:r>
    </w:p>
    <w:p w14:paraId="016E1140">
      <w:pPr>
        <w:spacing w:line="360" w:lineRule="auto"/>
        <w:rPr>
          <w:rFonts w:hint="eastAsia" w:ascii="宋体" w:hAnsi="宋体" w:eastAsia="宋体" w:cs="宋体"/>
          <w:b w:val="0"/>
          <w:bCs w:val="0"/>
          <w:sz w:val="28"/>
          <w:szCs w:val="36"/>
        </w:rPr>
      </w:pPr>
      <w:r>
        <w:rPr>
          <w:rFonts w:hint="eastAsia" w:ascii="宋体" w:hAnsi="宋体" w:eastAsia="宋体" w:cs="宋体"/>
          <w:b w:val="0"/>
          <w:bCs w:val="0"/>
          <w:sz w:val="28"/>
          <w:szCs w:val="36"/>
        </w:rPr>
        <w:t>3.项目实施的综合效益</w:t>
      </w:r>
    </w:p>
    <w:p w14:paraId="004B9A36">
      <w:pPr>
        <w:spacing w:line="360" w:lineRule="auto"/>
        <w:rPr>
          <w:rFonts w:hint="eastAsia" w:ascii="宋体" w:hAnsi="宋体" w:eastAsia="宋体" w:cs="宋体"/>
          <w:b w:val="0"/>
          <w:bCs w:val="0"/>
          <w:sz w:val="28"/>
          <w:szCs w:val="36"/>
        </w:rPr>
      </w:pPr>
      <w:r>
        <w:rPr>
          <w:rFonts w:hint="eastAsia" w:ascii="宋体" w:hAnsi="宋体" w:eastAsia="宋体" w:cs="宋体"/>
          <w:b w:val="0"/>
          <w:bCs w:val="0"/>
          <w:sz w:val="28"/>
          <w:szCs w:val="36"/>
        </w:rPr>
        <w:t>（1）社会效益：筑牢安全底线，提升治理能力</w:t>
      </w:r>
    </w:p>
    <w:p w14:paraId="68F69386">
      <w:pPr>
        <w:spacing w:line="360" w:lineRule="auto"/>
        <w:rPr>
          <w:rFonts w:hint="eastAsia" w:ascii="宋体" w:hAnsi="宋体" w:eastAsia="宋体" w:cs="宋体"/>
          <w:b w:val="0"/>
          <w:bCs w:val="0"/>
          <w:sz w:val="28"/>
          <w:szCs w:val="36"/>
        </w:rPr>
      </w:pPr>
      <w:r>
        <w:rPr>
          <w:rFonts w:hint="eastAsia" w:ascii="宋体" w:hAnsi="宋体" w:eastAsia="宋体" w:cs="宋体"/>
          <w:b w:val="0"/>
          <w:bCs w:val="0"/>
          <w:sz w:val="28"/>
          <w:szCs w:val="36"/>
        </w:rPr>
        <w:t>全面规范水源地管理，完成法定整改闭环，守住饮用水安全底线；优化公共服务资源配置，提升生态环境治理体系与治理能力现代化水平，树立负责任政府形象。</w:t>
      </w:r>
    </w:p>
    <w:p w14:paraId="50C85EB7">
      <w:pPr>
        <w:spacing w:line="360" w:lineRule="auto"/>
        <w:rPr>
          <w:rFonts w:hint="eastAsia" w:ascii="宋体" w:hAnsi="宋体" w:eastAsia="宋体" w:cs="宋体"/>
          <w:b w:val="0"/>
          <w:bCs w:val="0"/>
          <w:sz w:val="28"/>
          <w:szCs w:val="36"/>
        </w:rPr>
      </w:pPr>
      <w:r>
        <w:rPr>
          <w:rFonts w:hint="eastAsia" w:ascii="宋体" w:hAnsi="宋体" w:eastAsia="宋体" w:cs="宋体"/>
          <w:b w:val="0"/>
          <w:bCs w:val="0"/>
          <w:sz w:val="28"/>
          <w:szCs w:val="36"/>
        </w:rPr>
        <w:t>（2）经济效益：释放空间动能，助推高质量发展</w:t>
      </w:r>
    </w:p>
    <w:p w14:paraId="7275231B">
      <w:pPr>
        <w:spacing w:line="360" w:lineRule="auto"/>
        <w:rPr>
          <w:rFonts w:hint="eastAsia" w:ascii="宋体" w:hAnsi="宋体" w:eastAsia="宋体" w:cs="宋体"/>
          <w:b w:val="0"/>
          <w:bCs w:val="0"/>
          <w:sz w:val="28"/>
          <w:szCs w:val="36"/>
        </w:rPr>
      </w:pPr>
      <w:r>
        <w:rPr>
          <w:rFonts w:hint="eastAsia" w:ascii="宋体" w:hAnsi="宋体" w:eastAsia="宋体" w:cs="宋体"/>
          <w:b w:val="0"/>
          <w:bCs w:val="0"/>
          <w:sz w:val="28"/>
          <w:szCs w:val="36"/>
        </w:rPr>
        <w:t>盘活保护区土地与生态资源，优化营商环境，支撑产业项目落地与乡村振兴实施，降低长期管护成本，形成生态保护与经济发展良性互动，为我县经济社会高质量发展注入新动能。​</w:t>
      </w:r>
    </w:p>
    <w:p w14:paraId="232CCB60">
      <w:pPr>
        <w:spacing w:line="360" w:lineRule="auto"/>
        <w:rPr>
          <w:rFonts w:hint="eastAsia" w:ascii="宋体" w:hAnsi="宋体" w:eastAsia="宋体" w:cs="宋体"/>
          <w:b w:val="0"/>
          <w:bCs w:val="0"/>
          <w:sz w:val="28"/>
          <w:szCs w:val="36"/>
        </w:rPr>
      </w:pPr>
      <w:r>
        <w:rPr>
          <w:rFonts w:hint="eastAsia" w:ascii="宋体" w:hAnsi="宋体" w:eastAsia="宋体" w:cs="宋体"/>
          <w:b w:val="0"/>
          <w:bCs w:val="0"/>
          <w:sz w:val="28"/>
          <w:szCs w:val="36"/>
        </w:rPr>
        <w:t>（3）生态效益：精准管控资源，促进绿色发展</w:t>
      </w:r>
    </w:p>
    <w:p w14:paraId="498485FF">
      <w:pPr>
        <w:spacing w:line="360" w:lineRule="auto"/>
        <w:rPr>
          <w:rFonts w:hint="eastAsia" w:ascii="宋体" w:hAnsi="宋体" w:eastAsia="宋体" w:cs="宋体"/>
          <w:b w:val="0"/>
          <w:bCs w:val="0"/>
          <w:sz w:val="28"/>
          <w:szCs w:val="36"/>
        </w:rPr>
      </w:pPr>
      <w:r>
        <w:rPr>
          <w:rFonts w:hint="eastAsia" w:ascii="宋体" w:hAnsi="宋体" w:eastAsia="宋体" w:cs="宋体"/>
          <w:b w:val="0"/>
          <w:bCs w:val="0"/>
          <w:sz w:val="28"/>
          <w:szCs w:val="36"/>
        </w:rPr>
        <w:t>退出无效水源保护，集中力量强化在用优质水源地管护，减少面源污染与生态风险，推动水资源集约节约利用与水环境持续改善，助力我县生态文明建设走深走实。</w:t>
      </w:r>
    </w:p>
    <w:p w14:paraId="1A1A337E">
      <w:pPr>
        <w:spacing w:line="360" w:lineRule="auto"/>
        <w:rPr>
          <w:rFonts w:hint="eastAsia" w:ascii="宋体" w:hAnsi="宋体" w:eastAsia="宋体" w:cs="宋体"/>
          <w:b w:val="0"/>
          <w:bCs w:val="0"/>
          <w:sz w:val="28"/>
          <w:szCs w:val="36"/>
        </w:rPr>
      </w:pPr>
      <w:r>
        <w:rPr>
          <w:rFonts w:hint="eastAsia" w:ascii="宋体" w:hAnsi="宋体" w:eastAsia="宋体" w:cs="宋体"/>
          <w:b w:val="0"/>
          <w:bCs w:val="0"/>
          <w:sz w:val="28"/>
          <w:szCs w:val="36"/>
        </w:rPr>
        <w:t>综上，水源地撤销项目政策有依据、现实有需要、发展有价值、整改有时限，是必须尽快实施的公益性、基础性、紧迫性项目，对我县经济社会发展与民生保障具有重要支撑作用。</w:t>
      </w:r>
    </w:p>
    <w:p w14:paraId="0B466BDA">
      <w:pPr>
        <w:spacing w:line="360" w:lineRule="auto"/>
        <w:rPr>
          <w:rFonts w:hint="eastAsia"/>
          <w:b/>
          <w:bCs/>
          <w:sz w:val="28"/>
          <w:szCs w:val="36"/>
        </w:rPr>
      </w:pPr>
    </w:p>
    <w:p w14:paraId="690EC70D">
      <w:pPr>
        <w:spacing w:line="360" w:lineRule="auto"/>
        <w:rPr>
          <w:rFonts w:hint="eastAsia" w:eastAsia="宋体"/>
          <w:sz w:val="28"/>
          <w:szCs w:val="36"/>
          <w:lang w:val="en-US" w:eastAsia="zh-CN"/>
        </w:rPr>
      </w:pPr>
      <w:r>
        <w:rPr>
          <w:rFonts w:hint="eastAsia"/>
          <w:b/>
          <w:bCs/>
          <w:sz w:val="28"/>
          <w:szCs w:val="36"/>
        </w:rPr>
        <w:t>采购品目类别</w:t>
      </w:r>
      <w:r>
        <w:rPr>
          <w:rFonts w:hint="eastAsia"/>
          <w:sz w:val="28"/>
          <w:szCs w:val="36"/>
        </w:rPr>
        <w:t>：技术咨询服务</w:t>
      </w:r>
      <w:r>
        <w:rPr>
          <w:rFonts w:hint="eastAsia"/>
          <w:sz w:val="28"/>
          <w:szCs w:val="36"/>
          <w:lang w:val="en-US" w:eastAsia="zh-CN"/>
        </w:rPr>
        <w:t>类</w:t>
      </w:r>
    </w:p>
    <w:p w14:paraId="757ACD3F">
      <w:pPr>
        <w:spacing w:line="360" w:lineRule="auto"/>
        <w:rPr>
          <w:rFonts w:hint="eastAsia" w:eastAsia="宋体"/>
          <w:sz w:val="28"/>
          <w:szCs w:val="36"/>
          <w:lang w:eastAsia="zh-CN"/>
        </w:rPr>
      </w:pPr>
      <w:r>
        <w:rPr>
          <w:rFonts w:hint="eastAsia"/>
          <w:b/>
          <w:bCs/>
          <w:sz w:val="28"/>
          <w:szCs w:val="36"/>
        </w:rPr>
        <w:t>适用项目</w:t>
      </w:r>
      <w:r>
        <w:rPr>
          <w:rFonts w:hint="eastAsia"/>
          <w:sz w:val="28"/>
          <w:szCs w:val="36"/>
        </w:rPr>
        <w:t>：</w:t>
      </w:r>
      <w:r>
        <w:rPr>
          <w:rFonts w:hint="eastAsia" w:eastAsia="宋体"/>
          <w:sz w:val="28"/>
          <w:szCs w:val="36"/>
          <w:lang w:eastAsia="zh-CN"/>
        </w:rPr>
        <w:t>《绥德县丁家沟-十里铺饮用水水源地保护区撤销技术报告》编制服务项目</w:t>
      </w:r>
    </w:p>
    <w:p w14:paraId="42C0B8CA">
      <w:pPr>
        <w:spacing w:line="360" w:lineRule="auto"/>
        <w:rPr>
          <w:rFonts w:hint="eastAsia"/>
          <w:sz w:val="28"/>
          <w:szCs w:val="36"/>
        </w:rPr>
      </w:pPr>
      <w:r>
        <w:rPr>
          <w:rFonts w:hint="eastAsia"/>
          <w:b/>
          <w:bCs/>
          <w:sz w:val="28"/>
          <w:szCs w:val="36"/>
        </w:rPr>
        <w:t>编制说明</w:t>
      </w:r>
      <w:r>
        <w:rPr>
          <w:rFonts w:hint="eastAsia"/>
          <w:sz w:val="28"/>
          <w:szCs w:val="36"/>
        </w:rPr>
        <w:t>：本清单严格按照政府采购技术咨询服务类标准编制，涵盖两项预案全套编制、评估、评审、备案、培训等配套技术服务，服务成果符合国家、省、市生态环境及应急管理相关法规、技术导则，可直接用于县级应急管理体系备案及常态化使用。</w:t>
      </w:r>
    </w:p>
    <w:p w14:paraId="61EB04E3">
      <w:pPr>
        <w:spacing w:line="360" w:lineRule="auto"/>
        <w:rPr>
          <w:rFonts w:hint="eastAsia"/>
          <w:sz w:val="28"/>
          <w:szCs w:val="36"/>
        </w:rPr>
      </w:pPr>
      <w:r>
        <w:rPr>
          <w:rFonts w:hint="eastAsia"/>
          <w:sz w:val="28"/>
          <w:szCs w:val="36"/>
        </w:rPr>
        <w:t>（一）现场调查丁家沟、十里铺、四十铺水源地现状，收集水源地近年来供水水量、水质等基础资料；收集供水公司今年供水、取水相关数据；调查王圪堵水库供水量等资料。</w:t>
      </w:r>
    </w:p>
    <w:p w14:paraId="2812422B">
      <w:pPr>
        <w:spacing w:line="360" w:lineRule="auto"/>
        <w:rPr>
          <w:rFonts w:hint="eastAsia"/>
          <w:sz w:val="28"/>
          <w:szCs w:val="36"/>
        </w:rPr>
      </w:pPr>
      <w:r>
        <w:rPr>
          <w:rFonts w:hint="eastAsia"/>
          <w:sz w:val="28"/>
          <w:szCs w:val="36"/>
        </w:rPr>
        <w:t>（二）编制《撤销绥德县丁家沟-十里铺饮用水源地水源保护区》报告。</w:t>
      </w:r>
    </w:p>
    <w:p w14:paraId="27E859E0">
      <w:pPr>
        <w:spacing w:line="360" w:lineRule="auto"/>
        <w:rPr>
          <w:rFonts w:hint="eastAsia"/>
          <w:sz w:val="28"/>
          <w:szCs w:val="36"/>
        </w:rPr>
      </w:pPr>
      <w:r>
        <w:rPr>
          <w:rFonts w:hint="eastAsia"/>
          <w:sz w:val="28"/>
          <w:szCs w:val="36"/>
        </w:rPr>
        <w:t>（三）组织专家对《撤销绥德县丁家沟-十里铺饮用水源地水源保护区》报告进行评审，取得通过评审的专家组意见。</w:t>
      </w:r>
    </w:p>
    <w:p w14:paraId="6078C5EB">
      <w:pPr>
        <w:spacing w:line="360" w:lineRule="auto"/>
        <w:rPr>
          <w:rFonts w:hint="eastAsia"/>
          <w:sz w:val="28"/>
          <w:szCs w:val="36"/>
        </w:rPr>
      </w:pPr>
      <w:r>
        <w:rPr>
          <w:rFonts w:hint="eastAsia"/>
          <w:sz w:val="28"/>
          <w:szCs w:val="36"/>
        </w:rPr>
        <w:t>（四）报榆林市人民政府，由榆林市人民政府报陕西省人民政府对撤销水源地保护区做出批复。</w:t>
      </w:r>
    </w:p>
    <w:p w14:paraId="0D1E5C60">
      <w:pPr>
        <w:spacing w:line="360" w:lineRule="auto"/>
        <w:rPr>
          <w:rFonts w:hint="eastAsia"/>
          <w:sz w:val="28"/>
          <w:szCs w:val="36"/>
        </w:rPr>
      </w:pPr>
      <w:r>
        <w:rPr>
          <w:rFonts w:hint="eastAsia"/>
          <w:sz w:val="28"/>
          <w:szCs w:val="36"/>
        </w:rPr>
        <w:t>（五）取得陕西省人民政府同意撤销绥德县丁家沟-十里铺饮用水源地水源保护区的函。</w:t>
      </w:r>
    </w:p>
    <w:p w14:paraId="220023E8">
      <w:pPr>
        <w:keepNext w:val="0"/>
        <w:keepLines w:val="0"/>
        <w:pageBreakBefore w:val="0"/>
        <w:widowControl/>
        <w:numPr>
          <w:ilvl w:val="0"/>
          <w:numId w:val="0"/>
        </w:numPr>
        <w:kinsoku/>
        <w:wordWrap w:val="0"/>
        <w:overflowPunct/>
        <w:topLinePunct w:val="0"/>
        <w:autoSpaceDE w:val="0"/>
        <w:autoSpaceDN w:val="0"/>
        <w:bidi w:val="0"/>
        <w:adjustRightInd w:val="0"/>
        <w:snapToGrid w:val="0"/>
        <w:spacing w:line="560" w:lineRule="exact"/>
        <w:ind w:right="0" w:rightChars="0" w:firstLine="643" w:firstLineChars="200"/>
        <w:jc w:val="both"/>
        <w:textAlignment w:val="baseline"/>
        <w:rPr>
          <w:rFonts w:hint="default" w:ascii="仿宋" w:hAnsi="仿宋" w:eastAsia="仿宋" w:cs="仿宋"/>
          <w:b/>
          <w:bCs/>
          <w:snapToGrid w:val="0"/>
          <w:color w:val="000000"/>
          <w:kern w:val="0"/>
          <w:sz w:val="32"/>
          <w:szCs w:val="32"/>
          <w:lang w:val="en-US" w:eastAsia="zh-CN" w:bidi="ar-SA"/>
        </w:rPr>
      </w:pPr>
      <w:r>
        <w:rPr>
          <w:rFonts w:hint="eastAsia" w:ascii="仿宋" w:hAnsi="仿宋" w:eastAsia="仿宋" w:cs="仿宋"/>
          <w:b/>
          <w:bCs/>
          <w:snapToGrid w:val="0"/>
          <w:color w:val="000000"/>
          <w:kern w:val="0"/>
          <w:sz w:val="32"/>
          <w:szCs w:val="32"/>
          <w:lang w:val="en-US" w:eastAsia="zh-CN" w:bidi="ar-SA"/>
        </w:rPr>
        <w:t>具体明细如下表：</w:t>
      </w:r>
    </w:p>
    <w:tbl>
      <w:tblPr>
        <w:tblStyle w:val="11"/>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35"/>
        <w:gridCol w:w="7013"/>
      </w:tblGrid>
      <w:tr w14:paraId="0C4EE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 w:type="pct"/>
            <w:vAlign w:val="center"/>
          </w:tcPr>
          <w:p w14:paraId="2D56D349">
            <w:pPr>
              <w:keepNext w:val="0"/>
              <w:keepLines w:val="0"/>
              <w:pageBreakBefore w:val="0"/>
              <w:widowControl w:val="0"/>
              <w:kinsoku/>
              <w:wordWrap w:val="0"/>
              <w:overflowPunct/>
              <w:topLinePunct w:val="0"/>
              <w:autoSpaceDE w:val="0"/>
              <w:autoSpaceDN w:val="0"/>
              <w:bidi w:val="0"/>
              <w:adjustRightInd w:val="0"/>
              <w:snapToGrid w:val="0"/>
              <w:spacing w:line="240" w:lineRule="auto"/>
              <w:ind w:right="0"/>
              <w:jc w:val="center"/>
              <w:textAlignment w:val="baseline"/>
              <w:rPr>
                <w:rFonts w:hint="eastAsia" w:ascii="黑体" w:hAnsi="黑体" w:eastAsia="黑体" w:cs="黑体"/>
                <w:b w:val="0"/>
                <w:bCs w:val="0"/>
                <w:spacing w:val="13"/>
                <w:sz w:val="32"/>
                <w:szCs w:val="32"/>
                <w:vertAlign w:val="baseline"/>
                <w:lang w:val="en-US" w:eastAsia="zh-CN"/>
              </w:rPr>
            </w:pPr>
            <w:r>
              <w:rPr>
                <w:rFonts w:hint="eastAsia" w:ascii="黑体" w:hAnsi="黑体" w:eastAsia="黑体" w:cs="黑体"/>
                <w:b w:val="0"/>
                <w:bCs w:val="0"/>
                <w:spacing w:val="13"/>
                <w:sz w:val="32"/>
                <w:szCs w:val="32"/>
                <w:vertAlign w:val="baseline"/>
                <w:lang w:val="en-US" w:eastAsia="zh-CN"/>
              </w:rPr>
              <w:t>序号</w:t>
            </w:r>
          </w:p>
        </w:tc>
        <w:tc>
          <w:tcPr>
            <w:tcW w:w="4101" w:type="pct"/>
            <w:vAlign w:val="center"/>
          </w:tcPr>
          <w:p w14:paraId="4A9B8446">
            <w:pPr>
              <w:keepNext w:val="0"/>
              <w:keepLines w:val="0"/>
              <w:pageBreakBefore w:val="0"/>
              <w:widowControl w:val="0"/>
              <w:kinsoku/>
              <w:wordWrap w:val="0"/>
              <w:overflowPunct/>
              <w:topLinePunct w:val="0"/>
              <w:autoSpaceDE w:val="0"/>
              <w:autoSpaceDN w:val="0"/>
              <w:bidi w:val="0"/>
              <w:adjustRightInd w:val="0"/>
              <w:snapToGrid w:val="0"/>
              <w:spacing w:line="240" w:lineRule="auto"/>
              <w:ind w:right="0"/>
              <w:jc w:val="center"/>
              <w:textAlignment w:val="baseline"/>
              <w:rPr>
                <w:rFonts w:hint="default" w:ascii="黑体" w:hAnsi="黑体" w:eastAsia="黑体" w:cs="黑体"/>
                <w:b w:val="0"/>
                <w:bCs w:val="0"/>
                <w:spacing w:val="13"/>
                <w:sz w:val="32"/>
                <w:szCs w:val="32"/>
                <w:vertAlign w:val="baseline"/>
                <w:lang w:val="en-US" w:eastAsia="zh-CN"/>
              </w:rPr>
            </w:pPr>
            <w:r>
              <w:rPr>
                <w:rFonts w:hint="eastAsia" w:ascii="黑体" w:hAnsi="黑体" w:eastAsia="黑体" w:cs="黑体"/>
                <w:b w:val="0"/>
                <w:bCs w:val="0"/>
                <w:spacing w:val="13"/>
                <w:sz w:val="32"/>
                <w:szCs w:val="32"/>
                <w:vertAlign w:val="baseline"/>
                <w:lang w:val="en-US" w:eastAsia="zh-CN"/>
              </w:rPr>
              <w:t>名称</w:t>
            </w:r>
          </w:p>
        </w:tc>
      </w:tr>
      <w:tr w14:paraId="34D6CE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 w:type="pct"/>
            <w:vAlign w:val="center"/>
          </w:tcPr>
          <w:p w14:paraId="1D492435">
            <w:pPr>
              <w:keepNext w:val="0"/>
              <w:keepLines w:val="0"/>
              <w:pageBreakBefore w:val="0"/>
              <w:widowControl w:val="0"/>
              <w:kinsoku/>
              <w:wordWrap w:val="0"/>
              <w:overflowPunct/>
              <w:topLinePunct w:val="0"/>
              <w:autoSpaceDE w:val="0"/>
              <w:autoSpaceDN w:val="0"/>
              <w:bidi w:val="0"/>
              <w:adjustRightInd w:val="0"/>
              <w:snapToGrid w:val="0"/>
              <w:spacing w:line="240" w:lineRule="auto"/>
              <w:ind w:right="0"/>
              <w:jc w:val="center"/>
              <w:textAlignment w:val="baseline"/>
              <w:rPr>
                <w:rFonts w:hint="eastAsia" w:ascii="黑体" w:hAnsi="黑体" w:eastAsia="黑体" w:cs="黑体"/>
                <w:b w:val="0"/>
                <w:bCs w:val="0"/>
                <w:spacing w:val="13"/>
                <w:sz w:val="32"/>
                <w:szCs w:val="32"/>
                <w:vertAlign w:val="baseline"/>
                <w:lang w:val="en-US" w:eastAsia="zh-CN"/>
              </w:rPr>
            </w:pPr>
            <w:r>
              <w:rPr>
                <w:rFonts w:hint="eastAsia" w:ascii="黑体" w:hAnsi="黑体" w:eastAsia="黑体" w:cs="黑体"/>
                <w:b w:val="0"/>
                <w:bCs w:val="0"/>
                <w:spacing w:val="13"/>
                <w:sz w:val="32"/>
                <w:szCs w:val="32"/>
                <w:vertAlign w:val="baseline"/>
                <w:lang w:val="en-US" w:eastAsia="zh-CN"/>
              </w:rPr>
              <w:t>1</w:t>
            </w:r>
          </w:p>
        </w:tc>
        <w:tc>
          <w:tcPr>
            <w:tcW w:w="4101" w:type="pct"/>
            <w:vAlign w:val="center"/>
          </w:tcPr>
          <w:p w14:paraId="04F9CF80">
            <w:pPr>
              <w:keepNext w:val="0"/>
              <w:keepLines w:val="0"/>
              <w:pageBreakBefore w:val="0"/>
              <w:widowControl w:val="0"/>
              <w:kinsoku/>
              <w:wordWrap w:val="0"/>
              <w:overflowPunct/>
              <w:topLinePunct w:val="0"/>
              <w:autoSpaceDE w:val="0"/>
              <w:autoSpaceDN w:val="0"/>
              <w:bidi w:val="0"/>
              <w:adjustRightInd w:val="0"/>
              <w:snapToGrid w:val="0"/>
              <w:spacing w:line="240" w:lineRule="auto"/>
              <w:ind w:right="0"/>
              <w:jc w:val="center"/>
              <w:textAlignment w:val="baseline"/>
              <w:rPr>
                <w:rFonts w:hint="eastAsia" w:ascii="黑体" w:hAnsi="黑体" w:eastAsia="黑体" w:cs="黑体"/>
                <w:b w:val="0"/>
                <w:bCs w:val="0"/>
                <w:spacing w:val="13"/>
                <w:sz w:val="32"/>
                <w:szCs w:val="32"/>
                <w:vertAlign w:val="baseline"/>
              </w:rPr>
            </w:pPr>
            <w:r>
              <w:rPr>
                <w:rFonts w:hint="eastAsia" w:ascii="仿宋" w:hAnsi="仿宋" w:eastAsia="仿宋" w:cs="仿宋"/>
                <w:b/>
                <w:bCs/>
                <w:snapToGrid w:val="0"/>
                <w:color w:val="000000"/>
                <w:spacing w:val="24"/>
                <w:kern w:val="0"/>
                <w:sz w:val="24"/>
                <w:szCs w:val="24"/>
                <w:lang w:val="en-US" w:eastAsia="zh-CN" w:bidi="ar-SA"/>
              </w:rPr>
              <w:t>现场调查丁家沟、十里铺、四十铺水源地现状，收集水源地近年来供水水量、水质等基础资料；收集供水公司今年供水、取水相关数据；调查王圪堵水库供水量等资料</w:t>
            </w:r>
          </w:p>
        </w:tc>
      </w:tr>
      <w:tr w14:paraId="02792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 w:type="pct"/>
            <w:vAlign w:val="center"/>
          </w:tcPr>
          <w:p w14:paraId="2DB9C500">
            <w:pPr>
              <w:keepNext w:val="0"/>
              <w:keepLines w:val="0"/>
              <w:pageBreakBefore w:val="0"/>
              <w:widowControl w:val="0"/>
              <w:kinsoku/>
              <w:wordWrap w:val="0"/>
              <w:overflowPunct/>
              <w:topLinePunct w:val="0"/>
              <w:autoSpaceDE w:val="0"/>
              <w:autoSpaceDN w:val="0"/>
              <w:bidi w:val="0"/>
              <w:adjustRightInd w:val="0"/>
              <w:snapToGrid w:val="0"/>
              <w:spacing w:line="240" w:lineRule="auto"/>
              <w:ind w:right="0"/>
              <w:jc w:val="center"/>
              <w:textAlignment w:val="baseline"/>
              <w:rPr>
                <w:rFonts w:hint="eastAsia" w:ascii="黑体" w:hAnsi="黑体" w:eastAsia="黑体" w:cs="黑体"/>
                <w:b w:val="0"/>
                <w:bCs w:val="0"/>
                <w:spacing w:val="13"/>
                <w:sz w:val="32"/>
                <w:szCs w:val="32"/>
                <w:vertAlign w:val="baseline"/>
                <w:lang w:val="en-US" w:eastAsia="zh-CN"/>
              </w:rPr>
            </w:pPr>
            <w:r>
              <w:rPr>
                <w:rFonts w:hint="eastAsia" w:ascii="黑体" w:hAnsi="黑体" w:eastAsia="黑体" w:cs="黑体"/>
                <w:b w:val="0"/>
                <w:bCs w:val="0"/>
                <w:spacing w:val="13"/>
                <w:sz w:val="32"/>
                <w:szCs w:val="32"/>
                <w:vertAlign w:val="baseline"/>
                <w:lang w:val="en-US" w:eastAsia="zh-CN"/>
              </w:rPr>
              <w:t>2</w:t>
            </w:r>
          </w:p>
        </w:tc>
        <w:tc>
          <w:tcPr>
            <w:tcW w:w="4101" w:type="pct"/>
            <w:vAlign w:val="center"/>
          </w:tcPr>
          <w:p w14:paraId="278FC6C7">
            <w:pPr>
              <w:keepNext w:val="0"/>
              <w:keepLines w:val="0"/>
              <w:pageBreakBefore w:val="0"/>
              <w:widowControl w:val="0"/>
              <w:kinsoku/>
              <w:wordWrap w:val="0"/>
              <w:overflowPunct/>
              <w:topLinePunct w:val="0"/>
              <w:autoSpaceDE w:val="0"/>
              <w:autoSpaceDN w:val="0"/>
              <w:bidi w:val="0"/>
              <w:adjustRightInd w:val="0"/>
              <w:snapToGrid w:val="0"/>
              <w:spacing w:line="240" w:lineRule="auto"/>
              <w:ind w:right="0"/>
              <w:jc w:val="center"/>
              <w:textAlignment w:val="baseline"/>
              <w:rPr>
                <w:rFonts w:hint="eastAsia" w:ascii="黑体" w:hAnsi="黑体" w:eastAsia="黑体" w:cs="黑体"/>
                <w:b w:val="0"/>
                <w:bCs w:val="0"/>
                <w:spacing w:val="13"/>
                <w:sz w:val="32"/>
                <w:szCs w:val="32"/>
                <w:vertAlign w:val="baseline"/>
              </w:rPr>
            </w:pPr>
            <w:r>
              <w:rPr>
                <w:rFonts w:hint="eastAsia" w:ascii="仿宋" w:hAnsi="仿宋" w:eastAsia="仿宋" w:cs="仿宋"/>
                <w:b/>
                <w:bCs/>
                <w:snapToGrid w:val="0"/>
                <w:color w:val="000000"/>
                <w:spacing w:val="24"/>
                <w:kern w:val="0"/>
                <w:sz w:val="24"/>
                <w:szCs w:val="24"/>
                <w:lang w:val="en-US" w:eastAsia="zh-CN" w:bidi="ar-SA"/>
              </w:rPr>
              <w:t>根据《关于推进陕西省集中式饮用水水源地生态环境保护工作的指导意见》（陕环发〔2022〕3号）等相关法律法规及技术规范，编制《绥德县丁家沟-十里铺饮用水水源保护区撤销》的报告</w:t>
            </w:r>
          </w:p>
        </w:tc>
      </w:tr>
      <w:tr w14:paraId="4BBE56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 w:type="pct"/>
            <w:vAlign w:val="center"/>
          </w:tcPr>
          <w:p w14:paraId="4824B477">
            <w:pPr>
              <w:keepNext w:val="0"/>
              <w:keepLines w:val="0"/>
              <w:pageBreakBefore w:val="0"/>
              <w:widowControl w:val="0"/>
              <w:kinsoku/>
              <w:wordWrap w:val="0"/>
              <w:overflowPunct/>
              <w:topLinePunct w:val="0"/>
              <w:autoSpaceDE w:val="0"/>
              <w:autoSpaceDN w:val="0"/>
              <w:bidi w:val="0"/>
              <w:adjustRightInd w:val="0"/>
              <w:snapToGrid w:val="0"/>
              <w:spacing w:line="240" w:lineRule="auto"/>
              <w:ind w:right="0"/>
              <w:jc w:val="center"/>
              <w:textAlignment w:val="baseline"/>
              <w:rPr>
                <w:rFonts w:hint="eastAsia" w:ascii="仿宋" w:hAnsi="仿宋" w:eastAsia="仿宋" w:cs="仿宋"/>
                <w:b/>
                <w:bCs/>
                <w:snapToGrid w:val="0"/>
                <w:color w:val="000000"/>
                <w:spacing w:val="24"/>
                <w:kern w:val="0"/>
                <w:sz w:val="24"/>
                <w:szCs w:val="24"/>
                <w:lang w:val="en-US" w:eastAsia="zh-CN" w:bidi="ar-SA"/>
              </w:rPr>
            </w:pPr>
            <w:r>
              <w:rPr>
                <w:rFonts w:hint="eastAsia" w:ascii="仿宋" w:hAnsi="仿宋" w:eastAsia="仿宋" w:cs="仿宋"/>
                <w:b/>
                <w:bCs/>
                <w:snapToGrid w:val="0"/>
                <w:color w:val="000000"/>
                <w:spacing w:val="24"/>
                <w:kern w:val="0"/>
                <w:sz w:val="24"/>
                <w:szCs w:val="24"/>
                <w:lang w:val="en-US" w:eastAsia="zh-CN" w:bidi="ar-SA"/>
              </w:rPr>
              <w:t>3</w:t>
            </w:r>
          </w:p>
        </w:tc>
        <w:tc>
          <w:tcPr>
            <w:tcW w:w="4101" w:type="pct"/>
            <w:vAlign w:val="center"/>
          </w:tcPr>
          <w:p w14:paraId="2B288431">
            <w:pPr>
              <w:keepNext w:val="0"/>
              <w:keepLines w:val="0"/>
              <w:pageBreakBefore w:val="0"/>
              <w:widowControl w:val="0"/>
              <w:kinsoku/>
              <w:wordWrap w:val="0"/>
              <w:overflowPunct/>
              <w:topLinePunct w:val="0"/>
              <w:autoSpaceDE w:val="0"/>
              <w:autoSpaceDN w:val="0"/>
              <w:bidi w:val="0"/>
              <w:adjustRightInd w:val="0"/>
              <w:snapToGrid w:val="0"/>
              <w:spacing w:line="240" w:lineRule="auto"/>
              <w:ind w:right="0"/>
              <w:jc w:val="center"/>
              <w:textAlignment w:val="baseline"/>
              <w:rPr>
                <w:rFonts w:hint="default" w:ascii="仿宋" w:hAnsi="仿宋" w:eastAsia="仿宋" w:cs="仿宋"/>
                <w:b/>
                <w:bCs/>
                <w:snapToGrid w:val="0"/>
                <w:color w:val="000000"/>
                <w:spacing w:val="24"/>
                <w:kern w:val="0"/>
                <w:sz w:val="24"/>
                <w:szCs w:val="24"/>
                <w:lang w:val="en-US" w:eastAsia="zh-CN" w:bidi="ar-SA"/>
              </w:rPr>
            </w:pPr>
            <w:r>
              <w:rPr>
                <w:rFonts w:hint="eastAsia" w:ascii="仿宋" w:hAnsi="仿宋" w:eastAsia="仿宋" w:cs="仿宋"/>
                <w:b/>
                <w:bCs/>
                <w:snapToGrid w:val="0"/>
                <w:color w:val="000000"/>
                <w:spacing w:val="24"/>
                <w:kern w:val="0"/>
                <w:sz w:val="24"/>
                <w:szCs w:val="24"/>
                <w:lang w:val="en-US" w:eastAsia="zh-CN" w:bidi="ar-SA"/>
              </w:rPr>
              <w:t>组织行业专家评审，并根据专家意见修改完善</w:t>
            </w:r>
          </w:p>
        </w:tc>
      </w:tr>
      <w:tr w14:paraId="28E5E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 w:type="pct"/>
            <w:vAlign w:val="center"/>
          </w:tcPr>
          <w:p w14:paraId="68004E31">
            <w:pPr>
              <w:keepNext w:val="0"/>
              <w:keepLines w:val="0"/>
              <w:pageBreakBefore w:val="0"/>
              <w:widowControl w:val="0"/>
              <w:kinsoku/>
              <w:wordWrap w:val="0"/>
              <w:overflowPunct/>
              <w:topLinePunct w:val="0"/>
              <w:autoSpaceDE w:val="0"/>
              <w:autoSpaceDN w:val="0"/>
              <w:bidi w:val="0"/>
              <w:adjustRightInd w:val="0"/>
              <w:snapToGrid w:val="0"/>
              <w:spacing w:line="240" w:lineRule="auto"/>
              <w:ind w:right="0"/>
              <w:jc w:val="center"/>
              <w:textAlignment w:val="baseline"/>
              <w:rPr>
                <w:rFonts w:hint="default" w:ascii="黑体" w:hAnsi="黑体" w:eastAsia="黑体" w:cs="黑体"/>
                <w:b w:val="0"/>
                <w:bCs w:val="0"/>
                <w:spacing w:val="13"/>
                <w:sz w:val="32"/>
                <w:szCs w:val="32"/>
                <w:vertAlign w:val="baseline"/>
                <w:lang w:val="en-US" w:eastAsia="zh-CN"/>
              </w:rPr>
            </w:pPr>
            <w:r>
              <w:rPr>
                <w:rFonts w:hint="eastAsia" w:ascii="黑体" w:hAnsi="黑体" w:eastAsia="黑体" w:cs="黑体"/>
                <w:b w:val="0"/>
                <w:bCs w:val="0"/>
                <w:spacing w:val="13"/>
                <w:sz w:val="32"/>
                <w:szCs w:val="32"/>
                <w:vertAlign w:val="baseline"/>
                <w:lang w:val="en-US" w:eastAsia="zh-CN"/>
              </w:rPr>
              <w:t>4</w:t>
            </w:r>
          </w:p>
        </w:tc>
        <w:tc>
          <w:tcPr>
            <w:tcW w:w="4101" w:type="pct"/>
            <w:vAlign w:val="center"/>
          </w:tcPr>
          <w:p w14:paraId="3C83E8EA">
            <w:pPr>
              <w:keepNext w:val="0"/>
              <w:keepLines w:val="0"/>
              <w:pageBreakBefore w:val="0"/>
              <w:widowControl w:val="0"/>
              <w:kinsoku/>
              <w:wordWrap w:val="0"/>
              <w:overflowPunct/>
              <w:topLinePunct w:val="0"/>
              <w:autoSpaceDE w:val="0"/>
              <w:autoSpaceDN w:val="0"/>
              <w:bidi w:val="0"/>
              <w:adjustRightInd w:val="0"/>
              <w:snapToGrid w:val="0"/>
              <w:spacing w:line="240" w:lineRule="auto"/>
              <w:ind w:right="0"/>
              <w:jc w:val="center"/>
              <w:textAlignment w:val="baseline"/>
              <w:rPr>
                <w:rFonts w:hint="default" w:ascii="黑体" w:hAnsi="黑体" w:eastAsia="黑体" w:cs="黑体"/>
                <w:b w:val="0"/>
                <w:bCs w:val="0"/>
                <w:spacing w:val="13"/>
                <w:sz w:val="32"/>
                <w:szCs w:val="32"/>
                <w:vertAlign w:val="baseline"/>
                <w:lang w:val="en-US" w:eastAsia="zh-CN"/>
              </w:rPr>
            </w:pPr>
            <w:r>
              <w:rPr>
                <w:rFonts w:hint="eastAsia" w:ascii="仿宋" w:hAnsi="仿宋" w:eastAsia="仿宋" w:cs="仿宋"/>
                <w:b/>
                <w:bCs/>
                <w:snapToGrid w:val="0"/>
                <w:color w:val="000000"/>
                <w:spacing w:val="24"/>
                <w:kern w:val="0"/>
                <w:sz w:val="24"/>
                <w:szCs w:val="24"/>
                <w:lang w:val="en-US" w:eastAsia="zh-CN" w:bidi="ar-SA"/>
              </w:rPr>
              <w:t>将修改完善的《绥德县丁家沟-十里铺饮用水水源保护区撤销》报告，报榆林市人民政府，经榆林市人民政府报陕西省人民政府批准，</w:t>
            </w:r>
          </w:p>
        </w:tc>
      </w:tr>
    </w:tbl>
    <w:p w14:paraId="5A2D2D37">
      <w:pPr>
        <w:spacing w:line="360" w:lineRule="auto"/>
        <w:rPr>
          <w:rFonts w:hint="eastAsia"/>
          <w:sz w:val="28"/>
          <w:szCs w:val="36"/>
        </w:rPr>
      </w:pPr>
    </w:p>
    <w:p w14:paraId="3CD1D699">
      <w:pPr>
        <w:spacing w:line="360" w:lineRule="auto"/>
        <w:ind w:firstLine="560" w:firstLineChars="200"/>
        <w:rPr>
          <w:rFonts w:hint="eastAsia" w:eastAsia="宋体"/>
          <w:lang w:val="en-US" w:eastAsia="zh-CN"/>
        </w:rPr>
      </w:pPr>
      <w:r>
        <w:rPr>
          <w:rFonts w:hint="eastAsia"/>
          <w:sz w:val="28"/>
          <w:szCs w:val="36"/>
          <w:lang w:val="en-US" w:eastAsia="zh-CN"/>
        </w:rPr>
        <w:t>整体服务总体要求：1.本服务项目属于政府采购技术咨询服务类，服务全过程合规、资料完整、成果规范，最终成果版权归采购方所有；2.服务团队全程专人对接，建立三级审核机制，保障成果质量；3.质保期内免费提供预案答疑、政策适配调整、演练技术支撑等服务；4.中标方不得转包、分包核心技术服务工作，全程配合采购方及主管部门完成督查、核查、演练等相关工作。</w:t>
      </w:r>
    </w:p>
    <w:p w14:paraId="1EB2F71B">
      <w:pPr>
        <w:spacing w:line="360" w:lineRule="auto"/>
        <w:outlineLvl w:val="9"/>
        <w:rPr>
          <w:color w:val="auto"/>
        </w:rPr>
        <w:sectPr>
          <w:footerReference r:id="rId12" w:type="default"/>
          <w:pgSz w:w="11906" w:h="16838"/>
          <w:pgMar w:top="1429" w:right="1786" w:bottom="1372" w:left="1786" w:header="0" w:footer="1208" w:gutter="0"/>
          <w:pgNumType w:fmt="decimal"/>
          <w:cols w:space="0" w:num="1"/>
          <w:rtlGutter w:val="0"/>
          <w:docGrid w:linePitch="0" w:charSpace="0"/>
        </w:sectPr>
      </w:pPr>
    </w:p>
    <w:p w14:paraId="348CCF50">
      <w:pPr>
        <w:spacing w:before="138" w:line="360" w:lineRule="auto"/>
        <w:ind w:left="2807"/>
        <w:outlineLvl w:val="0"/>
        <w:rPr>
          <w:rFonts w:ascii="宋体" w:hAnsi="宋体" w:eastAsia="宋体" w:cs="宋体"/>
          <w:sz w:val="35"/>
          <w:szCs w:val="35"/>
        </w:rPr>
      </w:pPr>
      <w:bookmarkStart w:id="11" w:name="bookmark9"/>
      <w:bookmarkEnd w:id="11"/>
      <w:bookmarkStart w:id="12" w:name="_Toc11783"/>
      <w:r>
        <w:rPr>
          <w:rFonts w:ascii="宋体" w:hAnsi="宋体" w:eastAsia="宋体" w:cs="宋体"/>
          <w:b/>
          <w:bCs/>
          <w:spacing w:val="5"/>
          <w:sz w:val="35"/>
          <w:szCs w:val="35"/>
        </w:rPr>
        <w:t>第七部分评审方法</w:t>
      </w:r>
      <w:bookmarkEnd w:id="12"/>
    </w:p>
    <w:p w14:paraId="02E7D22E">
      <w:pPr>
        <w:spacing w:before="78" w:line="360" w:lineRule="auto"/>
        <w:ind w:left="522"/>
        <w:outlineLvl w:val="9"/>
        <w:rPr>
          <w:rFonts w:ascii="宋体" w:hAnsi="宋体" w:eastAsia="宋体" w:cs="宋体"/>
          <w:sz w:val="24"/>
          <w:szCs w:val="24"/>
        </w:rPr>
      </w:pPr>
      <w:r>
        <w:rPr>
          <w:rFonts w:ascii="宋体" w:hAnsi="宋体" w:eastAsia="宋体" w:cs="宋体"/>
          <w:spacing w:val="-3"/>
          <w:sz w:val="24"/>
          <w:szCs w:val="24"/>
        </w:rPr>
        <w:t>一、评审方法</w:t>
      </w:r>
    </w:p>
    <w:p w14:paraId="2E2DC189">
      <w:pPr>
        <w:spacing w:before="292" w:line="360" w:lineRule="auto"/>
        <w:ind w:left="278" w:right="42" w:firstLine="241"/>
        <w:jc w:val="both"/>
        <w:outlineLvl w:val="9"/>
        <w:rPr>
          <w:rFonts w:ascii="宋体" w:hAnsi="宋体" w:eastAsia="宋体" w:cs="宋体"/>
          <w:sz w:val="24"/>
          <w:szCs w:val="24"/>
        </w:rPr>
      </w:pPr>
      <w:r>
        <w:rPr>
          <w:rFonts w:ascii="宋体" w:hAnsi="宋体" w:eastAsia="宋体" w:cs="宋体"/>
          <w:spacing w:val="-3"/>
          <w:sz w:val="24"/>
          <w:szCs w:val="24"/>
        </w:rPr>
        <w:t>按照中华人民共和国财政部令第74号--《政府采购非采购采购</w:t>
      </w:r>
      <w:r>
        <w:rPr>
          <w:rFonts w:ascii="宋体" w:hAnsi="宋体" w:eastAsia="宋体" w:cs="宋体"/>
          <w:spacing w:val="-4"/>
          <w:sz w:val="24"/>
          <w:szCs w:val="24"/>
        </w:rPr>
        <w:t>方式管理办法》</w:t>
      </w:r>
      <w:r>
        <w:rPr>
          <w:rFonts w:ascii="宋体" w:hAnsi="宋体" w:eastAsia="宋体" w:cs="宋体"/>
          <w:spacing w:val="-3"/>
          <w:sz w:val="24"/>
          <w:szCs w:val="24"/>
        </w:rPr>
        <w:t>的规定，本次评审采用最低评标价法，即质量和服务均能满足谈判文件要求的供</w:t>
      </w:r>
      <w:r>
        <w:rPr>
          <w:rFonts w:ascii="宋体" w:hAnsi="宋体" w:eastAsia="宋体" w:cs="宋体"/>
          <w:sz w:val="24"/>
          <w:szCs w:val="24"/>
        </w:rPr>
        <w:t>应商中，按照最后报价由低到高的顺序依次</w:t>
      </w:r>
      <w:r>
        <w:rPr>
          <w:rFonts w:ascii="宋体" w:hAnsi="宋体" w:eastAsia="宋体" w:cs="宋体"/>
          <w:spacing w:val="-1"/>
          <w:sz w:val="24"/>
          <w:szCs w:val="24"/>
        </w:rPr>
        <w:t>排序，推荐成交候选人。</w:t>
      </w:r>
    </w:p>
    <w:p w14:paraId="2BB63DC2">
      <w:pPr>
        <w:spacing w:line="360" w:lineRule="auto"/>
        <w:ind w:left="522"/>
        <w:outlineLvl w:val="9"/>
        <w:rPr>
          <w:rFonts w:ascii="宋体" w:hAnsi="宋体" w:eastAsia="宋体" w:cs="宋体"/>
          <w:sz w:val="24"/>
          <w:szCs w:val="24"/>
        </w:rPr>
      </w:pPr>
      <w:r>
        <w:rPr>
          <w:rFonts w:ascii="宋体" w:hAnsi="宋体" w:eastAsia="宋体" w:cs="宋体"/>
          <w:spacing w:val="-3"/>
          <w:sz w:val="24"/>
          <w:szCs w:val="24"/>
        </w:rPr>
        <w:t>二、评审程序</w:t>
      </w:r>
    </w:p>
    <w:p w14:paraId="204CA321">
      <w:pPr>
        <w:spacing w:before="294" w:line="360" w:lineRule="auto"/>
        <w:ind w:left="290" w:right="268" w:firstLine="229"/>
        <w:outlineLvl w:val="9"/>
        <w:rPr>
          <w:rFonts w:ascii="宋体" w:hAnsi="宋体" w:eastAsia="宋体" w:cs="宋体"/>
          <w:sz w:val="24"/>
          <w:szCs w:val="24"/>
        </w:rPr>
      </w:pPr>
      <w:r>
        <w:rPr>
          <w:rFonts w:ascii="宋体" w:hAnsi="宋体" w:eastAsia="宋体" w:cs="宋体"/>
          <w:spacing w:val="-3"/>
          <w:sz w:val="24"/>
          <w:szCs w:val="24"/>
        </w:rPr>
        <w:t>按照资格审查、符合性审查、谈判、最终报价推荐成交候选单位等步</w:t>
      </w:r>
      <w:r>
        <w:rPr>
          <w:rFonts w:ascii="宋体" w:hAnsi="宋体" w:eastAsia="宋体" w:cs="宋体"/>
          <w:spacing w:val="-4"/>
          <w:sz w:val="24"/>
          <w:szCs w:val="24"/>
        </w:rPr>
        <w:t>骤进行评</w:t>
      </w:r>
      <w:r>
        <w:rPr>
          <w:rFonts w:ascii="宋体" w:hAnsi="宋体" w:eastAsia="宋体" w:cs="宋体"/>
          <w:spacing w:val="-3"/>
          <w:sz w:val="24"/>
          <w:szCs w:val="24"/>
        </w:rPr>
        <w:t>审，资格性审查由采购人和代理机构共同审查，符合</w:t>
      </w:r>
      <w:r>
        <w:rPr>
          <w:rFonts w:ascii="宋体" w:hAnsi="宋体" w:eastAsia="宋体" w:cs="宋体"/>
          <w:spacing w:val="-4"/>
          <w:sz w:val="24"/>
          <w:szCs w:val="24"/>
        </w:rPr>
        <w:t>性审查由谈判小组审查。在</w:t>
      </w:r>
      <w:r>
        <w:rPr>
          <w:rFonts w:ascii="宋体" w:hAnsi="宋体" w:eastAsia="宋体" w:cs="宋体"/>
          <w:spacing w:val="-1"/>
          <w:sz w:val="24"/>
          <w:szCs w:val="24"/>
        </w:rPr>
        <w:t>上一步评审中被废标者，不进入下一步的评审。</w:t>
      </w:r>
    </w:p>
    <w:p w14:paraId="4DBDA859">
      <w:pPr>
        <w:spacing w:before="152" w:line="360" w:lineRule="auto"/>
        <w:ind w:left="295"/>
        <w:outlineLvl w:val="9"/>
        <w:rPr>
          <w:rFonts w:ascii="宋体" w:hAnsi="宋体" w:eastAsia="宋体" w:cs="宋体"/>
          <w:sz w:val="24"/>
          <w:szCs w:val="24"/>
        </w:rPr>
      </w:pPr>
      <w:r>
        <w:rPr>
          <w:rFonts w:ascii="宋体" w:hAnsi="宋体" w:eastAsia="宋体" w:cs="宋体"/>
          <w:spacing w:val="-2"/>
          <w:sz w:val="24"/>
          <w:szCs w:val="24"/>
        </w:rPr>
        <w:t>1、对竞争性谈判响应文件的符合性审查：</w:t>
      </w:r>
    </w:p>
    <w:p w14:paraId="17EB8877">
      <w:pPr>
        <w:spacing w:before="183" w:line="360" w:lineRule="auto"/>
        <w:ind w:left="279" w:right="268"/>
        <w:outlineLvl w:val="9"/>
        <w:rPr>
          <w:rFonts w:ascii="宋体" w:hAnsi="宋体" w:eastAsia="宋体" w:cs="宋体"/>
          <w:sz w:val="24"/>
          <w:szCs w:val="24"/>
        </w:rPr>
      </w:pPr>
      <w:r>
        <w:rPr>
          <w:rFonts w:ascii="宋体" w:hAnsi="宋体" w:eastAsia="宋体" w:cs="宋体"/>
          <w:spacing w:val="-3"/>
          <w:sz w:val="24"/>
          <w:szCs w:val="24"/>
        </w:rPr>
        <w:t>按照以下内容对竞争性谈判响应文件符合性审查，一项不合格其投标即为无效投</w:t>
      </w:r>
      <w:r>
        <w:rPr>
          <w:rFonts w:ascii="宋体" w:hAnsi="宋体" w:eastAsia="宋体" w:cs="宋体"/>
          <w:spacing w:val="-6"/>
          <w:sz w:val="24"/>
          <w:szCs w:val="24"/>
        </w:rPr>
        <w:t>标。</w:t>
      </w:r>
    </w:p>
    <w:p w14:paraId="4688B4C8">
      <w:pPr>
        <w:spacing w:before="1" w:line="360" w:lineRule="auto"/>
        <w:ind w:left="3958"/>
        <w:outlineLvl w:val="9"/>
        <w:rPr>
          <w:rFonts w:ascii="宋体" w:hAnsi="宋体" w:eastAsia="宋体" w:cs="宋体"/>
          <w:sz w:val="24"/>
          <w:szCs w:val="24"/>
        </w:rPr>
      </w:pPr>
      <w:r>
        <w:rPr>
          <w:rFonts w:ascii="宋体" w:hAnsi="宋体" w:eastAsia="宋体" w:cs="宋体"/>
          <w:b/>
          <w:bCs/>
          <w:spacing w:val="-6"/>
          <w:sz w:val="24"/>
          <w:szCs w:val="24"/>
        </w:rPr>
        <w:t>资格性审查</w:t>
      </w:r>
    </w:p>
    <w:p w14:paraId="20C6F501">
      <w:pPr>
        <w:spacing w:line="360" w:lineRule="auto"/>
        <w:outlineLvl w:val="9"/>
      </w:pPr>
    </w:p>
    <w:tbl>
      <w:tblPr>
        <w:tblStyle w:val="13"/>
        <w:tblW w:w="883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13"/>
        <w:gridCol w:w="6961"/>
        <w:gridCol w:w="1164"/>
      </w:tblGrid>
      <w:tr w14:paraId="1C2C30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5" w:hRule="atLeast"/>
        </w:trPr>
        <w:tc>
          <w:tcPr>
            <w:tcW w:w="713" w:type="dxa"/>
            <w:vAlign w:val="top"/>
          </w:tcPr>
          <w:p w14:paraId="707B1DDF">
            <w:pPr>
              <w:spacing w:line="360" w:lineRule="auto"/>
              <w:outlineLvl w:val="9"/>
              <w:rPr>
                <w:rFonts w:ascii="Arial"/>
                <w:sz w:val="21"/>
              </w:rPr>
            </w:pPr>
          </w:p>
          <w:p w14:paraId="47092D0A">
            <w:pPr>
              <w:pStyle w:val="14"/>
              <w:spacing w:before="78" w:line="360" w:lineRule="auto"/>
              <w:ind w:left="121"/>
              <w:outlineLvl w:val="9"/>
            </w:pPr>
            <w:r>
              <w:rPr>
                <w:b/>
                <w:bCs/>
                <w:spacing w:val="-7"/>
              </w:rPr>
              <w:t>序号</w:t>
            </w:r>
          </w:p>
        </w:tc>
        <w:tc>
          <w:tcPr>
            <w:tcW w:w="6961" w:type="dxa"/>
            <w:vAlign w:val="top"/>
          </w:tcPr>
          <w:p w14:paraId="262092DA">
            <w:pPr>
              <w:spacing w:line="360" w:lineRule="auto"/>
              <w:outlineLvl w:val="9"/>
              <w:rPr>
                <w:rFonts w:ascii="Arial"/>
                <w:sz w:val="21"/>
              </w:rPr>
            </w:pPr>
          </w:p>
          <w:p w14:paraId="36F143D3">
            <w:pPr>
              <w:pStyle w:val="14"/>
              <w:spacing w:before="78" w:line="360" w:lineRule="auto"/>
              <w:ind w:left="3016"/>
              <w:outlineLvl w:val="9"/>
            </w:pPr>
            <w:r>
              <w:rPr>
                <w:b/>
                <w:bCs/>
                <w:spacing w:val="-8"/>
              </w:rPr>
              <w:t>审查因素</w:t>
            </w:r>
          </w:p>
        </w:tc>
        <w:tc>
          <w:tcPr>
            <w:tcW w:w="1164" w:type="dxa"/>
            <w:vAlign w:val="top"/>
          </w:tcPr>
          <w:p w14:paraId="3B81BA03">
            <w:pPr>
              <w:pStyle w:val="14"/>
              <w:spacing w:before="118" w:line="360" w:lineRule="auto"/>
              <w:ind w:left="470" w:right="219" w:hanging="232"/>
              <w:outlineLvl w:val="9"/>
            </w:pPr>
            <w:r>
              <w:rPr>
                <w:b/>
                <w:bCs/>
                <w:spacing w:val="-9"/>
              </w:rPr>
              <w:t>审查标</w:t>
            </w:r>
            <w:r>
              <w:rPr>
                <w:b/>
                <w:bCs/>
                <w:spacing w:val="-3"/>
              </w:rPr>
              <w:t>准</w:t>
            </w:r>
          </w:p>
        </w:tc>
      </w:tr>
      <w:tr w14:paraId="4DC65D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6" w:hRule="atLeast"/>
        </w:trPr>
        <w:tc>
          <w:tcPr>
            <w:tcW w:w="713" w:type="dxa"/>
            <w:vAlign w:val="top"/>
          </w:tcPr>
          <w:p w14:paraId="54D8BD52">
            <w:pPr>
              <w:spacing w:line="360" w:lineRule="auto"/>
              <w:outlineLvl w:val="9"/>
              <w:rPr>
                <w:rFonts w:ascii="Arial"/>
                <w:sz w:val="21"/>
              </w:rPr>
            </w:pPr>
          </w:p>
          <w:p w14:paraId="247EAB15">
            <w:pPr>
              <w:spacing w:line="360" w:lineRule="auto"/>
              <w:outlineLvl w:val="9"/>
              <w:rPr>
                <w:rFonts w:ascii="Arial"/>
                <w:sz w:val="21"/>
              </w:rPr>
            </w:pPr>
          </w:p>
          <w:p w14:paraId="6416AEFB">
            <w:pPr>
              <w:spacing w:line="360" w:lineRule="auto"/>
              <w:outlineLvl w:val="9"/>
              <w:rPr>
                <w:rFonts w:ascii="Arial"/>
                <w:sz w:val="21"/>
              </w:rPr>
            </w:pPr>
          </w:p>
          <w:p w14:paraId="0732E207">
            <w:pPr>
              <w:spacing w:line="360" w:lineRule="auto"/>
              <w:outlineLvl w:val="9"/>
              <w:rPr>
                <w:rFonts w:ascii="Arial"/>
                <w:sz w:val="21"/>
              </w:rPr>
            </w:pPr>
          </w:p>
          <w:p w14:paraId="2B19AFB2">
            <w:pPr>
              <w:spacing w:line="360" w:lineRule="auto"/>
              <w:outlineLvl w:val="9"/>
              <w:rPr>
                <w:rFonts w:ascii="Arial"/>
                <w:sz w:val="21"/>
              </w:rPr>
            </w:pPr>
          </w:p>
          <w:p w14:paraId="2DAE003D">
            <w:pPr>
              <w:spacing w:line="360" w:lineRule="auto"/>
              <w:outlineLvl w:val="9"/>
              <w:rPr>
                <w:rFonts w:ascii="Arial"/>
                <w:sz w:val="21"/>
              </w:rPr>
            </w:pPr>
          </w:p>
          <w:p w14:paraId="4460A457">
            <w:pPr>
              <w:spacing w:line="360" w:lineRule="auto"/>
              <w:outlineLvl w:val="9"/>
              <w:rPr>
                <w:rFonts w:ascii="Arial"/>
                <w:sz w:val="21"/>
              </w:rPr>
            </w:pPr>
          </w:p>
          <w:p w14:paraId="59C9E0C8">
            <w:pPr>
              <w:spacing w:line="360" w:lineRule="auto"/>
              <w:outlineLvl w:val="9"/>
              <w:rPr>
                <w:rFonts w:ascii="Arial"/>
                <w:sz w:val="21"/>
              </w:rPr>
            </w:pPr>
          </w:p>
          <w:p w14:paraId="37B058BE">
            <w:pPr>
              <w:spacing w:line="360" w:lineRule="auto"/>
              <w:outlineLvl w:val="9"/>
              <w:rPr>
                <w:rFonts w:ascii="Arial"/>
                <w:sz w:val="21"/>
              </w:rPr>
            </w:pPr>
          </w:p>
          <w:p w14:paraId="79972EF8">
            <w:pPr>
              <w:pStyle w:val="14"/>
              <w:spacing w:before="78" w:line="360" w:lineRule="auto"/>
              <w:ind w:left="374"/>
              <w:outlineLvl w:val="9"/>
            </w:pPr>
            <w:r>
              <w:t>1</w:t>
            </w:r>
          </w:p>
        </w:tc>
        <w:tc>
          <w:tcPr>
            <w:tcW w:w="6961" w:type="dxa"/>
            <w:vAlign w:val="top"/>
          </w:tcPr>
          <w:p w14:paraId="10D707B6">
            <w:pPr>
              <w:numPr>
                <w:ilvl w:val="0"/>
                <w:numId w:val="0"/>
              </w:numPr>
              <w:spacing w:line="360" w:lineRule="auto"/>
              <w:ind w:firstLine="258" w:firstLineChars="100"/>
              <w:outlineLvl w:val="9"/>
              <w:rPr>
                <w:rFonts w:hint="eastAsia" w:ascii="宋体" w:hAnsi="宋体" w:eastAsia="宋体" w:cs="宋体"/>
                <w:spacing w:val="9"/>
                <w:sz w:val="24"/>
                <w:szCs w:val="24"/>
                <w:lang w:eastAsia="zh-CN"/>
              </w:rPr>
            </w:pPr>
            <w:r>
              <w:rPr>
                <w:rFonts w:hint="eastAsia" w:ascii="宋体" w:hAnsi="宋体" w:eastAsia="宋体" w:cs="宋体"/>
                <w:spacing w:val="9"/>
                <w:sz w:val="24"/>
                <w:szCs w:val="24"/>
                <w:lang w:eastAsia="zh-CN"/>
              </w:rPr>
              <w:t>1、供应商为具有独立承担民事责任能力的法人、事业法人、其他组织或自然人。企业法人应提供合法有效的标识有统一社会信用代码的营业执照副本及营业执照的2025年度企业年检报告书；事业法人应提供事业单位法人证书；其他组织应提供合法登记证明文件；自然人应提供身份证；</w:t>
            </w:r>
          </w:p>
          <w:p w14:paraId="089A44E0">
            <w:pPr>
              <w:numPr>
                <w:ilvl w:val="0"/>
                <w:numId w:val="0"/>
              </w:numPr>
              <w:spacing w:line="360" w:lineRule="auto"/>
              <w:ind w:firstLine="258" w:firstLineChars="100"/>
              <w:outlineLvl w:val="9"/>
              <w:rPr>
                <w:rFonts w:hint="eastAsia" w:ascii="宋体" w:hAnsi="宋体" w:eastAsia="宋体" w:cs="宋体"/>
                <w:spacing w:val="9"/>
                <w:sz w:val="24"/>
                <w:szCs w:val="24"/>
                <w:lang w:eastAsia="zh-CN"/>
              </w:rPr>
            </w:pPr>
            <w:r>
              <w:rPr>
                <w:rFonts w:hint="eastAsia" w:ascii="宋体" w:hAnsi="宋体" w:eastAsia="宋体" w:cs="宋体"/>
                <w:spacing w:val="9"/>
                <w:sz w:val="24"/>
                <w:szCs w:val="24"/>
                <w:lang w:eastAsia="zh-CN"/>
              </w:rPr>
              <w:t>2、财务状况：经会计事务所或审计机构出具的2025年财务审计报告；财务审计报告须有注册会计师签字盖章和公司盖章，并附通过注册会计师行业统一监管平台（http://acc.mof.gov.cn）报备并相应取得全国统一的验证码并提供网页查询截图，财务须状况良好，无资不抵债情况，具有有效履行合同资产能力。不足一年的提供成立以来的财务报表，至少包括资产负债表、利润表、现金流量表及基本账户银行出具的资信证明；并提供完整的有效的财务规章制度。</w:t>
            </w:r>
          </w:p>
          <w:p w14:paraId="5414316C">
            <w:pPr>
              <w:numPr>
                <w:ilvl w:val="0"/>
                <w:numId w:val="0"/>
              </w:numPr>
              <w:spacing w:line="360" w:lineRule="auto"/>
              <w:ind w:firstLine="258" w:firstLineChars="100"/>
              <w:outlineLvl w:val="9"/>
              <w:rPr>
                <w:rFonts w:hint="eastAsia" w:ascii="宋体" w:hAnsi="宋体" w:eastAsia="宋体" w:cs="宋体"/>
                <w:spacing w:val="9"/>
                <w:sz w:val="24"/>
                <w:szCs w:val="24"/>
                <w:lang w:eastAsia="zh-CN"/>
              </w:rPr>
            </w:pPr>
            <w:r>
              <w:rPr>
                <w:rFonts w:hint="eastAsia" w:ascii="宋体" w:hAnsi="宋体" w:eastAsia="宋体" w:cs="宋体"/>
                <w:spacing w:val="9"/>
                <w:sz w:val="24"/>
                <w:szCs w:val="24"/>
                <w:lang w:eastAsia="zh-CN"/>
              </w:rPr>
              <w:t>3、社会保障资金缴纳证明：提供截止开标前6个月已缴存至少1个月的社会保障资金缴存单据或社保机构开具的社会保险参保缴费情况证明，依法不需要缴纳社会保障资金的单位应提供相关证明材料；</w:t>
            </w:r>
          </w:p>
          <w:p w14:paraId="16C60A17">
            <w:pPr>
              <w:numPr>
                <w:ilvl w:val="0"/>
                <w:numId w:val="0"/>
              </w:numPr>
              <w:spacing w:line="360" w:lineRule="auto"/>
              <w:ind w:firstLine="258" w:firstLineChars="100"/>
              <w:outlineLvl w:val="9"/>
              <w:rPr>
                <w:rFonts w:hint="eastAsia" w:ascii="宋体" w:hAnsi="宋体" w:eastAsia="宋体" w:cs="宋体"/>
                <w:spacing w:val="9"/>
                <w:sz w:val="24"/>
                <w:szCs w:val="24"/>
                <w:lang w:eastAsia="zh-CN"/>
              </w:rPr>
            </w:pPr>
            <w:r>
              <w:rPr>
                <w:rFonts w:hint="eastAsia" w:ascii="宋体" w:hAnsi="宋体" w:eastAsia="宋体" w:cs="宋体"/>
                <w:spacing w:val="9"/>
                <w:sz w:val="24"/>
                <w:szCs w:val="24"/>
                <w:lang w:eastAsia="zh-CN"/>
              </w:rPr>
              <w:t>4、税收缴纳证明：提供截止开标前6个月已缴存至少一个月的纳税凭证或完税证明，依法免税的单位应提供相关证明材料；</w:t>
            </w:r>
          </w:p>
          <w:p w14:paraId="38807764">
            <w:pPr>
              <w:numPr>
                <w:ilvl w:val="0"/>
                <w:numId w:val="0"/>
              </w:numPr>
              <w:spacing w:line="360" w:lineRule="auto"/>
              <w:ind w:firstLine="258" w:firstLineChars="100"/>
              <w:outlineLvl w:val="9"/>
              <w:rPr>
                <w:rFonts w:hint="eastAsia" w:ascii="宋体" w:hAnsi="宋体" w:eastAsia="宋体" w:cs="宋体"/>
                <w:spacing w:val="9"/>
                <w:sz w:val="24"/>
                <w:szCs w:val="24"/>
                <w:lang w:eastAsia="zh-CN"/>
              </w:rPr>
            </w:pPr>
            <w:r>
              <w:rPr>
                <w:rFonts w:hint="eastAsia" w:ascii="宋体" w:hAnsi="宋体" w:eastAsia="宋体" w:cs="宋体"/>
                <w:spacing w:val="9"/>
                <w:sz w:val="24"/>
                <w:szCs w:val="24"/>
                <w:lang w:eastAsia="zh-CN"/>
              </w:rPr>
              <w:t>5、参加政府采购活动前3年内经营活动中没有重大违法记录声明书；投标时限内“信用中国”(www.creditchina.gov.cn)网站生成的带水印信用报告，信用中国”网站(www.creditchina.gov.cn)“记录失信被执行人、重大税收违法失信主体、政府采购严重违法失信行为”记录名单查询截图（打印件加盖投标单位公章），不得为中国政府采购网（www.ccgp.gov.cn）政府采购严重违法失信行为记录名单中被财政部门禁止参加政府采购活动的供应商（提供查询结果网页截图并加盖供应商公章）；</w:t>
            </w:r>
          </w:p>
          <w:p w14:paraId="1B067993">
            <w:pPr>
              <w:numPr>
                <w:ilvl w:val="0"/>
                <w:numId w:val="0"/>
              </w:numPr>
              <w:spacing w:line="360" w:lineRule="auto"/>
              <w:ind w:firstLine="258" w:firstLineChars="100"/>
              <w:outlineLvl w:val="9"/>
              <w:rPr>
                <w:rFonts w:hint="eastAsia" w:ascii="宋体" w:hAnsi="宋体" w:eastAsia="宋体" w:cs="宋体"/>
                <w:spacing w:val="9"/>
                <w:sz w:val="24"/>
                <w:szCs w:val="24"/>
                <w:lang w:eastAsia="zh-CN"/>
              </w:rPr>
            </w:pPr>
            <w:r>
              <w:rPr>
                <w:rFonts w:hint="eastAsia" w:ascii="宋体" w:hAnsi="宋体" w:eastAsia="宋体" w:cs="宋体"/>
                <w:spacing w:val="9"/>
                <w:sz w:val="24"/>
                <w:szCs w:val="24"/>
                <w:lang w:eastAsia="zh-CN"/>
              </w:rPr>
              <w:t>6、提供榆林市政府采购服务类项目供应商信用承诺书及投标人信用承诺及采购文件中其他必要承诺（以开标现场查验为主）；</w:t>
            </w:r>
          </w:p>
          <w:p w14:paraId="4CF92564">
            <w:pPr>
              <w:numPr>
                <w:ilvl w:val="0"/>
                <w:numId w:val="0"/>
              </w:numPr>
              <w:spacing w:line="360" w:lineRule="auto"/>
              <w:ind w:firstLine="258" w:firstLineChars="100"/>
              <w:outlineLvl w:val="9"/>
              <w:rPr>
                <w:rFonts w:hint="eastAsia" w:ascii="宋体" w:hAnsi="宋体" w:eastAsia="宋体" w:cs="宋体"/>
                <w:spacing w:val="9"/>
                <w:sz w:val="24"/>
                <w:szCs w:val="24"/>
                <w:lang w:eastAsia="zh-CN"/>
              </w:rPr>
            </w:pPr>
            <w:r>
              <w:rPr>
                <w:rFonts w:hint="eastAsia" w:ascii="宋体" w:hAnsi="宋体" w:eastAsia="宋体" w:cs="宋体"/>
                <w:spacing w:val="9"/>
                <w:sz w:val="24"/>
                <w:szCs w:val="24"/>
                <w:lang w:eastAsia="zh-CN"/>
              </w:rPr>
              <w:t>7、投标保证金：公示投标信用承诺书（保证金）（承诺书效力和作用等同投标保证金，以开标现场查验为主）；</w:t>
            </w:r>
          </w:p>
          <w:p w14:paraId="00280E20">
            <w:pPr>
              <w:numPr>
                <w:ilvl w:val="0"/>
                <w:numId w:val="0"/>
              </w:numPr>
              <w:spacing w:line="360" w:lineRule="auto"/>
              <w:ind w:firstLine="258" w:firstLineChars="100"/>
              <w:outlineLvl w:val="9"/>
              <w:rPr>
                <w:rFonts w:hint="eastAsia" w:ascii="宋体" w:hAnsi="宋体" w:eastAsia="宋体" w:cs="宋体"/>
                <w:spacing w:val="9"/>
                <w:sz w:val="24"/>
                <w:szCs w:val="24"/>
                <w:lang w:eastAsia="zh-CN"/>
              </w:rPr>
            </w:pPr>
            <w:r>
              <w:rPr>
                <w:rFonts w:hint="eastAsia" w:ascii="宋体" w:hAnsi="宋体" w:eastAsia="宋体" w:cs="宋体"/>
                <w:spacing w:val="9"/>
                <w:sz w:val="24"/>
                <w:szCs w:val="24"/>
                <w:lang w:eastAsia="zh-CN"/>
              </w:rPr>
              <w:t>8、供应商须具有履行合同所必需的设备和专业技术能力（提供相应的证明资料或承诺函）；</w:t>
            </w:r>
          </w:p>
          <w:p w14:paraId="704458C0">
            <w:pPr>
              <w:numPr>
                <w:ilvl w:val="0"/>
                <w:numId w:val="0"/>
              </w:numPr>
              <w:spacing w:line="360" w:lineRule="auto"/>
              <w:ind w:firstLine="258" w:firstLineChars="100"/>
              <w:outlineLvl w:val="9"/>
              <w:rPr>
                <w:rFonts w:hint="eastAsia" w:ascii="宋体" w:hAnsi="宋体" w:eastAsia="宋体" w:cs="宋体"/>
                <w:spacing w:val="9"/>
                <w:sz w:val="24"/>
                <w:szCs w:val="24"/>
                <w:lang w:eastAsia="zh-CN"/>
              </w:rPr>
            </w:pPr>
            <w:r>
              <w:rPr>
                <w:rFonts w:hint="eastAsia" w:ascii="宋体" w:hAnsi="宋体" w:eastAsia="宋体" w:cs="宋体"/>
                <w:spacing w:val="9"/>
                <w:sz w:val="24"/>
                <w:szCs w:val="24"/>
                <w:lang w:eastAsia="zh-CN"/>
              </w:rPr>
              <w:t>9、本项目不接受联合体投标，单位负责人为同一人或者存在直接控股、管理关系的不同投标人，不得参加同一合同项下的政府采购活动。</w:t>
            </w:r>
          </w:p>
          <w:p w14:paraId="741A4A3F">
            <w:pPr>
              <w:numPr>
                <w:ilvl w:val="0"/>
                <w:numId w:val="0"/>
              </w:numPr>
              <w:spacing w:line="360" w:lineRule="auto"/>
              <w:ind w:firstLine="258" w:firstLineChars="100"/>
              <w:outlineLvl w:val="9"/>
              <w:rPr>
                <w:rFonts w:hint="eastAsia" w:ascii="宋体" w:hAnsi="宋体" w:eastAsia="宋体" w:cs="宋体"/>
                <w:spacing w:val="9"/>
                <w:sz w:val="24"/>
                <w:szCs w:val="24"/>
                <w:lang w:eastAsia="zh-CN"/>
              </w:rPr>
            </w:pPr>
            <w:r>
              <w:rPr>
                <w:rFonts w:hint="eastAsia" w:ascii="宋体" w:hAnsi="宋体" w:eastAsia="宋体" w:cs="宋体"/>
                <w:spacing w:val="9"/>
                <w:sz w:val="24"/>
                <w:szCs w:val="24"/>
                <w:lang w:eastAsia="zh-CN"/>
              </w:rPr>
              <w:t>1</w:t>
            </w:r>
            <w:r>
              <w:rPr>
                <w:rFonts w:hint="eastAsia" w:ascii="宋体" w:hAnsi="宋体" w:eastAsia="宋体" w:cs="宋体"/>
                <w:spacing w:val="9"/>
                <w:sz w:val="24"/>
                <w:szCs w:val="24"/>
                <w:lang w:val="en-US" w:eastAsia="zh-CN"/>
              </w:rPr>
              <w:t>0</w:t>
            </w:r>
            <w:r>
              <w:rPr>
                <w:rFonts w:hint="eastAsia" w:ascii="宋体" w:hAnsi="宋体" w:eastAsia="宋体" w:cs="宋体"/>
                <w:spacing w:val="9"/>
                <w:sz w:val="24"/>
                <w:szCs w:val="24"/>
                <w:lang w:eastAsia="zh-CN"/>
              </w:rPr>
              <w:t>、本项目专门面向中小企业采购，供应商须提供服务类中小企业声明函。（本项目专门面向中小企业采购，残疾人福利性单位、监狱企业投标视同为中小企业，不再单独享受价格扣除，大型企业不可参与。）</w:t>
            </w:r>
          </w:p>
          <w:p w14:paraId="3308F7B6">
            <w:pPr>
              <w:numPr>
                <w:ilvl w:val="0"/>
                <w:numId w:val="0"/>
              </w:numPr>
              <w:spacing w:line="360" w:lineRule="auto"/>
              <w:ind w:firstLine="258" w:firstLineChars="100"/>
              <w:outlineLvl w:val="9"/>
            </w:pPr>
            <w:r>
              <w:rPr>
                <w:rFonts w:hint="eastAsia" w:ascii="宋体" w:hAnsi="宋体" w:eastAsia="宋体" w:cs="宋体"/>
                <w:spacing w:val="9"/>
                <w:sz w:val="24"/>
                <w:szCs w:val="24"/>
                <w:lang w:eastAsia="zh-CN"/>
              </w:rPr>
              <w:t>1</w:t>
            </w:r>
            <w:r>
              <w:rPr>
                <w:rFonts w:hint="eastAsia" w:ascii="宋体" w:hAnsi="宋体" w:eastAsia="宋体" w:cs="宋体"/>
                <w:spacing w:val="9"/>
                <w:sz w:val="24"/>
                <w:szCs w:val="24"/>
                <w:lang w:val="en-US" w:eastAsia="zh-CN"/>
              </w:rPr>
              <w:t>1</w:t>
            </w:r>
            <w:r>
              <w:rPr>
                <w:rFonts w:hint="eastAsia" w:ascii="宋体" w:hAnsi="宋体" w:eastAsia="宋体" w:cs="宋体"/>
                <w:spacing w:val="9"/>
                <w:sz w:val="24"/>
                <w:szCs w:val="24"/>
                <w:lang w:eastAsia="zh-CN"/>
              </w:rPr>
              <w:t>、法定代表人授权委托书，法定代表人自行投标，需携带身份证原件，若法定代表人授权委托人前来投标，需携带法定代表人授权委托书并携带身份证原件现场核验。</w:t>
            </w:r>
          </w:p>
        </w:tc>
        <w:tc>
          <w:tcPr>
            <w:tcW w:w="1164" w:type="dxa"/>
            <w:vAlign w:val="top"/>
          </w:tcPr>
          <w:p w14:paraId="2E85A476">
            <w:pPr>
              <w:spacing w:line="360" w:lineRule="auto"/>
              <w:outlineLvl w:val="9"/>
              <w:rPr>
                <w:rFonts w:ascii="Arial"/>
                <w:sz w:val="21"/>
              </w:rPr>
            </w:pPr>
          </w:p>
          <w:p w14:paraId="754CFFE6">
            <w:pPr>
              <w:spacing w:line="360" w:lineRule="auto"/>
              <w:outlineLvl w:val="9"/>
              <w:rPr>
                <w:rFonts w:ascii="Arial"/>
                <w:sz w:val="21"/>
              </w:rPr>
            </w:pPr>
          </w:p>
          <w:p w14:paraId="77B5DF77">
            <w:pPr>
              <w:spacing w:line="360" w:lineRule="auto"/>
              <w:outlineLvl w:val="9"/>
              <w:rPr>
                <w:rFonts w:ascii="Arial"/>
                <w:sz w:val="21"/>
              </w:rPr>
            </w:pPr>
          </w:p>
          <w:p w14:paraId="64A377BE">
            <w:pPr>
              <w:spacing w:line="360" w:lineRule="auto"/>
              <w:outlineLvl w:val="9"/>
              <w:rPr>
                <w:rFonts w:ascii="Arial"/>
                <w:sz w:val="21"/>
              </w:rPr>
            </w:pPr>
          </w:p>
          <w:p w14:paraId="79DE5139">
            <w:pPr>
              <w:spacing w:line="360" w:lineRule="auto"/>
              <w:outlineLvl w:val="9"/>
              <w:rPr>
                <w:rFonts w:ascii="Arial"/>
                <w:sz w:val="21"/>
              </w:rPr>
            </w:pPr>
          </w:p>
          <w:p w14:paraId="2014500E">
            <w:pPr>
              <w:spacing w:line="360" w:lineRule="auto"/>
              <w:outlineLvl w:val="9"/>
              <w:rPr>
                <w:rFonts w:ascii="Arial"/>
                <w:sz w:val="21"/>
              </w:rPr>
            </w:pPr>
          </w:p>
          <w:p w14:paraId="30420D60">
            <w:pPr>
              <w:pStyle w:val="14"/>
              <w:spacing w:before="78" w:line="360" w:lineRule="auto"/>
              <w:ind w:left="128"/>
              <w:outlineLvl w:val="9"/>
            </w:pPr>
            <w:r>
              <w:rPr>
                <w:spacing w:val="-8"/>
              </w:rPr>
              <w:t>响应文</w:t>
            </w:r>
          </w:p>
          <w:p w14:paraId="23E4A416">
            <w:pPr>
              <w:pStyle w:val="14"/>
              <w:spacing w:before="180" w:line="360" w:lineRule="auto"/>
              <w:ind w:left="115"/>
              <w:outlineLvl w:val="9"/>
            </w:pPr>
            <w:r>
              <w:rPr>
                <w:spacing w:val="-3"/>
              </w:rPr>
              <w:t>件中所</w:t>
            </w:r>
          </w:p>
          <w:p w14:paraId="6750D3A2">
            <w:pPr>
              <w:pStyle w:val="14"/>
              <w:spacing w:before="182" w:line="360" w:lineRule="auto"/>
              <w:ind w:left="134"/>
              <w:outlineLvl w:val="9"/>
            </w:pPr>
            <w:r>
              <w:rPr>
                <w:spacing w:val="-10"/>
              </w:rPr>
              <w:t>附加盖</w:t>
            </w:r>
          </w:p>
          <w:p w14:paraId="10BF1466">
            <w:pPr>
              <w:pStyle w:val="14"/>
              <w:spacing w:before="183" w:line="360" w:lineRule="auto"/>
              <w:ind w:left="123"/>
              <w:outlineLvl w:val="9"/>
            </w:pPr>
            <w:r>
              <w:rPr>
                <w:spacing w:val="-6"/>
              </w:rPr>
              <w:t>公章证</w:t>
            </w:r>
          </w:p>
          <w:p w14:paraId="3118B80D">
            <w:pPr>
              <w:pStyle w:val="14"/>
              <w:spacing w:before="184" w:line="360" w:lineRule="auto"/>
              <w:ind w:left="138"/>
              <w:outlineLvl w:val="9"/>
            </w:pPr>
            <w:r>
              <w:rPr>
                <w:spacing w:val="-11"/>
              </w:rPr>
              <w:t>明资料</w:t>
            </w:r>
          </w:p>
        </w:tc>
      </w:tr>
    </w:tbl>
    <w:p w14:paraId="24FC98BF">
      <w:pPr>
        <w:spacing w:before="113" w:line="360" w:lineRule="auto"/>
        <w:jc w:val="center"/>
        <w:outlineLvl w:val="9"/>
        <w:rPr>
          <w:rFonts w:ascii="宋体" w:hAnsi="宋体" w:eastAsia="宋体" w:cs="宋体"/>
          <w:b/>
          <w:bCs/>
          <w:spacing w:val="-4"/>
          <w:sz w:val="24"/>
          <w:szCs w:val="24"/>
        </w:rPr>
      </w:pPr>
    </w:p>
    <w:p w14:paraId="574CC66E">
      <w:pPr>
        <w:spacing w:before="113" w:line="360" w:lineRule="auto"/>
        <w:jc w:val="center"/>
        <w:outlineLvl w:val="9"/>
        <w:rPr>
          <w:rFonts w:ascii="宋体" w:hAnsi="宋体" w:eastAsia="宋体" w:cs="宋体"/>
          <w:sz w:val="24"/>
          <w:szCs w:val="24"/>
        </w:rPr>
      </w:pPr>
      <w:r>
        <w:rPr>
          <w:rFonts w:ascii="宋体" w:hAnsi="宋体" w:eastAsia="宋体" w:cs="宋体"/>
          <w:b/>
          <w:bCs/>
          <w:spacing w:val="-4"/>
          <w:sz w:val="24"/>
          <w:szCs w:val="24"/>
        </w:rPr>
        <w:t>符合性审查</w:t>
      </w:r>
    </w:p>
    <w:p w14:paraId="32C302E3">
      <w:pPr>
        <w:spacing w:line="360" w:lineRule="auto"/>
        <w:outlineLvl w:val="9"/>
      </w:pPr>
    </w:p>
    <w:tbl>
      <w:tblPr>
        <w:tblStyle w:val="13"/>
        <w:tblW w:w="8898" w:type="dxa"/>
        <w:tblInd w:w="2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20"/>
        <w:gridCol w:w="2971"/>
        <w:gridCol w:w="5007"/>
      </w:tblGrid>
      <w:tr w14:paraId="7FFBB9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688" w:hRule="atLeast"/>
        </w:trPr>
        <w:tc>
          <w:tcPr>
            <w:tcW w:w="920" w:type="dxa"/>
            <w:vAlign w:val="top"/>
          </w:tcPr>
          <w:p w14:paraId="0FAD3F24">
            <w:pPr>
              <w:pStyle w:val="14"/>
              <w:spacing w:before="225" w:line="360" w:lineRule="auto"/>
              <w:ind w:left="225"/>
              <w:outlineLvl w:val="9"/>
            </w:pPr>
            <w:r>
              <w:rPr>
                <w:b/>
                <w:bCs/>
                <w:spacing w:val="-7"/>
              </w:rPr>
              <w:t>序号</w:t>
            </w:r>
          </w:p>
        </w:tc>
        <w:tc>
          <w:tcPr>
            <w:tcW w:w="2971" w:type="dxa"/>
            <w:vAlign w:val="top"/>
          </w:tcPr>
          <w:p w14:paraId="05CB20F8">
            <w:pPr>
              <w:pStyle w:val="14"/>
              <w:spacing w:before="225" w:line="360" w:lineRule="auto"/>
              <w:ind w:left="1006"/>
              <w:outlineLvl w:val="9"/>
            </w:pPr>
            <w:r>
              <w:rPr>
                <w:b/>
                <w:bCs/>
                <w:spacing w:val="-5"/>
              </w:rPr>
              <w:t>评审名称</w:t>
            </w:r>
          </w:p>
        </w:tc>
        <w:tc>
          <w:tcPr>
            <w:tcW w:w="5007" w:type="dxa"/>
            <w:vAlign w:val="top"/>
          </w:tcPr>
          <w:p w14:paraId="3B5B5214">
            <w:pPr>
              <w:pStyle w:val="14"/>
              <w:spacing w:before="225" w:line="360" w:lineRule="auto"/>
              <w:ind w:left="2027"/>
              <w:outlineLvl w:val="9"/>
            </w:pPr>
            <w:r>
              <w:rPr>
                <w:b/>
                <w:bCs/>
                <w:spacing w:val="-5"/>
              </w:rPr>
              <w:t>评审标准</w:t>
            </w:r>
          </w:p>
        </w:tc>
      </w:tr>
      <w:tr w14:paraId="3A74C0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17" w:hRule="atLeast"/>
        </w:trPr>
        <w:tc>
          <w:tcPr>
            <w:tcW w:w="920" w:type="dxa"/>
            <w:vAlign w:val="top"/>
          </w:tcPr>
          <w:p w14:paraId="23C7E8E7">
            <w:pPr>
              <w:spacing w:line="360" w:lineRule="auto"/>
              <w:outlineLvl w:val="9"/>
              <w:rPr>
                <w:rFonts w:ascii="Arial"/>
                <w:sz w:val="21"/>
              </w:rPr>
            </w:pPr>
          </w:p>
          <w:p w14:paraId="1EBB3E33">
            <w:pPr>
              <w:pStyle w:val="14"/>
              <w:spacing w:before="78" w:line="360" w:lineRule="auto"/>
              <w:ind w:left="424"/>
              <w:outlineLvl w:val="9"/>
            </w:pPr>
            <w:r>
              <w:t>1</w:t>
            </w:r>
          </w:p>
        </w:tc>
        <w:tc>
          <w:tcPr>
            <w:tcW w:w="2971" w:type="dxa"/>
            <w:vAlign w:val="top"/>
          </w:tcPr>
          <w:p w14:paraId="56B4B9EE">
            <w:pPr>
              <w:spacing w:line="360" w:lineRule="auto"/>
              <w:outlineLvl w:val="9"/>
              <w:rPr>
                <w:rFonts w:ascii="Arial"/>
                <w:sz w:val="21"/>
              </w:rPr>
            </w:pPr>
          </w:p>
          <w:p w14:paraId="29986FD8">
            <w:pPr>
              <w:pStyle w:val="14"/>
              <w:spacing w:before="78" w:line="360" w:lineRule="auto"/>
              <w:ind w:left="542"/>
              <w:outlineLvl w:val="9"/>
            </w:pPr>
            <w:r>
              <w:rPr>
                <w:spacing w:val="-3"/>
              </w:rPr>
              <w:t>响应函签署、盖章</w:t>
            </w:r>
          </w:p>
        </w:tc>
        <w:tc>
          <w:tcPr>
            <w:tcW w:w="5007" w:type="dxa"/>
            <w:vAlign w:val="top"/>
          </w:tcPr>
          <w:p w14:paraId="7D787BB3">
            <w:pPr>
              <w:pStyle w:val="14"/>
              <w:spacing w:before="182" w:line="360" w:lineRule="auto"/>
              <w:ind w:left="114" w:right="108"/>
              <w:outlineLvl w:val="9"/>
            </w:pPr>
            <w:r>
              <w:rPr>
                <w:spacing w:val="-2"/>
              </w:rPr>
              <w:t>谈判函加盖供应商公章，且经法定代表人或其</w:t>
            </w:r>
            <w:r>
              <w:rPr>
                <w:spacing w:val="-1"/>
              </w:rPr>
              <w:t>授权代表签字或盖章的。</w:t>
            </w:r>
          </w:p>
        </w:tc>
      </w:tr>
      <w:tr w14:paraId="1F7A52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5" w:hRule="atLeast"/>
        </w:trPr>
        <w:tc>
          <w:tcPr>
            <w:tcW w:w="920" w:type="dxa"/>
            <w:vAlign w:val="top"/>
          </w:tcPr>
          <w:p w14:paraId="623CFCD6">
            <w:pPr>
              <w:pStyle w:val="14"/>
              <w:spacing w:before="292" w:line="360" w:lineRule="auto"/>
              <w:ind w:left="409"/>
              <w:outlineLvl w:val="9"/>
            </w:pPr>
            <w:r>
              <w:t>2</w:t>
            </w:r>
          </w:p>
        </w:tc>
        <w:tc>
          <w:tcPr>
            <w:tcW w:w="2971" w:type="dxa"/>
            <w:vAlign w:val="top"/>
          </w:tcPr>
          <w:p w14:paraId="6EA167C9">
            <w:pPr>
              <w:pStyle w:val="14"/>
              <w:spacing w:before="292" w:line="360" w:lineRule="auto"/>
              <w:ind w:left="889"/>
              <w:outlineLvl w:val="9"/>
            </w:pPr>
            <w:r>
              <w:rPr>
                <w:spacing w:val="-2"/>
              </w:rPr>
              <w:t>谈判保证金</w:t>
            </w:r>
          </w:p>
        </w:tc>
        <w:tc>
          <w:tcPr>
            <w:tcW w:w="5007" w:type="dxa"/>
            <w:vAlign w:val="top"/>
          </w:tcPr>
          <w:p w14:paraId="78E720D4">
            <w:pPr>
              <w:pStyle w:val="14"/>
              <w:spacing w:before="292" w:line="360" w:lineRule="auto"/>
              <w:ind w:left="115"/>
              <w:outlineLvl w:val="9"/>
            </w:pPr>
            <w:r>
              <w:rPr>
                <w:spacing w:val="-2"/>
              </w:rPr>
              <w:t>信用承诺书代替</w:t>
            </w:r>
          </w:p>
        </w:tc>
      </w:tr>
    </w:tbl>
    <w:p w14:paraId="6F7DC6F2">
      <w:pPr>
        <w:spacing w:line="360" w:lineRule="auto"/>
        <w:outlineLvl w:val="9"/>
        <w:rPr>
          <w:rFonts w:ascii="Arial"/>
          <w:sz w:val="2"/>
        </w:rPr>
      </w:pPr>
    </w:p>
    <w:tbl>
      <w:tblPr>
        <w:tblStyle w:val="13"/>
        <w:tblW w:w="889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20"/>
        <w:gridCol w:w="2971"/>
        <w:gridCol w:w="5007"/>
      </w:tblGrid>
      <w:tr w14:paraId="139115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30" w:hRule="atLeast"/>
        </w:trPr>
        <w:tc>
          <w:tcPr>
            <w:tcW w:w="920" w:type="dxa"/>
            <w:vAlign w:val="top"/>
          </w:tcPr>
          <w:p w14:paraId="71DEDC6D">
            <w:pPr>
              <w:spacing w:line="360" w:lineRule="auto"/>
              <w:outlineLvl w:val="9"/>
              <w:rPr>
                <w:rFonts w:ascii="Arial"/>
                <w:sz w:val="21"/>
              </w:rPr>
            </w:pPr>
          </w:p>
          <w:p w14:paraId="151DDC22">
            <w:pPr>
              <w:pStyle w:val="14"/>
              <w:spacing w:before="78" w:line="360" w:lineRule="auto"/>
              <w:ind w:left="411"/>
              <w:outlineLvl w:val="9"/>
            </w:pPr>
            <w:r>
              <w:t>3</w:t>
            </w:r>
          </w:p>
        </w:tc>
        <w:tc>
          <w:tcPr>
            <w:tcW w:w="2971" w:type="dxa"/>
            <w:vAlign w:val="top"/>
          </w:tcPr>
          <w:p w14:paraId="677A2A5A">
            <w:pPr>
              <w:spacing w:line="360" w:lineRule="auto"/>
              <w:outlineLvl w:val="9"/>
              <w:rPr>
                <w:rFonts w:ascii="Arial"/>
                <w:sz w:val="21"/>
              </w:rPr>
            </w:pPr>
          </w:p>
          <w:p w14:paraId="50AB7FA0">
            <w:pPr>
              <w:pStyle w:val="14"/>
              <w:spacing w:before="78" w:line="360" w:lineRule="auto"/>
              <w:ind w:left="531"/>
              <w:outlineLvl w:val="9"/>
            </w:pPr>
            <w:r>
              <w:rPr>
                <w:spacing w:val="-2"/>
              </w:rPr>
              <w:t>法定代表人授权书</w:t>
            </w:r>
          </w:p>
        </w:tc>
        <w:tc>
          <w:tcPr>
            <w:tcW w:w="5007" w:type="dxa"/>
            <w:vAlign w:val="top"/>
          </w:tcPr>
          <w:p w14:paraId="24318094">
            <w:pPr>
              <w:pStyle w:val="14"/>
              <w:spacing w:before="134" w:line="360" w:lineRule="auto"/>
              <w:ind w:left="117" w:right="108" w:hanging="3"/>
              <w:jc w:val="both"/>
              <w:outlineLvl w:val="9"/>
            </w:pPr>
            <w:r>
              <w:rPr>
                <w:spacing w:val="-2"/>
              </w:rPr>
              <w:t>谈判响应文件有法定代表人授权书（法人直接投标除外）且授权书的合法性和有效性符合竞争性谈判文件规定的。</w:t>
            </w:r>
          </w:p>
        </w:tc>
      </w:tr>
      <w:tr w14:paraId="3798DB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67" w:hRule="atLeast"/>
        </w:trPr>
        <w:tc>
          <w:tcPr>
            <w:tcW w:w="920" w:type="dxa"/>
            <w:vAlign w:val="top"/>
          </w:tcPr>
          <w:p w14:paraId="47DD46C2">
            <w:pPr>
              <w:spacing w:line="360" w:lineRule="auto"/>
              <w:outlineLvl w:val="9"/>
              <w:rPr>
                <w:rFonts w:ascii="Arial"/>
                <w:sz w:val="21"/>
              </w:rPr>
            </w:pPr>
          </w:p>
          <w:p w14:paraId="35CD2148">
            <w:pPr>
              <w:pStyle w:val="14"/>
              <w:spacing w:before="78" w:line="360" w:lineRule="auto"/>
              <w:ind w:left="405"/>
              <w:outlineLvl w:val="9"/>
            </w:pPr>
            <w:r>
              <w:t>4</w:t>
            </w:r>
          </w:p>
        </w:tc>
        <w:tc>
          <w:tcPr>
            <w:tcW w:w="2971" w:type="dxa"/>
            <w:vAlign w:val="top"/>
          </w:tcPr>
          <w:p w14:paraId="57A3D119">
            <w:pPr>
              <w:pStyle w:val="14"/>
              <w:spacing w:before="305" w:line="360" w:lineRule="auto"/>
              <w:ind w:left="169"/>
              <w:outlineLvl w:val="9"/>
            </w:pPr>
            <w:r>
              <w:rPr>
                <w:spacing w:val="-1"/>
              </w:rPr>
              <w:t>谈判文件签署、盖章及投</w:t>
            </w:r>
          </w:p>
          <w:p w14:paraId="2B0D14A1">
            <w:pPr>
              <w:pStyle w:val="14"/>
              <w:spacing w:before="27" w:line="360" w:lineRule="auto"/>
              <w:ind w:left="1011"/>
              <w:outlineLvl w:val="9"/>
            </w:pPr>
            <w:r>
              <w:rPr>
                <w:spacing w:val="-3"/>
              </w:rPr>
              <w:t>标有效期</w:t>
            </w:r>
          </w:p>
        </w:tc>
        <w:tc>
          <w:tcPr>
            <w:tcW w:w="5007" w:type="dxa"/>
            <w:vAlign w:val="top"/>
          </w:tcPr>
          <w:p w14:paraId="70175594">
            <w:pPr>
              <w:pStyle w:val="14"/>
              <w:spacing w:before="151" w:line="360" w:lineRule="auto"/>
              <w:ind w:left="114" w:right="108"/>
              <w:jc w:val="both"/>
              <w:outlineLvl w:val="9"/>
            </w:pPr>
            <w:r>
              <w:rPr>
                <w:spacing w:val="11"/>
              </w:rPr>
              <w:t>谈判响应文件按竞争性谈判文件规定要求装</w:t>
            </w:r>
            <w:r>
              <w:rPr>
                <w:spacing w:val="4"/>
              </w:rPr>
              <w:t>订、签署、盖章的,投标有效期达到竞争性谈</w:t>
            </w:r>
            <w:r>
              <w:rPr>
                <w:spacing w:val="-2"/>
              </w:rPr>
              <w:t>判文件要求的。</w:t>
            </w:r>
          </w:p>
        </w:tc>
      </w:tr>
      <w:tr w14:paraId="7F2BA3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75" w:hRule="atLeast"/>
        </w:trPr>
        <w:tc>
          <w:tcPr>
            <w:tcW w:w="920" w:type="dxa"/>
            <w:vAlign w:val="top"/>
          </w:tcPr>
          <w:p w14:paraId="1EF23240">
            <w:pPr>
              <w:spacing w:line="360" w:lineRule="auto"/>
              <w:outlineLvl w:val="9"/>
              <w:rPr>
                <w:rFonts w:ascii="Arial"/>
                <w:sz w:val="21"/>
              </w:rPr>
            </w:pPr>
          </w:p>
          <w:p w14:paraId="30562012">
            <w:pPr>
              <w:pStyle w:val="14"/>
              <w:spacing w:before="78" w:line="360" w:lineRule="auto"/>
              <w:ind w:left="411"/>
              <w:outlineLvl w:val="9"/>
            </w:pPr>
            <w:r>
              <w:t>5</w:t>
            </w:r>
          </w:p>
        </w:tc>
        <w:tc>
          <w:tcPr>
            <w:tcW w:w="2971" w:type="dxa"/>
            <w:vAlign w:val="top"/>
          </w:tcPr>
          <w:p w14:paraId="490BF992">
            <w:pPr>
              <w:spacing w:line="360" w:lineRule="auto"/>
              <w:outlineLvl w:val="9"/>
              <w:rPr>
                <w:rFonts w:ascii="Arial"/>
                <w:sz w:val="21"/>
              </w:rPr>
            </w:pPr>
          </w:p>
          <w:p w14:paraId="2CFF820C">
            <w:pPr>
              <w:pStyle w:val="14"/>
              <w:spacing w:before="78" w:line="360" w:lineRule="auto"/>
              <w:ind w:left="529"/>
              <w:outlineLvl w:val="9"/>
            </w:pPr>
            <w:r>
              <w:rPr>
                <w:spacing w:val="-2"/>
              </w:rPr>
              <w:t>谈判响应文件编写</w:t>
            </w:r>
          </w:p>
        </w:tc>
        <w:tc>
          <w:tcPr>
            <w:tcW w:w="5007" w:type="dxa"/>
            <w:vAlign w:val="top"/>
          </w:tcPr>
          <w:p w14:paraId="45F4528A">
            <w:pPr>
              <w:pStyle w:val="14"/>
              <w:spacing w:before="155" w:line="360" w:lineRule="auto"/>
              <w:ind w:left="116" w:right="108" w:hanging="2"/>
              <w:outlineLvl w:val="9"/>
            </w:pPr>
            <w:r>
              <w:rPr>
                <w:spacing w:val="11"/>
              </w:rPr>
              <w:t>谈判响应文件按照竞争性谈判文件要求的格</w:t>
            </w:r>
            <w:r>
              <w:rPr>
                <w:spacing w:val="-2"/>
              </w:rPr>
              <w:t>式编写及谈判响应文件的关键内容字迹清晰、</w:t>
            </w:r>
            <w:r>
              <w:rPr>
                <w:spacing w:val="-3"/>
              </w:rPr>
              <w:t>可辨认的。</w:t>
            </w:r>
          </w:p>
        </w:tc>
      </w:tr>
      <w:tr w14:paraId="26592F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4" w:hRule="atLeast"/>
        </w:trPr>
        <w:tc>
          <w:tcPr>
            <w:tcW w:w="920" w:type="dxa"/>
            <w:vAlign w:val="top"/>
          </w:tcPr>
          <w:p w14:paraId="78ECA02D">
            <w:pPr>
              <w:spacing w:line="360" w:lineRule="auto"/>
              <w:outlineLvl w:val="9"/>
              <w:rPr>
                <w:rFonts w:ascii="Arial"/>
                <w:sz w:val="21"/>
              </w:rPr>
            </w:pPr>
          </w:p>
          <w:p w14:paraId="7D5E615C">
            <w:pPr>
              <w:pStyle w:val="14"/>
              <w:spacing w:before="78" w:line="360" w:lineRule="auto"/>
              <w:ind w:left="408"/>
              <w:outlineLvl w:val="9"/>
            </w:pPr>
            <w:r>
              <w:t>6</w:t>
            </w:r>
          </w:p>
        </w:tc>
        <w:tc>
          <w:tcPr>
            <w:tcW w:w="2971" w:type="dxa"/>
            <w:vAlign w:val="top"/>
          </w:tcPr>
          <w:p w14:paraId="3775C4C9">
            <w:pPr>
              <w:spacing w:line="360" w:lineRule="auto"/>
              <w:outlineLvl w:val="9"/>
              <w:rPr>
                <w:rFonts w:ascii="Arial"/>
                <w:sz w:val="21"/>
              </w:rPr>
            </w:pPr>
          </w:p>
          <w:p w14:paraId="3C71DB40">
            <w:pPr>
              <w:pStyle w:val="14"/>
              <w:spacing w:before="78" w:line="360" w:lineRule="auto"/>
              <w:ind w:left="1011"/>
              <w:outlineLvl w:val="9"/>
            </w:pPr>
            <w:r>
              <w:rPr>
                <w:spacing w:val="-3"/>
              </w:rPr>
              <w:t>虚假材料</w:t>
            </w:r>
          </w:p>
        </w:tc>
        <w:tc>
          <w:tcPr>
            <w:tcW w:w="5007" w:type="dxa"/>
            <w:vAlign w:val="top"/>
          </w:tcPr>
          <w:p w14:paraId="53294516">
            <w:pPr>
              <w:pStyle w:val="14"/>
              <w:spacing w:before="182" w:line="360" w:lineRule="auto"/>
              <w:ind w:left="137" w:right="108" w:hanging="18"/>
              <w:outlineLvl w:val="9"/>
            </w:pPr>
            <w:r>
              <w:rPr>
                <w:spacing w:val="11"/>
              </w:rPr>
              <w:t>未提供虚假证明（包括第三方提供的虚假证</w:t>
            </w:r>
            <w:r>
              <w:rPr>
                <w:spacing w:val="-3"/>
              </w:rPr>
              <w:t>明</w:t>
            </w:r>
            <w:r>
              <w:rPr>
                <w:spacing w:val="-51"/>
              </w:rPr>
              <w:t>），</w:t>
            </w:r>
            <w:r>
              <w:rPr>
                <w:spacing w:val="-3"/>
              </w:rPr>
              <w:t>未开具虚假资质，未出现虚假应答。</w:t>
            </w:r>
          </w:p>
        </w:tc>
      </w:tr>
      <w:tr w14:paraId="294B1F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4" w:hRule="atLeast"/>
        </w:trPr>
        <w:tc>
          <w:tcPr>
            <w:tcW w:w="920" w:type="dxa"/>
            <w:vAlign w:val="top"/>
          </w:tcPr>
          <w:p w14:paraId="0F6E97C2">
            <w:pPr>
              <w:spacing w:line="360" w:lineRule="auto"/>
              <w:outlineLvl w:val="9"/>
              <w:rPr>
                <w:rFonts w:ascii="Arial"/>
                <w:sz w:val="21"/>
              </w:rPr>
            </w:pPr>
          </w:p>
          <w:p w14:paraId="2DFBA379">
            <w:pPr>
              <w:pStyle w:val="14"/>
              <w:spacing w:before="78" w:line="360" w:lineRule="auto"/>
              <w:ind w:left="412"/>
              <w:outlineLvl w:val="9"/>
            </w:pPr>
            <w:r>
              <w:t>7</w:t>
            </w:r>
          </w:p>
        </w:tc>
        <w:tc>
          <w:tcPr>
            <w:tcW w:w="2971" w:type="dxa"/>
            <w:vAlign w:val="top"/>
          </w:tcPr>
          <w:p w14:paraId="5EA5C705">
            <w:pPr>
              <w:spacing w:line="360" w:lineRule="auto"/>
              <w:outlineLvl w:val="9"/>
              <w:rPr>
                <w:rFonts w:ascii="Arial"/>
                <w:sz w:val="21"/>
              </w:rPr>
            </w:pPr>
          </w:p>
          <w:p w14:paraId="03934915">
            <w:pPr>
              <w:pStyle w:val="14"/>
              <w:spacing w:before="78" w:line="360" w:lineRule="auto"/>
              <w:ind w:left="896"/>
              <w:outlineLvl w:val="9"/>
            </w:pPr>
            <w:r>
              <w:rPr>
                <w:spacing w:val="-4"/>
              </w:rPr>
              <w:t>实质性响应</w:t>
            </w:r>
          </w:p>
        </w:tc>
        <w:tc>
          <w:tcPr>
            <w:tcW w:w="5007" w:type="dxa"/>
            <w:vAlign w:val="top"/>
          </w:tcPr>
          <w:p w14:paraId="46B31974">
            <w:pPr>
              <w:pStyle w:val="14"/>
              <w:spacing w:before="190" w:line="360" w:lineRule="auto"/>
              <w:ind w:left="116" w:right="108" w:hanging="2"/>
              <w:jc w:val="both"/>
              <w:outlineLvl w:val="9"/>
            </w:pPr>
            <w:r>
              <w:rPr>
                <w:spacing w:val="11"/>
              </w:rPr>
              <w:t>对竞争性谈判文件做出了实质性响应没有重</w:t>
            </w:r>
            <w:r>
              <w:rPr>
                <w:spacing w:val="4"/>
              </w:rPr>
              <w:t>大缺项漏项,无明显不符合技术规格、技术标</w:t>
            </w:r>
            <w:r>
              <w:rPr>
                <w:spacing w:val="-2"/>
              </w:rPr>
              <w:t>准的要求的。</w:t>
            </w:r>
          </w:p>
        </w:tc>
      </w:tr>
      <w:tr w14:paraId="62792F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35" w:hRule="atLeast"/>
        </w:trPr>
        <w:tc>
          <w:tcPr>
            <w:tcW w:w="920" w:type="dxa"/>
            <w:vAlign w:val="top"/>
          </w:tcPr>
          <w:p w14:paraId="31927E2D">
            <w:pPr>
              <w:spacing w:line="360" w:lineRule="auto"/>
              <w:outlineLvl w:val="9"/>
              <w:rPr>
                <w:rFonts w:ascii="Arial"/>
                <w:sz w:val="21"/>
              </w:rPr>
            </w:pPr>
          </w:p>
          <w:p w14:paraId="78C52FF5">
            <w:pPr>
              <w:spacing w:line="360" w:lineRule="auto"/>
              <w:outlineLvl w:val="9"/>
              <w:rPr>
                <w:rFonts w:ascii="Arial"/>
                <w:sz w:val="21"/>
              </w:rPr>
            </w:pPr>
          </w:p>
          <w:p w14:paraId="6FC0B0C6">
            <w:pPr>
              <w:pStyle w:val="14"/>
              <w:spacing w:before="78" w:line="360" w:lineRule="auto"/>
              <w:ind w:left="407"/>
              <w:outlineLvl w:val="9"/>
            </w:pPr>
            <w:r>
              <w:t>8</w:t>
            </w:r>
          </w:p>
        </w:tc>
        <w:tc>
          <w:tcPr>
            <w:tcW w:w="2971" w:type="dxa"/>
            <w:vAlign w:val="top"/>
          </w:tcPr>
          <w:p w14:paraId="10FD2FE0">
            <w:pPr>
              <w:spacing w:line="360" w:lineRule="auto"/>
              <w:outlineLvl w:val="9"/>
              <w:rPr>
                <w:rFonts w:ascii="Arial"/>
                <w:sz w:val="21"/>
              </w:rPr>
            </w:pPr>
          </w:p>
          <w:p w14:paraId="5D8AA82E">
            <w:pPr>
              <w:spacing w:line="360" w:lineRule="auto"/>
              <w:outlineLvl w:val="9"/>
              <w:rPr>
                <w:rFonts w:ascii="Arial"/>
                <w:sz w:val="21"/>
              </w:rPr>
            </w:pPr>
          </w:p>
          <w:p w14:paraId="1DEF9839">
            <w:pPr>
              <w:pStyle w:val="14"/>
              <w:spacing w:before="78" w:line="360" w:lineRule="auto"/>
              <w:ind w:left="1248"/>
              <w:outlineLvl w:val="9"/>
            </w:pPr>
            <w:r>
              <w:rPr>
                <w:spacing w:val="-4"/>
              </w:rPr>
              <w:t>报价</w:t>
            </w:r>
          </w:p>
        </w:tc>
        <w:tc>
          <w:tcPr>
            <w:tcW w:w="5007" w:type="dxa"/>
            <w:vAlign w:val="top"/>
          </w:tcPr>
          <w:p w14:paraId="454969D3">
            <w:pPr>
              <w:pStyle w:val="14"/>
              <w:spacing w:before="124" w:line="360" w:lineRule="auto"/>
              <w:ind w:left="115" w:right="108" w:firstLine="17"/>
              <w:outlineLvl w:val="9"/>
            </w:pPr>
            <w:r>
              <w:rPr>
                <w:spacing w:val="4"/>
              </w:rPr>
              <w:t>1）供应商在同一份谈判响应文件中，只有一</w:t>
            </w:r>
            <w:r>
              <w:rPr>
                <w:spacing w:val="-2"/>
              </w:rPr>
              <w:t>个有效报价的；</w:t>
            </w:r>
          </w:p>
          <w:p w14:paraId="017945D9">
            <w:pPr>
              <w:pStyle w:val="14"/>
              <w:spacing w:before="29" w:line="360" w:lineRule="auto"/>
              <w:ind w:left="117" w:right="108"/>
              <w:outlineLvl w:val="9"/>
            </w:pPr>
            <w:r>
              <w:rPr>
                <w:spacing w:val="4"/>
              </w:rPr>
              <w:t>2）报价未超过竞争性谈判文件中规定的预算</w:t>
            </w:r>
            <w:r>
              <w:rPr>
                <w:spacing w:val="-2"/>
              </w:rPr>
              <w:t>金额或者未与市场价格偏离较大、低于成本、形成不正当竞争的。</w:t>
            </w:r>
          </w:p>
        </w:tc>
      </w:tr>
      <w:tr w14:paraId="2F0FC7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920" w:type="dxa"/>
            <w:vAlign w:val="top"/>
          </w:tcPr>
          <w:p w14:paraId="4A187C27">
            <w:pPr>
              <w:pStyle w:val="14"/>
              <w:spacing w:before="196" w:line="360" w:lineRule="auto"/>
              <w:ind w:left="407"/>
              <w:outlineLvl w:val="9"/>
            </w:pPr>
            <w:r>
              <w:t>9</w:t>
            </w:r>
          </w:p>
        </w:tc>
        <w:tc>
          <w:tcPr>
            <w:tcW w:w="2971" w:type="dxa"/>
            <w:vAlign w:val="top"/>
          </w:tcPr>
          <w:p w14:paraId="21E1D687">
            <w:pPr>
              <w:pStyle w:val="14"/>
              <w:spacing w:before="197" w:line="360" w:lineRule="auto"/>
              <w:ind w:left="1015"/>
              <w:outlineLvl w:val="9"/>
            </w:pPr>
            <w:r>
              <w:rPr>
                <w:spacing w:val="-4"/>
              </w:rPr>
              <w:t>商务要求</w:t>
            </w:r>
          </w:p>
        </w:tc>
        <w:tc>
          <w:tcPr>
            <w:tcW w:w="5007" w:type="dxa"/>
            <w:vAlign w:val="top"/>
          </w:tcPr>
          <w:p w14:paraId="6E437737">
            <w:pPr>
              <w:pStyle w:val="14"/>
              <w:spacing w:before="41" w:line="360" w:lineRule="auto"/>
              <w:ind w:left="117" w:right="108" w:firstLine="2"/>
              <w:outlineLvl w:val="9"/>
            </w:pPr>
            <w:r>
              <w:rPr>
                <w:spacing w:val="11"/>
              </w:rPr>
              <w:t>商务要求逐条响应并满足竞争性谈判文件要</w:t>
            </w:r>
            <w:r>
              <w:rPr>
                <w:spacing w:val="-6"/>
              </w:rPr>
              <w:t>求。</w:t>
            </w:r>
          </w:p>
        </w:tc>
      </w:tr>
      <w:tr w14:paraId="6D79A5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2" w:hRule="atLeast"/>
        </w:trPr>
        <w:tc>
          <w:tcPr>
            <w:tcW w:w="920" w:type="dxa"/>
            <w:vAlign w:val="top"/>
          </w:tcPr>
          <w:p w14:paraId="4219A3FC">
            <w:pPr>
              <w:spacing w:line="360" w:lineRule="auto"/>
              <w:outlineLvl w:val="9"/>
              <w:rPr>
                <w:rFonts w:ascii="Arial"/>
                <w:sz w:val="21"/>
              </w:rPr>
            </w:pPr>
          </w:p>
          <w:p w14:paraId="396C6397">
            <w:pPr>
              <w:pStyle w:val="14"/>
              <w:spacing w:before="78" w:line="360" w:lineRule="auto"/>
              <w:ind w:left="364"/>
              <w:outlineLvl w:val="9"/>
            </w:pPr>
            <w:r>
              <w:rPr>
                <w:spacing w:val="-14"/>
              </w:rPr>
              <w:t>10</w:t>
            </w:r>
          </w:p>
        </w:tc>
        <w:tc>
          <w:tcPr>
            <w:tcW w:w="2971" w:type="dxa"/>
            <w:vAlign w:val="top"/>
          </w:tcPr>
          <w:p w14:paraId="11D386AF">
            <w:pPr>
              <w:spacing w:line="360" w:lineRule="auto"/>
              <w:outlineLvl w:val="9"/>
              <w:rPr>
                <w:rFonts w:ascii="Arial"/>
                <w:sz w:val="21"/>
              </w:rPr>
            </w:pPr>
          </w:p>
          <w:p w14:paraId="0B5A50AC">
            <w:pPr>
              <w:pStyle w:val="14"/>
              <w:spacing w:before="78" w:line="360" w:lineRule="auto"/>
              <w:ind w:left="1022"/>
              <w:outlineLvl w:val="9"/>
            </w:pPr>
            <w:r>
              <w:rPr>
                <w:spacing w:val="-6"/>
              </w:rPr>
              <w:t>响应方案</w:t>
            </w:r>
          </w:p>
        </w:tc>
        <w:tc>
          <w:tcPr>
            <w:tcW w:w="5007" w:type="dxa"/>
            <w:vAlign w:val="top"/>
          </w:tcPr>
          <w:p w14:paraId="4DBE3EBC">
            <w:pPr>
              <w:pStyle w:val="14"/>
              <w:spacing w:before="41" w:line="360" w:lineRule="auto"/>
              <w:ind w:left="133"/>
              <w:outlineLvl w:val="9"/>
            </w:pPr>
            <w:r>
              <w:rPr>
                <w:spacing w:val="-4"/>
              </w:rPr>
              <w:t>1、技术方案；</w:t>
            </w:r>
          </w:p>
          <w:p w14:paraId="6CA23855">
            <w:pPr>
              <w:pStyle w:val="14"/>
              <w:spacing w:before="26" w:line="360" w:lineRule="auto"/>
              <w:ind w:left="118"/>
              <w:outlineLvl w:val="9"/>
            </w:pPr>
            <w:r>
              <w:rPr>
                <w:spacing w:val="-2"/>
              </w:rPr>
              <w:t>2、质量控制措施；</w:t>
            </w:r>
          </w:p>
          <w:p w14:paraId="3953D428">
            <w:pPr>
              <w:pStyle w:val="14"/>
              <w:spacing w:before="26" w:line="360" w:lineRule="auto"/>
              <w:ind w:left="120"/>
              <w:outlineLvl w:val="9"/>
            </w:pPr>
            <w:r>
              <w:rPr>
                <w:spacing w:val="-2"/>
              </w:rPr>
              <w:t>3、进度保证措施；</w:t>
            </w:r>
          </w:p>
          <w:p w14:paraId="4961EC65">
            <w:pPr>
              <w:pStyle w:val="14"/>
              <w:spacing w:before="26" w:line="360" w:lineRule="auto"/>
              <w:ind w:left="114"/>
              <w:outlineLvl w:val="9"/>
            </w:pPr>
            <w:r>
              <w:rPr>
                <w:spacing w:val="-2"/>
              </w:rPr>
              <w:t>4、售后服务；</w:t>
            </w:r>
          </w:p>
        </w:tc>
      </w:tr>
      <w:tr w14:paraId="44ACCF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4" w:hRule="atLeast"/>
        </w:trPr>
        <w:tc>
          <w:tcPr>
            <w:tcW w:w="920" w:type="dxa"/>
            <w:vAlign w:val="top"/>
          </w:tcPr>
          <w:p w14:paraId="2688EB19">
            <w:pPr>
              <w:pStyle w:val="14"/>
              <w:spacing w:before="288" w:line="360" w:lineRule="auto"/>
              <w:ind w:left="364"/>
              <w:outlineLvl w:val="9"/>
            </w:pPr>
            <w:r>
              <w:rPr>
                <w:spacing w:val="-14"/>
              </w:rPr>
              <w:t>11</w:t>
            </w:r>
          </w:p>
        </w:tc>
        <w:tc>
          <w:tcPr>
            <w:tcW w:w="2971" w:type="dxa"/>
            <w:vAlign w:val="top"/>
          </w:tcPr>
          <w:p w14:paraId="030A5F89">
            <w:pPr>
              <w:pStyle w:val="14"/>
              <w:spacing w:before="288" w:line="360" w:lineRule="auto"/>
              <w:ind w:left="1011"/>
              <w:outlineLvl w:val="9"/>
            </w:pPr>
            <w:r>
              <w:rPr>
                <w:spacing w:val="-3"/>
              </w:rPr>
              <w:t>其他要求</w:t>
            </w:r>
          </w:p>
        </w:tc>
        <w:tc>
          <w:tcPr>
            <w:tcW w:w="5007" w:type="dxa"/>
            <w:vAlign w:val="top"/>
          </w:tcPr>
          <w:p w14:paraId="18036904">
            <w:pPr>
              <w:pStyle w:val="14"/>
              <w:spacing w:before="288" w:line="360" w:lineRule="auto"/>
              <w:ind w:left="115"/>
              <w:outlineLvl w:val="9"/>
            </w:pPr>
            <w:r>
              <w:rPr>
                <w:spacing w:val="-1"/>
              </w:rPr>
              <w:t>满足谈判文件规定的其他要求。</w:t>
            </w:r>
          </w:p>
        </w:tc>
      </w:tr>
    </w:tbl>
    <w:p w14:paraId="7B12FF86">
      <w:pPr>
        <w:spacing w:before="114" w:line="360" w:lineRule="auto"/>
        <w:ind w:left="261" w:right="348" w:firstLine="481"/>
        <w:outlineLvl w:val="9"/>
        <w:rPr>
          <w:rFonts w:ascii="宋体" w:hAnsi="宋体" w:eastAsia="宋体" w:cs="宋体"/>
          <w:sz w:val="24"/>
          <w:szCs w:val="24"/>
        </w:rPr>
      </w:pPr>
      <w:r>
        <w:rPr>
          <w:rFonts w:ascii="宋体" w:hAnsi="宋体" w:eastAsia="宋体" w:cs="宋体"/>
          <w:sz w:val="24"/>
          <w:szCs w:val="24"/>
        </w:rPr>
        <w:t>2、对于竞争性谈判响应文件中可能出现的不一致和算术计算错误按以下方</w:t>
      </w:r>
      <w:r>
        <w:rPr>
          <w:rFonts w:ascii="宋体" w:hAnsi="宋体" w:eastAsia="宋体" w:cs="宋体"/>
          <w:spacing w:val="-3"/>
          <w:sz w:val="24"/>
          <w:szCs w:val="24"/>
        </w:rPr>
        <w:t>法更正：</w:t>
      </w:r>
    </w:p>
    <w:p w14:paraId="5BCF1840">
      <w:pPr>
        <w:spacing w:before="2" w:line="360" w:lineRule="auto"/>
        <w:ind w:left="260" w:right="348" w:firstLine="497"/>
        <w:outlineLvl w:val="9"/>
        <w:rPr>
          <w:rFonts w:ascii="宋体" w:hAnsi="宋体" w:eastAsia="宋体" w:cs="宋体"/>
          <w:sz w:val="24"/>
          <w:szCs w:val="24"/>
        </w:rPr>
      </w:pPr>
      <w:r>
        <w:rPr>
          <w:rFonts w:ascii="宋体" w:hAnsi="宋体" w:eastAsia="宋体" w:cs="宋体"/>
          <w:sz w:val="24"/>
          <w:szCs w:val="24"/>
        </w:rPr>
        <w:t>1）开标时，竞争性谈判响应文件中谈判报价表（报价表）内容</w:t>
      </w:r>
      <w:r>
        <w:rPr>
          <w:rFonts w:ascii="宋体" w:hAnsi="宋体" w:eastAsia="宋体" w:cs="宋体"/>
          <w:spacing w:val="-1"/>
          <w:sz w:val="24"/>
          <w:szCs w:val="24"/>
        </w:rPr>
        <w:t>与竞争性谈</w:t>
      </w:r>
      <w:r>
        <w:rPr>
          <w:rFonts w:ascii="宋体" w:hAnsi="宋体" w:eastAsia="宋体" w:cs="宋体"/>
          <w:sz w:val="24"/>
          <w:szCs w:val="24"/>
        </w:rPr>
        <w:t>判响应文件中明细表内容不一致的，以谈判</w:t>
      </w:r>
      <w:r>
        <w:rPr>
          <w:rFonts w:ascii="宋体" w:hAnsi="宋体" w:eastAsia="宋体" w:cs="宋体"/>
          <w:spacing w:val="-1"/>
          <w:sz w:val="24"/>
          <w:szCs w:val="24"/>
        </w:rPr>
        <w:t>报价表（报价表）为准。</w:t>
      </w:r>
    </w:p>
    <w:p w14:paraId="7BE23762">
      <w:pPr>
        <w:spacing w:before="185" w:line="360" w:lineRule="auto"/>
        <w:ind w:left="262" w:right="348" w:firstLine="480"/>
        <w:outlineLvl w:val="9"/>
        <w:rPr>
          <w:rFonts w:ascii="宋体" w:hAnsi="宋体" w:eastAsia="宋体" w:cs="宋体"/>
          <w:sz w:val="24"/>
          <w:szCs w:val="24"/>
        </w:rPr>
      </w:pPr>
      <w:r>
        <w:rPr>
          <w:rFonts w:ascii="宋体" w:hAnsi="宋体" w:eastAsia="宋体" w:cs="宋体"/>
          <w:sz w:val="24"/>
          <w:szCs w:val="24"/>
        </w:rPr>
        <w:t>2）用数字表示的金额和用文字表示的金额不一致的，以文字表示的金额为</w:t>
      </w:r>
      <w:r>
        <w:rPr>
          <w:rFonts w:ascii="宋体" w:hAnsi="宋体" w:eastAsia="宋体" w:cs="宋体"/>
          <w:spacing w:val="-6"/>
          <w:sz w:val="24"/>
          <w:szCs w:val="24"/>
        </w:rPr>
        <w:t>准。</w:t>
      </w:r>
    </w:p>
    <w:p w14:paraId="5A5EF9AF">
      <w:pPr>
        <w:spacing w:before="180" w:line="360" w:lineRule="auto"/>
        <w:ind w:left="261" w:right="348" w:firstLine="483"/>
        <w:outlineLvl w:val="9"/>
        <w:rPr>
          <w:rFonts w:ascii="宋体" w:hAnsi="宋体" w:eastAsia="宋体" w:cs="宋体"/>
          <w:spacing w:val="-1"/>
          <w:sz w:val="24"/>
          <w:szCs w:val="24"/>
        </w:rPr>
      </w:pPr>
      <w:r>
        <w:rPr>
          <w:rFonts w:ascii="宋体" w:hAnsi="宋体" w:eastAsia="宋体" w:cs="宋体"/>
          <w:sz w:val="24"/>
          <w:szCs w:val="24"/>
        </w:rPr>
        <w:t>3）总价金额与按单价汇总金额不一致的，以单价金额计算结果为准；但单</w:t>
      </w:r>
      <w:r>
        <w:rPr>
          <w:rFonts w:ascii="宋体" w:hAnsi="宋体" w:eastAsia="宋体" w:cs="宋体"/>
          <w:spacing w:val="-1"/>
          <w:sz w:val="24"/>
          <w:szCs w:val="24"/>
        </w:rPr>
        <w:t>价金额小数点有明显错位的，以总价为准，并修正单价。</w:t>
      </w:r>
    </w:p>
    <w:p w14:paraId="26B66582">
      <w:pPr>
        <w:spacing w:before="122" w:line="360" w:lineRule="auto"/>
        <w:ind w:right="105" w:firstLine="496" w:firstLineChars="200"/>
        <w:jc w:val="both"/>
        <w:outlineLvl w:val="9"/>
        <w:rPr>
          <w:rFonts w:ascii="宋体" w:hAnsi="宋体" w:eastAsia="宋体" w:cs="宋体"/>
          <w:sz w:val="24"/>
          <w:szCs w:val="24"/>
        </w:rPr>
      </w:pPr>
      <w:r>
        <w:rPr>
          <w:rFonts w:ascii="宋体" w:hAnsi="宋体" w:eastAsia="宋体" w:cs="宋体"/>
          <w:spacing w:val="4"/>
          <w:sz w:val="24"/>
          <w:szCs w:val="24"/>
        </w:rPr>
        <w:t>谈判小组将按照上述修正错误的方法修正竞争性谈判响应文件中的谈判报</w:t>
      </w:r>
      <w:r>
        <w:rPr>
          <w:rFonts w:ascii="宋体" w:hAnsi="宋体" w:eastAsia="宋体" w:cs="宋体"/>
          <w:spacing w:val="-3"/>
          <w:sz w:val="24"/>
          <w:szCs w:val="24"/>
        </w:rPr>
        <w:t>价，修正后的价格对供应商具有约束力。如果供应商不接受修正后的价格，其谈</w:t>
      </w:r>
      <w:r>
        <w:rPr>
          <w:rFonts w:ascii="宋体" w:hAnsi="宋体" w:eastAsia="宋体" w:cs="宋体"/>
          <w:spacing w:val="-2"/>
          <w:sz w:val="24"/>
          <w:szCs w:val="24"/>
        </w:rPr>
        <w:t>判将被拒绝。</w:t>
      </w:r>
    </w:p>
    <w:p w14:paraId="2BDCC964">
      <w:pPr>
        <w:spacing w:before="4" w:line="360" w:lineRule="auto"/>
        <w:ind w:left="24" w:right="6" w:firstLine="483"/>
        <w:outlineLvl w:val="9"/>
        <w:rPr>
          <w:rFonts w:ascii="宋体" w:hAnsi="宋体" w:eastAsia="宋体" w:cs="宋体"/>
          <w:sz w:val="24"/>
          <w:szCs w:val="24"/>
        </w:rPr>
      </w:pPr>
      <w:r>
        <w:rPr>
          <w:rFonts w:ascii="宋体" w:hAnsi="宋体" w:eastAsia="宋体" w:cs="宋体"/>
          <w:sz w:val="24"/>
          <w:szCs w:val="24"/>
        </w:rPr>
        <w:t>3、对于经初审合格的所有谈判，由谈判小组各成员依据谈判响应文件，从</w:t>
      </w:r>
      <w:r>
        <w:rPr>
          <w:rFonts w:ascii="宋体" w:hAnsi="宋体" w:eastAsia="宋体" w:cs="宋体"/>
          <w:spacing w:val="-7"/>
          <w:sz w:val="24"/>
          <w:szCs w:val="24"/>
        </w:rPr>
        <w:t>质量和服务均能满足谈判文件要求的供应商中，按照最后报价（依照政策性扣减）</w:t>
      </w:r>
      <w:r>
        <w:rPr>
          <w:rFonts w:ascii="宋体" w:hAnsi="宋体" w:eastAsia="宋体" w:cs="宋体"/>
          <w:spacing w:val="-3"/>
          <w:sz w:val="24"/>
          <w:szCs w:val="24"/>
        </w:rPr>
        <w:t>由低到高的顺序依次排序，推荐成交候选人。谈判报价相同的，按照技术指标优</w:t>
      </w:r>
      <w:r>
        <w:rPr>
          <w:rFonts w:ascii="宋体" w:hAnsi="宋体" w:eastAsia="宋体" w:cs="宋体"/>
          <w:spacing w:val="-1"/>
          <w:sz w:val="24"/>
          <w:szCs w:val="24"/>
        </w:rPr>
        <w:t>劣顺序排序或由全体谈判小组成员无记名投票，得票高者排序在前。</w:t>
      </w:r>
    </w:p>
    <w:p w14:paraId="3611E915">
      <w:pPr>
        <w:spacing w:before="182" w:line="360" w:lineRule="auto"/>
        <w:ind w:left="502"/>
        <w:outlineLvl w:val="9"/>
        <w:rPr>
          <w:rFonts w:ascii="宋体" w:hAnsi="宋体" w:eastAsia="宋体" w:cs="宋体"/>
          <w:sz w:val="24"/>
          <w:szCs w:val="24"/>
        </w:rPr>
      </w:pPr>
      <w:r>
        <w:rPr>
          <w:rFonts w:ascii="宋体" w:hAnsi="宋体" w:eastAsia="宋体" w:cs="宋体"/>
          <w:spacing w:val="-2"/>
          <w:sz w:val="24"/>
          <w:szCs w:val="24"/>
        </w:rPr>
        <w:t>4、政策性扣减</w:t>
      </w:r>
    </w:p>
    <w:p w14:paraId="0C405E19">
      <w:pPr>
        <w:spacing w:before="181" w:line="360" w:lineRule="auto"/>
        <w:jc w:val="right"/>
        <w:outlineLvl w:val="9"/>
        <w:rPr>
          <w:rFonts w:ascii="宋体" w:hAnsi="宋体" w:eastAsia="宋体" w:cs="宋体"/>
          <w:sz w:val="24"/>
          <w:szCs w:val="24"/>
        </w:rPr>
      </w:pPr>
      <w:r>
        <w:rPr>
          <w:rFonts w:ascii="宋体" w:hAnsi="宋体" w:eastAsia="宋体" w:cs="宋体"/>
          <w:spacing w:val="-7"/>
          <w:sz w:val="24"/>
          <w:szCs w:val="24"/>
        </w:rPr>
        <w:t>依据《中华人民共和国政府采购法》和《中华人民共和国政府采购实施</w:t>
      </w:r>
      <w:r>
        <w:rPr>
          <w:rFonts w:ascii="宋体" w:hAnsi="宋体" w:eastAsia="宋体" w:cs="宋体"/>
          <w:spacing w:val="-8"/>
          <w:sz w:val="24"/>
          <w:szCs w:val="24"/>
        </w:rPr>
        <w:t>条例》</w:t>
      </w:r>
    </w:p>
    <w:p w14:paraId="0EB7E51E">
      <w:pPr>
        <w:spacing w:before="184" w:line="360" w:lineRule="auto"/>
        <w:ind w:left="22" w:right="105" w:firstLine="500"/>
        <w:outlineLvl w:val="9"/>
        <w:rPr>
          <w:rFonts w:ascii="宋体" w:hAnsi="宋体" w:eastAsia="宋体" w:cs="宋体"/>
          <w:sz w:val="24"/>
          <w:szCs w:val="24"/>
        </w:rPr>
      </w:pPr>
      <w:r>
        <w:rPr>
          <w:rFonts w:ascii="宋体" w:hAnsi="宋体" w:eastAsia="宋体" w:cs="宋体"/>
          <w:spacing w:val="-5"/>
          <w:sz w:val="24"/>
          <w:szCs w:val="24"/>
        </w:rPr>
        <w:t>的有关规定，落实政府采购“扶持小微企业、监狱企业、福利企业”等相关</w:t>
      </w:r>
      <w:r>
        <w:rPr>
          <w:rFonts w:ascii="宋体" w:hAnsi="宋体" w:eastAsia="宋体" w:cs="宋体"/>
          <w:spacing w:val="-3"/>
          <w:sz w:val="24"/>
          <w:szCs w:val="24"/>
        </w:rPr>
        <w:t>政策。</w:t>
      </w:r>
    </w:p>
    <w:p w14:paraId="6EBD740E">
      <w:pPr>
        <w:spacing w:before="1" w:line="360" w:lineRule="auto"/>
        <w:ind w:left="545"/>
        <w:outlineLvl w:val="9"/>
        <w:rPr>
          <w:rFonts w:ascii="宋体" w:hAnsi="宋体" w:eastAsia="宋体" w:cs="宋体"/>
          <w:sz w:val="24"/>
          <w:szCs w:val="24"/>
        </w:rPr>
      </w:pPr>
      <w:r>
        <w:rPr>
          <w:rFonts w:ascii="宋体" w:hAnsi="宋体" w:eastAsia="宋体" w:cs="宋体"/>
          <w:spacing w:val="-5"/>
          <w:sz w:val="24"/>
          <w:szCs w:val="24"/>
        </w:rPr>
        <w:t>(1)《政府采购促进中小企业发展管理办法》（财库〔2020〕4</w:t>
      </w:r>
      <w:r>
        <w:rPr>
          <w:rFonts w:ascii="宋体" w:hAnsi="宋体" w:eastAsia="宋体" w:cs="宋体"/>
          <w:spacing w:val="-6"/>
          <w:sz w:val="24"/>
          <w:szCs w:val="24"/>
        </w:rPr>
        <w:t>6号</w:t>
      </w:r>
      <w:r>
        <w:rPr>
          <w:rFonts w:ascii="宋体" w:hAnsi="宋体" w:eastAsia="宋体" w:cs="宋体"/>
          <w:spacing w:val="-62"/>
          <w:w w:val="97"/>
          <w:sz w:val="24"/>
          <w:szCs w:val="24"/>
        </w:rPr>
        <w:t>）；</w:t>
      </w:r>
    </w:p>
    <w:p w14:paraId="39864FD3">
      <w:pPr>
        <w:spacing w:before="183" w:line="360" w:lineRule="auto"/>
        <w:ind w:left="504" w:right="132" w:firstLine="41"/>
        <w:outlineLvl w:val="9"/>
        <w:rPr>
          <w:rFonts w:ascii="宋体" w:hAnsi="宋体" w:eastAsia="宋体" w:cs="宋体"/>
          <w:sz w:val="24"/>
          <w:szCs w:val="24"/>
        </w:rPr>
      </w:pPr>
      <w:r>
        <w:rPr>
          <w:rFonts w:ascii="宋体" w:hAnsi="宋体" w:eastAsia="宋体" w:cs="宋体"/>
          <w:spacing w:val="-5"/>
          <w:sz w:val="24"/>
          <w:szCs w:val="24"/>
        </w:rPr>
        <w:t>(2)《财政部司法部关于政府采购支持监狱企业发展有关问题的通知》（财</w:t>
      </w:r>
      <w:r>
        <w:rPr>
          <w:rFonts w:ascii="宋体" w:hAnsi="宋体" w:eastAsia="宋体" w:cs="宋体"/>
          <w:spacing w:val="-3"/>
          <w:sz w:val="24"/>
          <w:szCs w:val="24"/>
        </w:rPr>
        <w:t>库〔2014〕68号</w:t>
      </w:r>
      <w:r>
        <w:rPr>
          <w:rFonts w:ascii="宋体" w:hAnsi="宋体" w:eastAsia="宋体" w:cs="宋体"/>
          <w:spacing w:val="-44"/>
          <w:sz w:val="24"/>
          <w:szCs w:val="24"/>
        </w:rPr>
        <w:t>）；</w:t>
      </w:r>
    </w:p>
    <w:p w14:paraId="0E97A918">
      <w:pPr>
        <w:spacing w:before="182" w:line="360" w:lineRule="auto"/>
        <w:ind w:left="25" w:right="108" w:firstLine="520"/>
        <w:outlineLvl w:val="9"/>
        <w:rPr>
          <w:rFonts w:ascii="宋体" w:hAnsi="宋体" w:eastAsia="宋体" w:cs="宋体"/>
          <w:sz w:val="24"/>
          <w:szCs w:val="24"/>
        </w:rPr>
      </w:pPr>
      <w:r>
        <w:rPr>
          <w:rFonts w:ascii="宋体" w:hAnsi="宋体" w:eastAsia="宋体" w:cs="宋体"/>
          <w:spacing w:val="-1"/>
          <w:sz w:val="24"/>
          <w:szCs w:val="24"/>
        </w:rPr>
        <w:t>(3)《财政部、民政部、中国残疾人联合会关于促进残疾人就业政府采购政</w:t>
      </w:r>
      <w:r>
        <w:rPr>
          <w:rFonts w:ascii="宋体" w:hAnsi="宋体" w:eastAsia="宋体" w:cs="宋体"/>
          <w:spacing w:val="-11"/>
          <w:sz w:val="24"/>
          <w:szCs w:val="24"/>
        </w:rPr>
        <w:t>策的通知》（财库[2017]141号）。</w:t>
      </w:r>
    </w:p>
    <w:p w14:paraId="26A71C59">
      <w:pPr>
        <w:spacing w:before="183" w:line="360" w:lineRule="auto"/>
        <w:ind w:left="55" w:right="105" w:firstLine="459"/>
        <w:outlineLvl w:val="9"/>
        <w:rPr>
          <w:rFonts w:ascii="宋体" w:hAnsi="宋体" w:eastAsia="宋体" w:cs="宋体"/>
          <w:sz w:val="24"/>
          <w:szCs w:val="24"/>
        </w:rPr>
      </w:pPr>
      <w:r>
        <w:rPr>
          <w:rFonts w:ascii="宋体" w:hAnsi="宋体" w:eastAsia="宋体" w:cs="宋体"/>
          <w:spacing w:val="-7"/>
          <w:sz w:val="24"/>
          <w:szCs w:val="24"/>
        </w:rPr>
        <w:t>（</w:t>
      </w:r>
      <w:r>
        <w:rPr>
          <w:rFonts w:ascii="Calibri" w:hAnsi="Calibri" w:eastAsia="Calibri" w:cs="Calibri"/>
          <w:spacing w:val="-7"/>
          <w:sz w:val="24"/>
          <w:szCs w:val="24"/>
        </w:rPr>
        <w:t>4</w:t>
      </w:r>
      <w:r>
        <w:rPr>
          <w:rFonts w:ascii="宋体" w:hAnsi="宋体" w:eastAsia="宋体" w:cs="宋体"/>
          <w:spacing w:val="-7"/>
          <w:sz w:val="24"/>
          <w:szCs w:val="24"/>
        </w:rPr>
        <w:t>）《国务院办公厅关于建立政府强制采购节能产品制度的通知》（国办发〔</w:t>
      </w:r>
      <w:r>
        <w:rPr>
          <w:rFonts w:ascii="Calibri" w:hAnsi="Calibri" w:eastAsia="Calibri" w:cs="Calibri"/>
          <w:spacing w:val="-7"/>
          <w:sz w:val="24"/>
          <w:szCs w:val="24"/>
        </w:rPr>
        <w:t>2007</w:t>
      </w:r>
      <w:r>
        <w:rPr>
          <w:rFonts w:ascii="宋体" w:hAnsi="宋体" w:eastAsia="宋体" w:cs="宋体"/>
          <w:spacing w:val="-7"/>
          <w:sz w:val="24"/>
          <w:szCs w:val="24"/>
        </w:rPr>
        <w:t>〕</w:t>
      </w:r>
      <w:r>
        <w:rPr>
          <w:rFonts w:ascii="Calibri" w:hAnsi="Calibri" w:eastAsia="Calibri" w:cs="Calibri"/>
          <w:spacing w:val="-7"/>
          <w:sz w:val="24"/>
          <w:szCs w:val="24"/>
        </w:rPr>
        <w:t>51</w:t>
      </w:r>
      <w:r>
        <w:rPr>
          <w:rFonts w:ascii="宋体" w:hAnsi="宋体" w:eastAsia="宋体" w:cs="宋体"/>
          <w:spacing w:val="-7"/>
          <w:sz w:val="24"/>
          <w:szCs w:val="24"/>
        </w:rPr>
        <w:t>号</w:t>
      </w:r>
      <w:r>
        <w:rPr>
          <w:rFonts w:ascii="宋体" w:hAnsi="宋体" w:eastAsia="宋体" w:cs="宋体"/>
          <w:spacing w:val="-43"/>
          <w:sz w:val="24"/>
          <w:szCs w:val="24"/>
        </w:rPr>
        <w:t>）；</w:t>
      </w:r>
    </w:p>
    <w:p w14:paraId="48E5B0E2">
      <w:pPr>
        <w:spacing w:before="181" w:line="360" w:lineRule="auto"/>
        <w:ind w:left="514"/>
        <w:outlineLvl w:val="9"/>
        <w:rPr>
          <w:rFonts w:ascii="宋体" w:hAnsi="宋体" w:eastAsia="宋体" w:cs="宋体"/>
          <w:sz w:val="24"/>
          <w:szCs w:val="24"/>
        </w:rPr>
      </w:pPr>
      <w:r>
        <w:rPr>
          <w:rFonts w:ascii="宋体" w:hAnsi="宋体" w:eastAsia="宋体" w:cs="宋体"/>
          <w:spacing w:val="-9"/>
          <w:sz w:val="24"/>
          <w:szCs w:val="24"/>
        </w:rPr>
        <w:t>（</w:t>
      </w:r>
      <w:r>
        <w:rPr>
          <w:rFonts w:ascii="Calibri" w:hAnsi="Calibri" w:eastAsia="Calibri" w:cs="Calibri"/>
          <w:spacing w:val="-9"/>
          <w:sz w:val="24"/>
          <w:szCs w:val="24"/>
        </w:rPr>
        <w:t>5</w:t>
      </w:r>
      <w:r>
        <w:rPr>
          <w:rFonts w:ascii="宋体" w:hAnsi="宋体" w:eastAsia="宋体" w:cs="宋体"/>
          <w:spacing w:val="-9"/>
          <w:sz w:val="24"/>
          <w:szCs w:val="24"/>
        </w:rPr>
        <w:t>）《节能产品政府采购实施意见》（财库</w:t>
      </w:r>
      <w:r>
        <w:rPr>
          <w:rFonts w:ascii="Calibri" w:hAnsi="Calibri" w:eastAsia="Calibri" w:cs="Calibri"/>
          <w:spacing w:val="-9"/>
          <w:sz w:val="24"/>
          <w:szCs w:val="24"/>
        </w:rPr>
        <w:t>[2</w:t>
      </w:r>
      <w:r>
        <w:rPr>
          <w:rFonts w:ascii="Calibri" w:hAnsi="Calibri" w:eastAsia="Calibri" w:cs="Calibri"/>
          <w:spacing w:val="-10"/>
          <w:sz w:val="24"/>
          <w:szCs w:val="24"/>
        </w:rPr>
        <w:t>004]185</w:t>
      </w:r>
      <w:r>
        <w:rPr>
          <w:rFonts w:ascii="宋体" w:hAnsi="宋体" w:eastAsia="宋体" w:cs="宋体"/>
          <w:spacing w:val="-10"/>
          <w:sz w:val="24"/>
          <w:szCs w:val="24"/>
        </w:rPr>
        <w:t>号</w:t>
      </w:r>
      <w:r>
        <w:rPr>
          <w:rFonts w:ascii="宋体" w:hAnsi="宋体" w:eastAsia="宋体" w:cs="宋体"/>
          <w:spacing w:val="-62"/>
          <w:w w:val="97"/>
          <w:sz w:val="24"/>
          <w:szCs w:val="24"/>
        </w:rPr>
        <w:t>）；</w:t>
      </w:r>
    </w:p>
    <w:p w14:paraId="19FAE8D6">
      <w:pPr>
        <w:spacing w:before="193" w:line="360" w:lineRule="auto"/>
        <w:ind w:left="514"/>
        <w:outlineLvl w:val="9"/>
        <w:rPr>
          <w:rFonts w:ascii="宋体" w:hAnsi="宋体" w:eastAsia="宋体" w:cs="宋体"/>
          <w:sz w:val="24"/>
          <w:szCs w:val="24"/>
        </w:rPr>
      </w:pPr>
      <w:r>
        <w:rPr>
          <w:rFonts w:ascii="宋体" w:hAnsi="宋体" w:eastAsia="宋体" w:cs="宋体"/>
          <w:spacing w:val="-9"/>
          <w:sz w:val="24"/>
          <w:szCs w:val="24"/>
        </w:rPr>
        <w:t>（</w:t>
      </w:r>
      <w:r>
        <w:rPr>
          <w:rFonts w:ascii="Calibri" w:hAnsi="Calibri" w:eastAsia="Calibri" w:cs="Calibri"/>
          <w:spacing w:val="-9"/>
          <w:sz w:val="24"/>
          <w:szCs w:val="24"/>
        </w:rPr>
        <w:t>6</w:t>
      </w:r>
      <w:r>
        <w:rPr>
          <w:rFonts w:ascii="宋体" w:hAnsi="宋体" w:eastAsia="宋体" w:cs="宋体"/>
          <w:spacing w:val="-9"/>
          <w:sz w:val="24"/>
          <w:szCs w:val="24"/>
        </w:rPr>
        <w:t>）《环境标志产品政府采购实施的意见》（财库</w:t>
      </w:r>
      <w:r>
        <w:rPr>
          <w:rFonts w:ascii="Calibri" w:hAnsi="Calibri" w:eastAsia="Calibri" w:cs="Calibri"/>
          <w:spacing w:val="-9"/>
          <w:sz w:val="24"/>
          <w:szCs w:val="24"/>
        </w:rPr>
        <w:t>[2006]90</w:t>
      </w:r>
      <w:r>
        <w:rPr>
          <w:rFonts w:ascii="宋体" w:hAnsi="宋体" w:eastAsia="宋体" w:cs="宋体"/>
          <w:spacing w:val="-9"/>
          <w:sz w:val="24"/>
          <w:szCs w:val="24"/>
        </w:rPr>
        <w:t>号</w:t>
      </w:r>
      <w:r>
        <w:rPr>
          <w:rFonts w:ascii="宋体" w:hAnsi="宋体" w:eastAsia="宋体" w:cs="宋体"/>
          <w:spacing w:val="-64"/>
          <w:sz w:val="24"/>
          <w:szCs w:val="24"/>
        </w:rPr>
        <w:t>）；</w:t>
      </w:r>
    </w:p>
    <w:p w14:paraId="39584A9F">
      <w:pPr>
        <w:spacing w:before="193" w:line="360" w:lineRule="auto"/>
        <w:ind w:left="22" w:right="25" w:firstLine="492"/>
        <w:outlineLvl w:val="9"/>
        <w:rPr>
          <w:rFonts w:ascii="宋体" w:hAnsi="宋体" w:eastAsia="宋体" w:cs="宋体"/>
          <w:sz w:val="24"/>
          <w:szCs w:val="24"/>
        </w:rPr>
      </w:pPr>
      <w:r>
        <w:rPr>
          <w:rFonts w:ascii="宋体" w:hAnsi="宋体" w:eastAsia="宋体" w:cs="宋体"/>
          <w:spacing w:val="-14"/>
          <w:sz w:val="24"/>
          <w:szCs w:val="24"/>
        </w:rPr>
        <w:t>（</w:t>
      </w:r>
      <w:r>
        <w:rPr>
          <w:rFonts w:ascii="Calibri" w:hAnsi="Calibri" w:eastAsia="Calibri" w:cs="Calibri"/>
          <w:spacing w:val="-14"/>
          <w:sz w:val="24"/>
          <w:szCs w:val="24"/>
        </w:rPr>
        <w:t>7</w:t>
      </w:r>
      <w:r>
        <w:rPr>
          <w:rFonts w:ascii="宋体" w:hAnsi="宋体" w:eastAsia="宋体" w:cs="宋体"/>
          <w:spacing w:val="-14"/>
          <w:sz w:val="24"/>
          <w:szCs w:val="24"/>
        </w:rPr>
        <w:t>）《陕西省中小企业政府采购信用融资办法》（陕财办采</w:t>
      </w:r>
      <w:r>
        <w:rPr>
          <w:rFonts w:ascii="宋体" w:hAnsi="宋体" w:eastAsia="宋体" w:cs="宋体"/>
          <w:spacing w:val="-15"/>
          <w:sz w:val="24"/>
          <w:szCs w:val="24"/>
        </w:rPr>
        <w:t>〔</w:t>
      </w:r>
      <w:r>
        <w:rPr>
          <w:rFonts w:ascii="Calibri" w:hAnsi="Calibri" w:eastAsia="Calibri" w:cs="Calibri"/>
          <w:spacing w:val="-15"/>
          <w:sz w:val="24"/>
          <w:szCs w:val="24"/>
        </w:rPr>
        <w:t>2018</w:t>
      </w:r>
      <w:r>
        <w:rPr>
          <w:rFonts w:ascii="宋体" w:hAnsi="宋体" w:eastAsia="宋体" w:cs="宋体"/>
          <w:spacing w:val="-15"/>
          <w:sz w:val="24"/>
          <w:szCs w:val="24"/>
        </w:rPr>
        <w:t>〕</w:t>
      </w:r>
      <w:r>
        <w:rPr>
          <w:rFonts w:ascii="Calibri" w:hAnsi="Calibri" w:eastAsia="Calibri" w:cs="Calibri"/>
          <w:spacing w:val="-15"/>
          <w:sz w:val="24"/>
          <w:szCs w:val="24"/>
        </w:rPr>
        <w:t>23</w:t>
      </w:r>
      <w:r>
        <w:rPr>
          <w:rFonts w:ascii="宋体" w:hAnsi="宋体" w:eastAsia="宋体" w:cs="宋体"/>
          <w:spacing w:val="-15"/>
          <w:sz w:val="24"/>
          <w:szCs w:val="24"/>
        </w:rPr>
        <w:t>号）。</w:t>
      </w:r>
      <w:r>
        <w:rPr>
          <w:rFonts w:ascii="宋体" w:hAnsi="宋体" w:eastAsia="宋体" w:cs="宋体"/>
          <w:sz w:val="24"/>
          <w:szCs w:val="24"/>
        </w:rPr>
        <w:t>在政府采购活动中，供应商提供的货物、工程或者服务符合下列情形的，享受</w:t>
      </w:r>
      <w:r>
        <w:rPr>
          <w:rFonts w:ascii="宋体" w:hAnsi="宋体" w:eastAsia="宋体" w:cs="宋体"/>
          <w:spacing w:val="-1"/>
          <w:sz w:val="24"/>
          <w:szCs w:val="24"/>
        </w:rPr>
        <w:t>管理办法规定的中小企业扶持政策：</w:t>
      </w:r>
    </w:p>
    <w:p w14:paraId="230E7923">
      <w:pPr>
        <w:spacing w:before="183" w:line="360" w:lineRule="auto"/>
        <w:ind w:left="25" w:right="105" w:firstLine="489"/>
        <w:outlineLvl w:val="9"/>
        <w:rPr>
          <w:rFonts w:ascii="宋体" w:hAnsi="宋体" w:eastAsia="宋体" w:cs="宋体"/>
          <w:sz w:val="24"/>
          <w:szCs w:val="24"/>
        </w:rPr>
      </w:pPr>
      <w:r>
        <w:rPr>
          <w:rFonts w:ascii="Calibri" w:hAnsi="Calibri" w:eastAsia="Calibri" w:cs="Calibri"/>
          <w:sz w:val="24"/>
          <w:szCs w:val="24"/>
        </w:rPr>
        <w:t>1</w:t>
      </w:r>
      <w:r>
        <w:rPr>
          <w:rFonts w:ascii="宋体" w:hAnsi="宋体" w:eastAsia="宋体" w:cs="宋体"/>
          <w:sz w:val="24"/>
          <w:szCs w:val="24"/>
        </w:rPr>
        <w:t>）在货物采购项目中，货物由中小企业制造，即货物由中小企业生产且使</w:t>
      </w:r>
      <w:r>
        <w:rPr>
          <w:rFonts w:ascii="宋体" w:hAnsi="宋体" w:eastAsia="宋体" w:cs="宋体"/>
          <w:spacing w:val="-1"/>
          <w:sz w:val="24"/>
          <w:szCs w:val="24"/>
        </w:rPr>
        <w:t>用该中小企业商号或者注册商标；</w:t>
      </w:r>
    </w:p>
    <w:p w14:paraId="43618F4A">
      <w:pPr>
        <w:spacing w:before="181" w:line="360" w:lineRule="auto"/>
        <w:jc w:val="right"/>
        <w:outlineLvl w:val="9"/>
        <w:rPr>
          <w:rFonts w:ascii="宋体" w:hAnsi="宋体" w:eastAsia="宋体" w:cs="宋体"/>
          <w:sz w:val="24"/>
          <w:szCs w:val="24"/>
        </w:rPr>
      </w:pPr>
      <w:r>
        <w:rPr>
          <w:rFonts w:ascii="Calibri" w:hAnsi="Calibri" w:eastAsia="Calibri" w:cs="Calibri"/>
          <w:spacing w:val="-5"/>
          <w:sz w:val="24"/>
          <w:szCs w:val="24"/>
        </w:rPr>
        <w:t>2</w:t>
      </w:r>
      <w:r>
        <w:rPr>
          <w:rFonts w:ascii="宋体" w:hAnsi="宋体" w:eastAsia="宋体" w:cs="宋体"/>
          <w:spacing w:val="-5"/>
          <w:sz w:val="24"/>
          <w:szCs w:val="24"/>
        </w:rPr>
        <w:t>）在工程采购项目中，工程由中小企业承建，即工程施工单位为中小企业；</w:t>
      </w:r>
    </w:p>
    <w:p w14:paraId="25FD2A21">
      <w:pPr>
        <w:spacing w:before="185" w:line="360" w:lineRule="auto"/>
        <w:ind w:left="22" w:right="105" w:firstLine="483"/>
        <w:outlineLvl w:val="9"/>
        <w:rPr>
          <w:rFonts w:ascii="宋体" w:hAnsi="宋体" w:eastAsia="宋体" w:cs="宋体"/>
          <w:sz w:val="24"/>
          <w:szCs w:val="24"/>
        </w:rPr>
      </w:pPr>
      <w:r>
        <w:rPr>
          <w:rFonts w:ascii="Calibri" w:hAnsi="Calibri" w:eastAsia="Calibri" w:cs="Calibri"/>
          <w:sz w:val="24"/>
          <w:szCs w:val="24"/>
        </w:rPr>
        <w:t>3</w:t>
      </w:r>
      <w:r>
        <w:rPr>
          <w:rFonts w:ascii="宋体" w:hAnsi="宋体" w:eastAsia="宋体" w:cs="宋体"/>
          <w:sz w:val="24"/>
          <w:szCs w:val="24"/>
        </w:rPr>
        <w:t>）在服务采购项目中，服务由中小企业承接，即提供服务的人员为中小企业依照《中华人民共和国劳动合同法》订立</w:t>
      </w:r>
      <w:r>
        <w:rPr>
          <w:rFonts w:ascii="宋体" w:hAnsi="宋体" w:eastAsia="宋体" w:cs="宋体"/>
          <w:spacing w:val="-1"/>
          <w:sz w:val="24"/>
          <w:szCs w:val="24"/>
        </w:rPr>
        <w:t>劳动合同的从业人员。</w:t>
      </w:r>
    </w:p>
    <w:p w14:paraId="6A834262">
      <w:pPr>
        <w:spacing w:before="183" w:line="360" w:lineRule="auto"/>
        <w:ind w:left="55" w:right="105" w:firstLine="459"/>
        <w:outlineLvl w:val="9"/>
        <w:rPr>
          <w:rFonts w:ascii="宋体" w:hAnsi="宋体" w:eastAsia="宋体" w:cs="宋体"/>
          <w:spacing w:val="-7"/>
          <w:sz w:val="24"/>
          <w:szCs w:val="24"/>
        </w:rPr>
      </w:pPr>
      <w:r>
        <w:rPr>
          <w:rFonts w:ascii="宋体" w:hAnsi="宋体" w:eastAsia="宋体" w:cs="宋体"/>
          <w:spacing w:val="-7"/>
          <w:sz w:val="24"/>
          <w:szCs w:val="24"/>
        </w:rPr>
        <w:t>在货物采购项目中，供应商提供的货物既有中小企业制造货物，也有大型企业制造货物的，不享受管理办法规定的中小企业扶持政策。</w:t>
      </w:r>
    </w:p>
    <w:p w14:paraId="0EDDA74D">
      <w:pPr>
        <w:spacing w:before="183" w:line="360" w:lineRule="auto"/>
        <w:ind w:left="55" w:right="105" w:firstLine="459"/>
        <w:outlineLvl w:val="9"/>
        <w:rPr>
          <w:rFonts w:ascii="宋体" w:hAnsi="宋体" w:eastAsia="宋体" w:cs="宋体"/>
          <w:spacing w:val="-7"/>
          <w:sz w:val="24"/>
          <w:szCs w:val="24"/>
        </w:rPr>
      </w:pPr>
      <w:r>
        <w:rPr>
          <w:rFonts w:ascii="宋体" w:hAnsi="宋体" w:eastAsia="宋体" w:cs="宋体"/>
          <w:spacing w:val="-7"/>
          <w:sz w:val="24"/>
          <w:szCs w:val="24"/>
        </w:rPr>
        <w:t>以联合体形式参加政府采购活动，联合体各方均为中小企业的，联合体视同中小企业。其中，联合体各方均为小微企业的，联合体视同小微企业。</w:t>
      </w:r>
    </w:p>
    <w:p w14:paraId="72EAE5FC">
      <w:pPr>
        <w:spacing w:line="360" w:lineRule="auto"/>
        <w:ind w:left="503"/>
        <w:outlineLvl w:val="9"/>
        <w:rPr>
          <w:rFonts w:ascii="宋体" w:hAnsi="宋体" w:eastAsia="宋体" w:cs="宋体"/>
          <w:sz w:val="24"/>
          <w:szCs w:val="24"/>
        </w:rPr>
      </w:pPr>
      <w:r>
        <w:rPr>
          <w:rFonts w:ascii="宋体" w:hAnsi="宋体" w:eastAsia="宋体" w:cs="宋体"/>
          <w:b/>
          <w:bCs/>
          <w:spacing w:val="-3"/>
          <w:sz w:val="24"/>
          <w:szCs w:val="24"/>
        </w:rPr>
        <w:t>供应商为非联合体参与投标的情况：</w:t>
      </w:r>
    </w:p>
    <w:p w14:paraId="79C63454">
      <w:pPr>
        <w:spacing w:before="182" w:line="360" w:lineRule="auto"/>
        <w:ind w:left="25" w:right="208" w:firstLine="477"/>
        <w:outlineLvl w:val="9"/>
        <w:rPr>
          <w:rFonts w:ascii="宋体" w:hAnsi="宋体" w:eastAsia="宋体" w:cs="宋体"/>
          <w:sz w:val="24"/>
          <w:szCs w:val="24"/>
        </w:rPr>
      </w:pPr>
      <w:r>
        <w:rPr>
          <w:rFonts w:ascii="宋体" w:hAnsi="宋体" w:eastAsia="宋体" w:cs="宋体"/>
          <w:spacing w:val="-3"/>
          <w:sz w:val="24"/>
          <w:szCs w:val="24"/>
        </w:rPr>
        <w:t>①根据《政府采购促进中小企业发展管理办法》的相关规定，对</w:t>
      </w:r>
      <w:r>
        <w:rPr>
          <w:rFonts w:ascii="宋体" w:hAnsi="宋体" w:eastAsia="宋体" w:cs="宋体"/>
          <w:spacing w:val="-4"/>
          <w:sz w:val="24"/>
          <w:szCs w:val="24"/>
        </w:rPr>
        <w:t>于经主管预</w:t>
      </w:r>
      <w:r>
        <w:rPr>
          <w:rFonts w:ascii="宋体" w:hAnsi="宋体" w:eastAsia="宋体" w:cs="宋体"/>
          <w:spacing w:val="-3"/>
          <w:sz w:val="24"/>
          <w:szCs w:val="24"/>
        </w:rPr>
        <w:t>算单位统筹后未预留份额专门面向中小企业采购的采购项目，以及预留份额项目</w:t>
      </w:r>
      <w:r>
        <w:rPr>
          <w:rFonts w:ascii="宋体" w:hAnsi="宋体" w:eastAsia="宋体" w:cs="宋体"/>
          <w:spacing w:val="-2"/>
          <w:sz w:val="24"/>
          <w:szCs w:val="24"/>
        </w:rPr>
        <w:t>中的非预</w:t>
      </w:r>
      <w:r>
        <w:rPr>
          <w:rFonts w:ascii="Calibri" w:hAnsi="Calibri" w:eastAsia="Calibri" w:cs="Calibri"/>
          <w:spacing w:val="-2"/>
          <w:sz w:val="24"/>
          <w:szCs w:val="24"/>
        </w:rPr>
        <w:t>20%</w:t>
      </w:r>
      <w:r>
        <w:rPr>
          <w:rFonts w:ascii="宋体" w:hAnsi="宋体" w:eastAsia="宋体" w:cs="宋体"/>
          <w:spacing w:val="-2"/>
          <w:sz w:val="24"/>
          <w:szCs w:val="24"/>
        </w:rPr>
        <w:t>的扣除，用扣除后的价格参加评审。</w:t>
      </w:r>
    </w:p>
    <w:p w14:paraId="34A3BF43">
      <w:pPr>
        <w:spacing w:before="185" w:line="360" w:lineRule="auto"/>
        <w:ind w:left="29" w:right="27" w:firstLine="471"/>
        <w:outlineLvl w:val="9"/>
        <w:rPr>
          <w:rFonts w:ascii="宋体" w:hAnsi="宋体" w:eastAsia="宋体" w:cs="宋体"/>
          <w:sz w:val="24"/>
          <w:szCs w:val="24"/>
        </w:rPr>
      </w:pPr>
      <w:r>
        <w:rPr>
          <w:rFonts w:ascii="宋体" w:hAnsi="宋体" w:eastAsia="宋体" w:cs="宋体"/>
          <w:spacing w:val="-11"/>
          <w:sz w:val="24"/>
          <w:szCs w:val="24"/>
        </w:rPr>
        <w:t>②中小企业参加政府采购活动，应当出具管</w:t>
      </w:r>
      <w:r>
        <w:rPr>
          <w:rFonts w:ascii="宋体" w:hAnsi="宋体" w:eastAsia="宋体" w:cs="宋体"/>
          <w:spacing w:val="-12"/>
          <w:sz w:val="24"/>
          <w:szCs w:val="24"/>
        </w:rPr>
        <w:t>理办法规定的《中小企业声明函》，</w:t>
      </w:r>
      <w:r>
        <w:rPr>
          <w:rFonts w:ascii="宋体" w:hAnsi="宋体" w:eastAsia="宋体" w:cs="宋体"/>
          <w:spacing w:val="-3"/>
          <w:sz w:val="24"/>
          <w:szCs w:val="24"/>
        </w:rPr>
        <w:t>否则不得享受相关中小企业扶持政策。任何单位和个人不得要求供</w:t>
      </w:r>
      <w:r>
        <w:rPr>
          <w:rFonts w:ascii="宋体" w:hAnsi="宋体" w:eastAsia="宋体" w:cs="宋体"/>
          <w:spacing w:val="-4"/>
          <w:sz w:val="24"/>
          <w:szCs w:val="24"/>
        </w:rPr>
        <w:t>应商提供《中</w:t>
      </w:r>
      <w:r>
        <w:rPr>
          <w:rFonts w:ascii="宋体" w:hAnsi="宋体" w:eastAsia="宋体" w:cs="宋体"/>
          <w:spacing w:val="-1"/>
          <w:sz w:val="24"/>
          <w:szCs w:val="24"/>
        </w:rPr>
        <w:t>小企业声明函》之外的中小企业身份证明文件。</w:t>
      </w:r>
    </w:p>
    <w:p w14:paraId="4325DF47">
      <w:pPr>
        <w:spacing w:before="181" w:line="360" w:lineRule="auto"/>
        <w:ind w:left="43" w:right="208" w:firstLine="458"/>
        <w:outlineLvl w:val="9"/>
        <w:rPr>
          <w:rFonts w:ascii="宋体" w:hAnsi="宋体" w:eastAsia="宋体" w:cs="宋体"/>
          <w:sz w:val="24"/>
          <w:szCs w:val="24"/>
        </w:rPr>
      </w:pPr>
      <w:r>
        <w:rPr>
          <w:rFonts w:ascii="宋体" w:hAnsi="宋体" w:eastAsia="宋体" w:cs="宋体"/>
          <w:spacing w:val="-3"/>
          <w:sz w:val="24"/>
          <w:szCs w:val="24"/>
        </w:rPr>
        <w:t>③根据《财政部民政部中国残疾人联合会关于促进残疾人就业政府</w:t>
      </w:r>
      <w:r>
        <w:rPr>
          <w:rFonts w:ascii="宋体" w:hAnsi="宋体" w:eastAsia="宋体" w:cs="宋体"/>
          <w:spacing w:val="-4"/>
          <w:sz w:val="24"/>
          <w:szCs w:val="24"/>
        </w:rPr>
        <w:t>采购政策的通知》（财库〔</w:t>
      </w:r>
      <w:r>
        <w:rPr>
          <w:rFonts w:ascii="Calibri" w:hAnsi="Calibri" w:eastAsia="Calibri" w:cs="Calibri"/>
          <w:spacing w:val="-4"/>
          <w:sz w:val="24"/>
          <w:szCs w:val="24"/>
        </w:rPr>
        <w:t>2017</w:t>
      </w:r>
      <w:r>
        <w:rPr>
          <w:rFonts w:ascii="宋体" w:hAnsi="宋体" w:eastAsia="宋体" w:cs="宋体"/>
          <w:spacing w:val="-4"/>
          <w:sz w:val="24"/>
          <w:szCs w:val="24"/>
        </w:rPr>
        <w:t>〕</w:t>
      </w:r>
      <w:r>
        <w:rPr>
          <w:rFonts w:ascii="Calibri" w:hAnsi="Calibri" w:eastAsia="Calibri" w:cs="Calibri"/>
          <w:spacing w:val="-4"/>
          <w:sz w:val="24"/>
          <w:szCs w:val="24"/>
        </w:rPr>
        <w:t>141</w:t>
      </w:r>
      <w:r>
        <w:rPr>
          <w:rFonts w:ascii="宋体" w:hAnsi="宋体" w:eastAsia="宋体" w:cs="宋体"/>
          <w:spacing w:val="-4"/>
          <w:sz w:val="24"/>
          <w:szCs w:val="24"/>
        </w:rPr>
        <w:t>号）的规定，对符合条件的残疾人福利性单位产品</w:t>
      </w:r>
      <w:r>
        <w:rPr>
          <w:rFonts w:ascii="宋体" w:hAnsi="宋体" w:eastAsia="宋体" w:cs="宋体"/>
          <w:spacing w:val="-2"/>
          <w:sz w:val="24"/>
          <w:szCs w:val="24"/>
        </w:rPr>
        <w:t>的价格给予</w:t>
      </w:r>
      <w:r>
        <w:rPr>
          <w:rFonts w:ascii="Calibri" w:hAnsi="Calibri" w:eastAsia="Calibri" w:cs="Calibri"/>
          <w:spacing w:val="-2"/>
          <w:sz w:val="24"/>
          <w:szCs w:val="24"/>
        </w:rPr>
        <w:t>10%</w:t>
      </w:r>
      <w:r>
        <w:rPr>
          <w:rFonts w:ascii="宋体" w:hAnsi="宋体" w:eastAsia="宋体" w:cs="宋体"/>
          <w:spacing w:val="-2"/>
          <w:sz w:val="24"/>
          <w:szCs w:val="24"/>
        </w:rPr>
        <w:t>的扣除，用扣除后的价格</w:t>
      </w:r>
      <w:r>
        <w:rPr>
          <w:rFonts w:ascii="宋体" w:hAnsi="宋体" w:eastAsia="宋体" w:cs="宋体"/>
          <w:spacing w:val="-3"/>
          <w:sz w:val="24"/>
          <w:szCs w:val="24"/>
        </w:rPr>
        <w:t>参与评审。</w:t>
      </w:r>
    </w:p>
    <w:p w14:paraId="0ED202FF">
      <w:pPr>
        <w:spacing w:before="185" w:line="360" w:lineRule="auto"/>
        <w:ind w:left="46" w:right="208" w:firstLine="454"/>
        <w:outlineLvl w:val="9"/>
        <w:rPr>
          <w:rFonts w:ascii="宋体" w:hAnsi="宋体" w:eastAsia="宋体" w:cs="宋体"/>
          <w:sz w:val="24"/>
          <w:szCs w:val="24"/>
        </w:rPr>
      </w:pPr>
      <w:r>
        <w:rPr>
          <w:rFonts w:ascii="宋体" w:hAnsi="宋体" w:eastAsia="宋体" w:cs="宋体"/>
          <w:spacing w:val="-3"/>
          <w:sz w:val="24"/>
          <w:szCs w:val="24"/>
        </w:rPr>
        <w:t>④中小企业、监狱企业级和残疾人福利企业优惠政策同中小企业，</w:t>
      </w:r>
      <w:r>
        <w:rPr>
          <w:rFonts w:ascii="宋体" w:hAnsi="宋体" w:eastAsia="宋体" w:cs="宋体"/>
          <w:spacing w:val="-4"/>
          <w:sz w:val="24"/>
          <w:szCs w:val="24"/>
        </w:rPr>
        <w:t>以上政策</w:t>
      </w:r>
      <w:r>
        <w:rPr>
          <w:rFonts w:ascii="宋体" w:hAnsi="宋体" w:eastAsia="宋体" w:cs="宋体"/>
          <w:spacing w:val="-2"/>
          <w:sz w:val="24"/>
          <w:szCs w:val="24"/>
        </w:rPr>
        <w:t>同时具备的仅对其进行一次</w:t>
      </w:r>
      <w:r>
        <w:rPr>
          <w:rFonts w:ascii="Calibri" w:hAnsi="Calibri" w:eastAsia="Calibri" w:cs="Calibri"/>
          <w:spacing w:val="-2"/>
          <w:sz w:val="24"/>
          <w:szCs w:val="24"/>
        </w:rPr>
        <w:t>10%</w:t>
      </w:r>
      <w:r>
        <w:rPr>
          <w:rFonts w:ascii="宋体" w:hAnsi="宋体" w:eastAsia="宋体" w:cs="宋体"/>
          <w:spacing w:val="-2"/>
          <w:sz w:val="24"/>
          <w:szCs w:val="24"/>
        </w:rPr>
        <w:t>的价格扣除，不重复</w:t>
      </w:r>
      <w:r>
        <w:rPr>
          <w:rFonts w:ascii="宋体" w:hAnsi="宋体" w:eastAsia="宋体" w:cs="宋体"/>
          <w:spacing w:val="-3"/>
          <w:sz w:val="24"/>
          <w:szCs w:val="24"/>
        </w:rPr>
        <w:t>扣除。</w:t>
      </w:r>
    </w:p>
    <w:p w14:paraId="6A94EE1E">
      <w:pPr>
        <w:spacing w:before="185" w:line="360" w:lineRule="auto"/>
        <w:ind w:left="24" w:right="208" w:firstLine="478"/>
        <w:outlineLvl w:val="9"/>
        <w:rPr>
          <w:rFonts w:ascii="宋体" w:hAnsi="宋体" w:eastAsia="宋体" w:cs="宋体"/>
          <w:sz w:val="24"/>
          <w:szCs w:val="24"/>
        </w:rPr>
      </w:pPr>
      <w:r>
        <w:rPr>
          <w:rFonts w:ascii="宋体" w:hAnsi="宋体" w:eastAsia="宋体" w:cs="宋体"/>
          <w:spacing w:val="-3"/>
          <w:sz w:val="24"/>
          <w:szCs w:val="24"/>
        </w:rPr>
        <w:t>评审过程中，如涉及，在同等条件下优先采购具有环境标志、节</w:t>
      </w:r>
      <w:r>
        <w:rPr>
          <w:rFonts w:ascii="宋体" w:hAnsi="宋体" w:eastAsia="宋体" w:cs="宋体"/>
          <w:spacing w:val="-4"/>
          <w:sz w:val="24"/>
          <w:szCs w:val="24"/>
        </w:rPr>
        <w:t>能、自主创</w:t>
      </w:r>
      <w:r>
        <w:rPr>
          <w:rFonts w:ascii="宋体" w:hAnsi="宋体" w:eastAsia="宋体" w:cs="宋体"/>
          <w:spacing w:val="-3"/>
          <w:sz w:val="24"/>
          <w:szCs w:val="24"/>
        </w:rPr>
        <w:t>新的产品。</w:t>
      </w:r>
    </w:p>
    <w:p w14:paraId="497ADAA9">
      <w:pPr>
        <w:spacing w:before="2" w:line="360" w:lineRule="auto"/>
        <w:ind w:left="21" w:right="208" w:firstLine="481"/>
        <w:outlineLvl w:val="9"/>
        <w:rPr>
          <w:rFonts w:ascii="宋体" w:hAnsi="宋体" w:eastAsia="宋体" w:cs="宋体"/>
          <w:sz w:val="24"/>
          <w:szCs w:val="24"/>
        </w:rPr>
      </w:pPr>
      <w:r>
        <w:rPr>
          <w:rFonts w:ascii="宋体" w:hAnsi="宋体" w:eastAsia="宋体" w:cs="宋体"/>
          <w:spacing w:val="-3"/>
          <w:sz w:val="24"/>
          <w:szCs w:val="24"/>
        </w:rPr>
        <w:t>环境标志产品是指由财政部、国家环境保护总局颁布的环境标志</w:t>
      </w:r>
      <w:r>
        <w:rPr>
          <w:rFonts w:ascii="宋体" w:hAnsi="宋体" w:eastAsia="宋体" w:cs="宋体"/>
          <w:spacing w:val="-4"/>
          <w:sz w:val="24"/>
          <w:szCs w:val="24"/>
        </w:rPr>
        <w:t>产品政府采</w:t>
      </w:r>
      <w:r>
        <w:rPr>
          <w:rFonts w:ascii="宋体" w:hAnsi="宋体" w:eastAsia="宋体" w:cs="宋体"/>
          <w:spacing w:val="-2"/>
          <w:sz w:val="24"/>
          <w:szCs w:val="24"/>
        </w:rPr>
        <w:t>购清单”中的有效期内的产品。其评标价</w:t>
      </w:r>
      <w:r>
        <w:rPr>
          <w:rFonts w:ascii="Calibri" w:hAnsi="Calibri" w:eastAsia="Calibri" w:cs="Calibri"/>
          <w:spacing w:val="-2"/>
          <w:sz w:val="24"/>
          <w:szCs w:val="24"/>
        </w:rPr>
        <w:t>=</w:t>
      </w:r>
      <w:r>
        <w:rPr>
          <w:rFonts w:ascii="宋体" w:hAnsi="宋体" w:eastAsia="宋体" w:cs="宋体"/>
          <w:spacing w:val="-2"/>
          <w:sz w:val="24"/>
          <w:szCs w:val="24"/>
        </w:rPr>
        <w:t>投标报价</w:t>
      </w:r>
      <w:r>
        <w:rPr>
          <w:rFonts w:ascii="Calibri" w:hAnsi="Calibri" w:eastAsia="Calibri" w:cs="Calibri"/>
          <w:spacing w:val="-2"/>
          <w:sz w:val="24"/>
          <w:szCs w:val="24"/>
        </w:rPr>
        <w:t>*</w:t>
      </w:r>
      <w:r>
        <w:rPr>
          <w:rFonts w:ascii="宋体" w:hAnsi="宋体" w:eastAsia="宋体" w:cs="宋体"/>
          <w:spacing w:val="-2"/>
          <w:sz w:val="24"/>
          <w:szCs w:val="24"/>
        </w:rPr>
        <w:t>（</w:t>
      </w:r>
      <w:r>
        <w:rPr>
          <w:rFonts w:ascii="Calibri" w:hAnsi="Calibri" w:eastAsia="Calibri" w:cs="Calibri"/>
          <w:spacing w:val="-2"/>
          <w:sz w:val="24"/>
          <w:szCs w:val="24"/>
        </w:rPr>
        <w:t>1-1%</w:t>
      </w:r>
      <w:r>
        <w:rPr>
          <w:rFonts w:ascii="宋体" w:hAnsi="宋体" w:eastAsia="宋体" w:cs="宋体"/>
          <w:spacing w:val="-60"/>
          <w:sz w:val="24"/>
          <w:szCs w:val="24"/>
        </w:rPr>
        <w:t>）；</w:t>
      </w:r>
    </w:p>
    <w:p w14:paraId="6D9FBB85">
      <w:pPr>
        <w:spacing w:line="360" w:lineRule="auto"/>
        <w:ind w:left="46" w:firstLine="457"/>
        <w:outlineLvl w:val="9"/>
        <w:rPr>
          <w:rFonts w:ascii="宋体" w:hAnsi="宋体" w:eastAsia="宋体" w:cs="宋体"/>
          <w:sz w:val="24"/>
          <w:szCs w:val="24"/>
        </w:rPr>
      </w:pPr>
      <w:r>
        <w:rPr>
          <w:rFonts w:ascii="宋体" w:hAnsi="宋体" w:eastAsia="宋体" w:cs="宋体"/>
          <w:spacing w:val="2"/>
          <w:sz w:val="24"/>
          <w:szCs w:val="24"/>
        </w:rPr>
        <w:t>节能产品是指由财政部、国家发展改革委颁布的“节能产品政府采购清单”</w:t>
      </w:r>
      <w:r>
        <w:rPr>
          <w:rFonts w:ascii="宋体" w:hAnsi="宋体" w:eastAsia="宋体" w:cs="宋体"/>
          <w:spacing w:val="-2"/>
          <w:sz w:val="24"/>
          <w:szCs w:val="24"/>
        </w:rPr>
        <w:t>中的有效期内的产品。其评标价</w:t>
      </w:r>
      <w:r>
        <w:rPr>
          <w:rFonts w:ascii="Calibri" w:hAnsi="Calibri" w:eastAsia="Calibri" w:cs="Calibri"/>
          <w:spacing w:val="-2"/>
          <w:sz w:val="24"/>
          <w:szCs w:val="24"/>
        </w:rPr>
        <w:t>=</w:t>
      </w:r>
      <w:r>
        <w:rPr>
          <w:rFonts w:ascii="宋体" w:hAnsi="宋体" w:eastAsia="宋体" w:cs="宋体"/>
          <w:spacing w:val="-2"/>
          <w:sz w:val="24"/>
          <w:szCs w:val="24"/>
        </w:rPr>
        <w:t>投标报价</w:t>
      </w:r>
      <w:r>
        <w:rPr>
          <w:rFonts w:ascii="Calibri" w:hAnsi="Calibri" w:eastAsia="Calibri" w:cs="Calibri"/>
          <w:spacing w:val="-2"/>
          <w:sz w:val="24"/>
          <w:szCs w:val="24"/>
        </w:rPr>
        <w:t>*</w:t>
      </w:r>
      <w:r>
        <w:rPr>
          <w:rFonts w:ascii="宋体" w:hAnsi="宋体" w:eastAsia="宋体" w:cs="宋体"/>
          <w:spacing w:val="-2"/>
          <w:sz w:val="24"/>
          <w:szCs w:val="24"/>
        </w:rPr>
        <w:t>（</w:t>
      </w:r>
      <w:r>
        <w:rPr>
          <w:rFonts w:ascii="Calibri" w:hAnsi="Calibri" w:eastAsia="Calibri" w:cs="Calibri"/>
          <w:spacing w:val="-2"/>
          <w:sz w:val="24"/>
          <w:szCs w:val="24"/>
        </w:rPr>
        <w:t>1-3%</w:t>
      </w:r>
      <w:r>
        <w:rPr>
          <w:rFonts w:ascii="宋体" w:hAnsi="宋体" w:eastAsia="宋体" w:cs="宋体"/>
          <w:spacing w:val="-60"/>
          <w:sz w:val="24"/>
          <w:szCs w:val="24"/>
        </w:rPr>
        <w:t>）；</w:t>
      </w:r>
    </w:p>
    <w:p w14:paraId="30B282E7">
      <w:pPr>
        <w:spacing w:line="360" w:lineRule="auto"/>
        <w:ind w:left="21" w:right="109" w:firstLine="481"/>
        <w:jc w:val="both"/>
        <w:outlineLvl w:val="9"/>
        <w:rPr>
          <w:rFonts w:ascii="宋体" w:hAnsi="宋体" w:eastAsia="宋体" w:cs="宋体"/>
          <w:sz w:val="24"/>
          <w:szCs w:val="24"/>
        </w:rPr>
      </w:pPr>
      <w:r>
        <w:rPr>
          <w:rFonts w:ascii="宋体" w:hAnsi="宋体" w:eastAsia="宋体" w:cs="宋体"/>
          <w:spacing w:val="-3"/>
          <w:sz w:val="24"/>
          <w:szCs w:val="24"/>
        </w:rPr>
        <w:t>根据《政府采购促进中小企业发展管理办法》及《财政部司法部</w:t>
      </w:r>
      <w:r>
        <w:rPr>
          <w:rFonts w:ascii="宋体" w:hAnsi="宋体" w:eastAsia="宋体" w:cs="宋体"/>
          <w:spacing w:val="-4"/>
          <w:sz w:val="24"/>
          <w:szCs w:val="24"/>
        </w:rPr>
        <w:t>关于政府采</w:t>
      </w:r>
      <w:r>
        <w:rPr>
          <w:rFonts w:ascii="宋体" w:hAnsi="宋体" w:eastAsia="宋体" w:cs="宋体"/>
          <w:spacing w:val="-3"/>
          <w:sz w:val="24"/>
          <w:szCs w:val="24"/>
        </w:rPr>
        <w:t>购支持监狱企业发展有关问题的通知》，属中小企业的，供应商须提供《中小企业声明函》，其划型标准严格按照工业和信息化部、国家统计局、国家发展和改</w:t>
      </w:r>
      <w:r>
        <w:rPr>
          <w:rFonts w:ascii="宋体" w:hAnsi="宋体" w:eastAsia="宋体" w:cs="宋体"/>
          <w:spacing w:val="-9"/>
          <w:sz w:val="24"/>
          <w:szCs w:val="24"/>
        </w:rPr>
        <w:t>革委员会、财政部出台的《中小企业划型标准规定》（工信部联企业</w:t>
      </w:r>
      <w:r>
        <w:rPr>
          <w:rFonts w:ascii="Calibri" w:hAnsi="Calibri" w:eastAsia="Calibri" w:cs="Calibri"/>
          <w:spacing w:val="-9"/>
          <w:sz w:val="24"/>
          <w:szCs w:val="24"/>
        </w:rPr>
        <w:t>[2011]300</w:t>
      </w:r>
      <w:r>
        <w:rPr>
          <w:rFonts w:ascii="宋体" w:hAnsi="宋体" w:eastAsia="宋体" w:cs="宋体"/>
          <w:spacing w:val="-9"/>
          <w:sz w:val="24"/>
          <w:szCs w:val="24"/>
        </w:rPr>
        <w:t>号）</w:t>
      </w:r>
      <w:r>
        <w:rPr>
          <w:rFonts w:ascii="宋体" w:hAnsi="宋体" w:eastAsia="宋体" w:cs="宋体"/>
          <w:sz w:val="24"/>
          <w:szCs w:val="24"/>
        </w:rPr>
        <w:t>执行。提供其他小微企业制造的货物时还需提供货物制造商</w:t>
      </w:r>
      <w:r>
        <w:rPr>
          <w:rFonts w:ascii="宋体" w:hAnsi="宋体" w:eastAsia="宋体" w:cs="宋体"/>
          <w:spacing w:val="-1"/>
          <w:sz w:val="24"/>
          <w:szCs w:val="24"/>
        </w:rPr>
        <w:t>的小微企业声明函。</w:t>
      </w:r>
    </w:p>
    <w:p w14:paraId="2247E7BD">
      <w:pPr>
        <w:spacing w:before="124" w:line="360" w:lineRule="auto"/>
        <w:ind w:left="27" w:right="39" w:firstLine="477"/>
        <w:outlineLvl w:val="9"/>
        <w:rPr>
          <w:rFonts w:ascii="宋体" w:hAnsi="宋体" w:eastAsia="宋体" w:cs="宋体"/>
          <w:spacing w:val="-1"/>
          <w:sz w:val="24"/>
          <w:szCs w:val="24"/>
        </w:rPr>
      </w:pPr>
      <w:r>
        <w:rPr>
          <w:rFonts w:ascii="宋体" w:hAnsi="宋体" w:eastAsia="宋体" w:cs="宋体"/>
          <w:spacing w:val="-3"/>
          <w:sz w:val="24"/>
          <w:szCs w:val="24"/>
        </w:rPr>
        <w:t>供应商提供的《中小企业声明函》必须真实有效，如果被举报经</w:t>
      </w:r>
      <w:r>
        <w:rPr>
          <w:rFonts w:ascii="宋体" w:hAnsi="宋体" w:eastAsia="宋体" w:cs="宋体"/>
          <w:spacing w:val="-4"/>
          <w:sz w:val="24"/>
          <w:szCs w:val="24"/>
        </w:rPr>
        <w:t>查实出具虚</w:t>
      </w:r>
      <w:r>
        <w:rPr>
          <w:rFonts w:ascii="宋体" w:hAnsi="宋体" w:eastAsia="宋体" w:cs="宋体"/>
          <w:spacing w:val="-3"/>
          <w:sz w:val="24"/>
          <w:szCs w:val="24"/>
        </w:rPr>
        <w:t>假声明函的，将被取消投标资格，并按有关规定予以处理。监狱、戒毒企业视同</w:t>
      </w:r>
      <w:r>
        <w:rPr>
          <w:rFonts w:ascii="宋体" w:hAnsi="宋体" w:eastAsia="宋体" w:cs="宋体"/>
          <w:spacing w:val="-1"/>
          <w:sz w:val="24"/>
          <w:szCs w:val="24"/>
        </w:rPr>
        <w:t>小微企业，享受政府采购相关政策；</w:t>
      </w:r>
    </w:p>
    <w:p w14:paraId="09523D9F">
      <w:pPr>
        <w:spacing w:before="124" w:line="360" w:lineRule="auto"/>
        <w:ind w:left="27" w:right="39" w:firstLine="477"/>
        <w:outlineLvl w:val="9"/>
        <w:rPr>
          <w:rFonts w:ascii="宋体" w:hAnsi="宋体" w:eastAsia="宋体" w:cs="宋体"/>
          <w:sz w:val="24"/>
          <w:szCs w:val="24"/>
        </w:rPr>
      </w:pPr>
      <w:r>
        <w:rPr>
          <w:rFonts w:ascii="宋体" w:hAnsi="宋体" w:eastAsia="宋体" w:cs="宋体"/>
          <w:spacing w:val="2"/>
          <w:sz w:val="24"/>
          <w:szCs w:val="24"/>
        </w:rPr>
        <w:t>监狱和戒毒企业须提供由省级以上监狱管理局、戒毒管理局</w:t>
      </w:r>
      <w:r>
        <w:rPr>
          <w:rFonts w:ascii="Calibri" w:hAnsi="Calibri" w:eastAsia="Calibri" w:cs="Calibri"/>
          <w:spacing w:val="2"/>
          <w:sz w:val="24"/>
          <w:szCs w:val="24"/>
        </w:rPr>
        <w:t>(</w:t>
      </w:r>
      <w:r>
        <w:rPr>
          <w:rFonts w:ascii="宋体" w:hAnsi="宋体" w:eastAsia="宋体" w:cs="宋体"/>
          <w:spacing w:val="2"/>
          <w:sz w:val="24"/>
          <w:szCs w:val="24"/>
        </w:rPr>
        <w:t>含新</w:t>
      </w:r>
      <w:r>
        <w:rPr>
          <w:rFonts w:ascii="宋体" w:hAnsi="宋体" w:eastAsia="宋体" w:cs="宋体"/>
          <w:spacing w:val="1"/>
          <w:sz w:val="24"/>
          <w:szCs w:val="24"/>
        </w:rPr>
        <w:t>疆生产建</w:t>
      </w:r>
      <w:r>
        <w:rPr>
          <w:rFonts w:ascii="宋体" w:hAnsi="宋体" w:eastAsia="宋体" w:cs="宋体"/>
          <w:spacing w:val="-1"/>
          <w:sz w:val="24"/>
          <w:szCs w:val="24"/>
        </w:rPr>
        <w:t>设兵团</w:t>
      </w:r>
      <w:r>
        <w:rPr>
          <w:rFonts w:ascii="Calibri" w:hAnsi="Calibri" w:eastAsia="Calibri" w:cs="Calibri"/>
          <w:spacing w:val="-1"/>
          <w:sz w:val="24"/>
          <w:szCs w:val="24"/>
        </w:rPr>
        <w:t>)</w:t>
      </w:r>
      <w:r>
        <w:rPr>
          <w:rFonts w:ascii="宋体" w:hAnsi="宋体" w:eastAsia="宋体" w:cs="宋体"/>
          <w:spacing w:val="-1"/>
          <w:sz w:val="24"/>
          <w:szCs w:val="24"/>
        </w:rPr>
        <w:t>出具的属于监狱企业的证明文件。</w:t>
      </w:r>
    </w:p>
    <w:p w14:paraId="180A639C">
      <w:pPr>
        <w:spacing w:before="7" w:line="360" w:lineRule="auto"/>
        <w:ind w:left="22" w:firstLine="480"/>
        <w:outlineLvl w:val="9"/>
        <w:rPr>
          <w:rFonts w:ascii="宋体" w:hAnsi="宋体" w:eastAsia="宋体" w:cs="宋体"/>
          <w:sz w:val="24"/>
          <w:szCs w:val="24"/>
        </w:rPr>
      </w:pPr>
      <w:r>
        <w:rPr>
          <w:rFonts w:ascii="宋体" w:hAnsi="宋体" w:eastAsia="宋体" w:cs="宋体"/>
          <w:spacing w:val="-5"/>
          <w:sz w:val="24"/>
          <w:szCs w:val="24"/>
        </w:rPr>
        <w:t>根据《财政部民政部中国残疾人联合会关于促进残疾</w:t>
      </w:r>
      <w:r>
        <w:rPr>
          <w:rFonts w:ascii="宋体" w:hAnsi="宋体" w:eastAsia="宋体" w:cs="宋体"/>
          <w:spacing w:val="-6"/>
          <w:sz w:val="24"/>
          <w:szCs w:val="24"/>
        </w:rPr>
        <w:t>人就业政府采购政策</w:t>
      </w:r>
      <w:r>
        <w:rPr>
          <w:rFonts w:ascii="宋体" w:hAnsi="宋体" w:eastAsia="宋体" w:cs="宋体"/>
          <w:spacing w:val="-8"/>
          <w:sz w:val="24"/>
          <w:szCs w:val="24"/>
        </w:rPr>
        <w:t>的通知》（财库〔</w:t>
      </w:r>
      <w:r>
        <w:rPr>
          <w:rFonts w:ascii="Calibri" w:hAnsi="Calibri" w:eastAsia="Calibri" w:cs="Calibri"/>
          <w:spacing w:val="-8"/>
          <w:sz w:val="24"/>
          <w:szCs w:val="24"/>
        </w:rPr>
        <w:t>2017</w:t>
      </w:r>
      <w:r>
        <w:rPr>
          <w:rFonts w:ascii="宋体" w:hAnsi="宋体" w:eastAsia="宋体" w:cs="宋体"/>
          <w:spacing w:val="-8"/>
          <w:sz w:val="24"/>
          <w:szCs w:val="24"/>
        </w:rPr>
        <w:t>〕，符合条件的残疾人福利性单位在参加政府</w:t>
      </w:r>
      <w:r>
        <w:rPr>
          <w:rFonts w:ascii="宋体" w:hAnsi="宋体" w:eastAsia="宋体" w:cs="宋体"/>
          <w:spacing w:val="-9"/>
          <w:sz w:val="24"/>
          <w:szCs w:val="24"/>
        </w:rPr>
        <w:t>采购活动时，</w:t>
      </w:r>
      <w:r>
        <w:rPr>
          <w:rFonts w:ascii="宋体" w:hAnsi="宋体" w:eastAsia="宋体" w:cs="宋体"/>
          <w:spacing w:val="-4"/>
          <w:sz w:val="24"/>
          <w:szCs w:val="24"/>
        </w:rPr>
        <w:t>应当提供本通知规定的《残疾人福利性单位声</w:t>
      </w:r>
      <w:r>
        <w:rPr>
          <w:rFonts w:ascii="宋体" w:hAnsi="宋体" w:eastAsia="宋体" w:cs="宋体"/>
          <w:spacing w:val="-5"/>
          <w:sz w:val="24"/>
          <w:szCs w:val="24"/>
        </w:rPr>
        <w:t>明函》（见附件</w:t>
      </w:r>
      <w:r>
        <w:rPr>
          <w:rFonts w:ascii="宋体" w:hAnsi="宋体" w:eastAsia="宋体" w:cs="宋体"/>
          <w:spacing w:val="-53"/>
          <w:sz w:val="24"/>
          <w:szCs w:val="24"/>
        </w:rPr>
        <w:t>），</w:t>
      </w:r>
      <w:r>
        <w:rPr>
          <w:rFonts w:ascii="宋体" w:hAnsi="宋体" w:eastAsia="宋体" w:cs="宋体"/>
          <w:spacing w:val="-5"/>
          <w:sz w:val="24"/>
          <w:szCs w:val="24"/>
        </w:rPr>
        <w:t>并对声明的真</w:t>
      </w:r>
      <w:r>
        <w:rPr>
          <w:rFonts w:ascii="宋体" w:hAnsi="宋体" w:eastAsia="宋体" w:cs="宋体"/>
          <w:spacing w:val="-3"/>
          <w:sz w:val="24"/>
          <w:szCs w:val="24"/>
        </w:rPr>
        <w:t>实性负责。中标、成交供应商为残疾人福利性单位的，采购人或者其委托的采购</w:t>
      </w:r>
      <w:r>
        <w:rPr>
          <w:rFonts w:ascii="宋体" w:hAnsi="宋体" w:eastAsia="宋体" w:cs="宋体"/>
          <w:spacing w:val="-4"/>
          <w:sz w:val="24"/>
          <w:szCs w:val="24"/>
        </w:rPr>
        <w:t>代理机构应当随中标、成交结果同时公告其《残疾人福利性单位声明函》，接受</w:t>
      </w:r>
      <w:r>
        <w:rPr>
          <w:rFonts w:ascii="宋体" w:hAnsi="宋体" w:eastAsia="宋体" w:cs="宋体"/>
          <w:spacing w:val="-3"/>
          <w:sz w:val="24"/>
          <w:szCs w:val="24"/>
        </w:rPr>
        <w:t>社会监督。供应商提供的《残疾人福利性单位声明函》与事实不符的，依照《政</w:t>
      </w:r>
      <w:r>
        <w:rPr>
          <w:rFonts w:ascii="宋体" w:hAnsi="宋体" w:eastAsia="宋体" w:cs="宋体"/>
          <w:spacing w:val="-1"/>
          <w:sz w:val="24"/>
          <w:szCs w:val="24"/>
        </w:rPr>
        <w:t>府采购法》第七十七条第一款的规定追究法律责任。</w:t>
      </w:r>
    </w:p>
    <w:p w14:paraId="5AB77E9D">
      <w:pPr>
        <w:spacing w:line="360" w:lineRule="auto"/>
        <w:ind w:left="23"/>
        <w:outlineLvl w:val="9"/>
        <w:rPr>
          <w:rFonts w:ascii="宋体" w:hAnsi="宋体" w:eastAsia="宋体" w:cs="宋体"/>
          <w:sz w:val="24"/>
          <w:szCs w:val="24"/>
        </w:rPr>
      </w:pPr>
      <w:r>
        <w:rPr>
          <w:rFonts w:ascii="宋体" w:hAnsi="宋体" w:eastAsia="宋体" w:cs="宋体"/>
          <w:b/>
          <w:bCs/>
          <w:spacing w:val="-4"/>
          <w:sz w:val="24"/>
          <w:szCs w:val="24"/>
        </w:rPr>
        <w:t>三、谈判方法</w:t>
      </w:r>
    </w:p>
    <w:p w14:paraId="7FDF4D2A">
      <w:pPr>
        <w:spacing w:before="105" w:line="360" w:lineRule="auto"/>
        <w:ind w:left="22" w:right="39" w:firstLine="498"/>
        <w:outlineLvl w:val="9"/>
        <w:rPr>
          <w:rFonts w:ascii="宋体" w:hAnsi="宋体" w:eastAsia="宋体" w:cs="宋体"/>
          <w:sz w:val="24"/>
          <w:szCs w:val="24"/>
        </w:rPr>
      </w:pPr>
      <w:r>
        <w:rPr>
          <w:rFonts w:ascii="宋体" w:hAnsi="宋体" w:eastAsia="宋体" w:cs="宋体"/>
          <w:sz w:val="24"/>
          <w:szCs w:val="24"/>
        </w:rPr>
        <w:t>1、谈判原则：按照财政部令《第74号》文件精神，谈判方式应采取</w:t>
      </w:r>
      <w:r>
        <w:rPr>
          <w:rFonts w:ascii="宋体" w:hAnsi="宋体" w:eastAsia="宋体" w:cs="宋体"/>
          <w:spacing w:val="-1"/>
          <w:sz w:val="24"/>
          <w:szCs w:val="24"/>
        </w:rPr>
        <w:t>“符</w:t>
      </w:r>
      <w:r>
        <w:rPr>
          <w:rFonts w:ascii="宋体" w:hAnsi="宋体" w:eastAsia="宋体" w:cs="宋体"/>
          <w:spacing w:val="-3"/>
          <w:sz w:val="24"/>
          <w:szCs w:val="24"/>
        </w:rPr>
        <w:t>合采购需求情况下，坚持低价优先原则。”谈判小组应当从质量和服务均能满足谈判文件实质性要求的供应商中，按照最后报价由低到高的顺序推荐成交候选供</w:t>
      </w:r>
      <w:r>
        <w:rPr>
          <w:rFonts w:ascii="宋体" w:hAnsi="宋体" w:eastAsia="宋体" w:cs="宋体"/>
          <w:spacing w:val="-1"/>
          <w:sz w:val="24"/>
          <w:szCs w:val="24"/>
        </w:rPr>
        <w:t>应商，经采购人确认，以供应商的最低报价作为成交价格。</w:t>
      </w:r>
    </w:p>
    <w:p w14:paraId="421AA6C4">
      <w:pPr>
        <w:spacing w:before="184" w:line="360" w:lineRule="auto"/>
        <w:ind w:left="23" w:right="39" w:firstLine="482"/>
        <w:outlineLvl w:val="9"/>
        <w:rPr>
          <w:rFonts w:ascii="宋体" w:hAnsi="宋体" w:eastAsia="宋体" w:cs="宋体"/>
          <w:sz w:val="24"/>
          <w:szCs w:val="24"/>
        </w:rPr>
      </w:pPr>
      <w:r>
        <w:rPr>
          <w:rFonts w:ascii="宋体" w:hAnsi="宋体" w:eastAsia="宋体" w:cs="宋体"/>
          <w:sz w:val="24"/>
          <w:szCs w:val="24"/>
        </w:rPr>
        <w:t>2、谈判程序：分步评审，每一步评审不符合者，不进入下一步评审。由谈</w:t>
      </w:r>
      <w:r>
        <w:rPr>
          <w:rFonts w:ascii="宋体" w:hAnsi="宋体" w:eastAsia="宋体" w:cs="宋体"/>
          <w:spacing w:val="-3"/>
          <w:sz w:val="24"/>
          <w:szCs w:val="24"/>
        </w:rPr>
        <w:t>判小组成员集中与单一参加谈判的供应商分别进行谈判，可以进行多轮报价，直</w:t>
      </w:r>
      <w:r>
        <w:rPr>
          <w:rFonts w:ascii="宋体" w:hAnsi="宋体" w:eastAsia="宋体" w:cs="宋体"/>
          <w:spacing w:val="-2"/>
          <w:sz w:val="24"/>
          <w:szCs w:val="24"/>
        </w:rPr>
        <w:t>至采购方满意为止。</w:t>
      </w:r>
    </w:p>
    <w:p w14:paraId="2802428B">
      <w:pPr>
        <w:spacing w:before="184" w:line="360" w:lineRule="auto"/>
        <w:ind w:left="22" w:right="42" w:firstLine="485"/>
        <w:outlineLvl w:val="9"/>
        <w:rPr>
          <w:rFonts w:ascii="宋体" w:hAnsi="宋体" w:eastAsia="宋体" w:cs="宋体"/>
          <w:sz w:val="24"/>
          <w:szCs w:val="24"/>
        </w:rPr>
      </w:pPr>
      <w:r>
        <w:rPr>
          <w:rFonts w:ascii="宋体" w:hAnsi="宋体" w:eastAsia="宋体" w:cs="宋体"/>
          <w:sz w:val="24"/>
          <w:szCs w:val="24"/>
        </w:rPr>
        <w:t>3、竞争性谈判确定的最终价格及服务等仍不能满足采购人的要求，采购人</w:t>
      </w:r>
      <w:r>
        <w:rPr>
          <w:rFonts w:ascii="宋体" w:hAnsi="宋体" w:eastAsia="宋体" w:cs="宋体"/>
          <w:spacing w:val="-1"/>
          <w:sz w:val="24"/>
          <w:szCs w:val="24"/>
        </w:rPr>
        <w:t>及谈判小组将保留最终放弃本次谈判的权利。</w:t>
      </w:r>
    </w:p>
    <w:p w14:paraId="5855FCF7">
      <w:pPr>
        <w:spacing w:before="183" w:line="360" w:lineRule="auto"/>
        <w:ind w:left="46"/>
        <w:outlineLvl w:val="9"/>
        <w:rPr>
          <w:rFonts w:ascii="宋体" w:hAnsi="宋体" w:eastAsia="宋体" w:cs="宋体"/>
          <w:sz w:val="24"/>
          <w:szCs w:val="24"/>
        </w:rPr>
      </w:pPr>
      <w:r>
        <w:rPr>
          <w:rFonts w:ascii="宋体" w:hAnsi="宋体" w:eastAsia="宋体" w:cs="宋体"/>
          <w:b/>
          <w:bCs/>
          <w:spacing w:val="-9"/>
          <w:sz w:val="24"/>
          <w:szCs w:val="24"/>
        </w:rPr>
        <w:t>四、成交：</w:t>
      </w:r>
    </w:p>
    <w:p w14:paraId="2A4ECB3B">
      <w:pPr>
        <w:spacing w:before="181" w:line="360" w:lineRule="auto"/>
        <w:ind w:left="41"/>
        <w:outlineLvl w:val="9"/>
        <w:rPr>
          <w:rFonts w:ascii="宋体" w:hAnsi="宋体" w:eastAsia="宋体" w:cs="宋体"/>
          <w:sz w:val="24"/>
          <w:szCs w:val="24"/>
        </w:rPr>
      </w:pPr>
      <w:r>
        <w:rPr>
          <w:rFonts w:ascii="宋体" w:hAnsi="宋体" w:eastAsia="宋体" w:cs="宋体"/>
          <w:spacing w:val="-2"/>
          <w:sz w:val="24"/>
          <w:szCs w:val="24"/>
        </w:rPr>
        <w:t>1、评审结果报告由全体评委签字确认。</w:t>
      </w:r>
    </w:p>
    <w:p w14:paraId="6FC342EB">
      <w:pPr>
        <w:spacing w:before="185" w:line="360" w:lineRule="auto"/>
        <w:ind w:left="22" w:right="39" w:firstLine="3"/>
        <w:outlineLvl w:val="9"/>
        <w:rPr>
          <w:rFonts w:ascii="宋体" w:hAnsi="宋体" w:eastAsia="宋体" w:cs="宋体"/>
          <w:sz w:val="24"/>
          <w:szCs w:val="24"/>
        </w:rPr>
      </w:pPr>
      <w:r>
        <w:rPr>
          <w:rFonts w:ascii="宋体" w:hAnsi="宋体" w:eastAsia="宋体" w:cs="宋体"/>
          <w:sz w:val="24"/>
          <w:szCs w:val="24"/>
        </w:rPr>
        <w:t>2、采购人根据谈判报告中推荐的成交候选人排列顺序确定成交人，以复函通知</w:t>
      </w:r>
      <w:r>
        <w:rPr>
          <w:rFonts w:ascii="宋体" w:hAnsi="宋体" w:eastAsia="宋体" w:cs="宋体"/>
          <w:spacing w:val="-2"/>
          <w:sz w:val="24"/>
          <w:szCs w:val="24"/>
        </w:rPr>
        <w:t>采购代理公司。</w:t>
      </w:r>
    </w:p>
    <w:p w14:paraId="266B15A3">
      <w:pPr>
        <w:spacing w:line="360" w:lineRule="auto"/>
        <w:outlineLvl w:val="9"/>
        <w:rPr>
          <w:rFonts w:ascii="宋体" w:hAnsi="宋体" w:eastAsia="宋体" w:cs="宋体"/>
          <w:sz w:val="24"/>
          <w:szCs w:val="24"/>
        </w:rPr>
        <w:sectPr>
          <w:footerReference r:id="rId13" w:type="default"/>
          <w:pgSz w:w="11906" w:h="16838"/>
          <w:pgMar w:top="1429" w:right="1786" w:bottom="1372" w:left="1786" w:header="0" w:footer="1208" w:gutter="0"/>
          <w:pgNumType w:fmt="decimal"/>
          <w:cols w:space="0" w:num="1"/>
          <w:rtlGutter w:val="0"/>
          <w:docGrid w:linePitch="0" w:charSpace="0"/>
        </w:sectPr>
      </w:pPr>
    </w:p>
    <w:p w14:paraId="1EA2E49A">
      <w:pPr>
        <w:pStyle w:val="4"/>
        <w:spacing w:line="360" w:lineRule="auto"/>
        <w:outlineLvl w:val="9"/>
      </w:pPr>
    </w:p>
    <w:p w14:paraId="3985155D">
      <w:pPr>
        <w:spacing w:before="114" w:line="360" w:lineRule="auto"/>
        <w:ind w:left="1379"/>
        <w:outlineLvl w:val="0"/>
        <w:rPr>
          <w:rFonts w:ascii="宋体" w:hAnsi="宋体" w:eastAsia="宋体" w:cs="宋体"/>
          <w:sz w:val="35"/>
          <w:szCs w:val="35"/>
        </w:rPr>
      </w:pPr>
      <w:bookmarkStart w:id="13" w:name="bookmark10"/>
      <w:bookmarkEnd w:id="13"/>
      <w:bookmarkStart w:id="14" w:name="_Toc9419"/>
      <w:r>
        <w:rPr>
          <w:rFonts w:ascii="宋体" w:hAnsi="宋体" w:eastAsia="宋体" w:cs="宋体"/>
          <w:b/>
          <w:bCs/>
          <w:spacing w:val="6"/>
          <w:sz w:val="35"/>
          <w:szCs w:val="35"/>
        </w:rPr>
        <w:t>第八部分竞争性谈判响应文件格式</w:t>
      </w:r>
      <w:bookmarkEnd w:id="14"/>
    </w:p>
    <w:p w14:paraId="20BD5242">
      <w:pPr>
        <w:pStyle w:val="4"/>
        <w:spacing w:line="360" w:lineRule="auto"/>
        <w:outlineLvl w:val="9"/>
      </w:pPr>
    </w:p>
    <w:p w14:paraId="2AF06E18">
      <w:pPr>
        <w:pStyle w:val="4"/>
        <w:spacing w:line="360" w:lineRule="auto"/>
        <w:outlineLvl w:val="9"/>
      </w:pPr>
    </w:p>
    <w:p w14:paraId="0407140C">
      <w:pPr>
        <w:spacing w:before="140" w:line="360" w:lineRule="auto"/>
        <w:ind w:right="18"/>
        <w:jc w:val="right"/>
        <w:outlineLvl w:val="9"/>
        <w:rPr>
          <w:rFonts w:ascii="宋体" w:hAnsi="宋体" w:eastAsia="宋体" w:cs="宋体"/>
          <w:sz w:val="28"/>
          <w:szCs w:val="28"/>
        </w:rPr>
      </w:pPr>
      <w:r>
        <w:rPr>
          <w:rFonts w:ascii="宋体" w:hAnsi="宋体" w:eastAsia="宋体" w:cs="宋体"/>
          <w:b/>
          <w:bCs/>
          <w:spacing w:val="-2"/>
          <w:sz w:val="28"/>
          <w:szCs w:val="28"/>
        </w:rPr>
        <w:t>正/副本</w:t>
      </w:r>
    </w:p>
    <w:p w14:paraId="49EE5076">
      <w:pPr>
        <w:spacing w:before="184" w:line="360" w:lineRule="auto"/>
        <w:ind w:left="23"/>
        <w:outlineLvl w:val="9"/>
        <w:rPr>
          <w:rFonts w:ascii="宋体" w:hAnsi="宋体" w:eastAsia="宋体" w:cs="宋体"/>
          <w:sz w:val="22"/>
          <w:szCs w:val="22"/>
        </w:rPr>
      </w:pPr>
      <w:r>
        <w:rPr>
          <w:rFonts w:ascii="宋体" w:hAnsi="宋体" w:eastAsia="宋体" w:cs="宋体"/>
          <w:b/>
          <w:bCs/>
          <w:spacing w:val="-4"/>
          <w:sz w:val="22"/>
          <w:szCs w:val="22"/>
        </w:rPr>
        <w:t>采购项目编号：</w:t>
      </w:r>
    </w:p>
    <w:p w14:paraId="49F6F4CE">
      <w:pPr>
        <w:pStyle w:val="4"/>
        <w:spacing w:line="360" w:lineRule="auto"/>
        <w:outlineLvl w:val="9"/>
        <w:rPr>
          <w:sz w:val="18"/>
          <w:szCs w:val="18"/>
        </w:rPr>
      </w:pPr>
    </w:p>
    <w:p w14:paraId="3329D26B">
      <w:pPr>
        <w:pStyle w:val="4"/>
        <w:spacing w:line="360" w:lineRule="auto"/>
        <w:outlineLvl w:val="9"/>
        <w:rPr>
          <w:sz w:val="18"/>
          <w:szCs w:val="18"/>
        </w:rPr>
      </w:pPr>
    </w:p>
    <w:p w14:paraId="0FE68236">
      <w:pPr>
        <w:pStyle w:val="4"/>
        <w:spacing w:line="360" w:lineRule="auto"/>
        <w:outlineLvl w:val="9"/>
        <w:rPr>
          <w:sz w:val="18"/>
          <w:szCs w:val="18"/>
        </w:rPr>
      </w:pPr>
    </w:p>
    <w:p w14:paraId="6CE18727">
      <w:pPr>
        <w:pStyle w:val="4"/>
        <w:spacing w:line="360" w:lineRule="auto"/>
        <w:jc w:val="center"/>
        <w:outlineLvl w:val="9"/>
        <w:rPr>
          <w:sz w:val="16"/>
          <w:szCs w:val="16"/>
        </w:rPr>
      </w:pPr>
      <w:r>
        <w:rPr>
          <w:rFonts w:hint="eastAsia" w:ascii="宋体" w:hAnsi="宋体" w:cs="宋体"/>
          <w:b/>
          <w:bCs/>
          <w:color w:val="auto"/>
          <w:sz w:val="40"/>
          <w:szCs w:val="40"/>
          <w:lang w:val="en-US" w:eastAsia="zh-CN"/>
        </w:rPr>
        <w:t>《绥德县丁家沟-十里铺饮用水水源地保护区撤销技术报告》编制服务项目</w:t>
      </w:r>
    </w:p>
    <w:p w14:paraId="30C6865E">
      <w:pPr>
        <w:pStyle w:val="4"/>
        <w:spacing w:line="360" w:lineRule="auto"/>
        <w:outlineLvl w:val="9"/>
        <w:rPr>
          <w:sz w:val="18"/>
          <w:szCs w:val="18"/>
        </w:rPr>
      </w:pPr>
    </w:p>
    <w:p w14:paraId="55ADB4DB">
      <w:pPr>
        <w:pStyle w:val="4"/>
        <w:spacing w:line="360" w:lineRule="auto"/>
        <w:outlineLvl w:val="9"/>
        <w:rPr>
          <w:sz w:val="18"/>
          <w:szCs w:val="18"/>
        </w:rPr>
      </w:pPr>
    </w:p>
    <w:p w14:paraId="304CC3DC">
      <w:pPr>
        <w:pStyle w:val="4"/>
        <w:spacing w:line="360" w:lineRule="auto"/>
        <w:outlineLvl w:val="9"/>
        <w:rPr>
          <w:sz w:val="18"/>
          <w:szCs w:val="18"/>
        </w:rPr>
      </w:pPr>
    </w:p>
    <w:p w14:paraId="23AC6DB3">
      <w:pPr>
        <w:spacing w:before="231" w:line="360" w:lineRule="auto"/>
        <w:jc w:val="center"/>
        <w:outlineLvl w:val="9"/>
        <w:rPr>
          <w:rFonts w:ascii="宋体" w:hAnsi="宋体" w:eastAsia="宋体" w:cs="宋体"/>
          <w:sz w:val="56"/>
          <w:szCs w:val="56"/>
        </w:rPr>
      </w:pPr>
      <w:bookmarkStart w:id="15" w:name="bookmark8"/>
      <w:bookmarkEnd w:id="15"/>
      <w:r>
        <w:rPr>
          <w:rFonts w:ascii="宋体" w:hAnsi="宋体" w:eastAsia="宋体" w:cs="宋体"/>
          <w:b/>
          <w:bCs/>
          <w:sz w:val="48"/>
          <w:szCs w:val="48"/>
        </w:rPr>
        <w:t>竞争性谈判响应文件</w:t>
      </w:r>
    </w:p>
    <w:p w14:paraId="5A55042D">
      <w:pPr>
        <w:pStyle w:val="4"/>
        <w:spacing w:line="360" w:lineRule="auto"/>
        <w:outlineLvl w:val="9"/>
      </w:pPr>
    </w:p>
    <w:p w14:paraId="1EEC8EBF">
      <w:pPr>
        <w:pStyle w:val="4"/>
        <w:spacing w:line="360" w:lineRule="auto"/>
        <w:outlineLvl w:val="9"/>
      </w:pPr>
    </w:p>
    <w:p w14:paraId="44E23A8C">
      <w:pPr>
        <w:pStyle w:val="4"/>
        <w:spacing w:line="360" w:lineRule="auto"/>
        <w:outlineLvl w:val="9"/>
      </w:pPr>
    </w:p>
    <w:p w14:paraId="57D6F181">
      <w:pPr>
        <w:pStyle w:val="4"/>
        <w:spacing w:line="360" w:lineRule="auto"/>
        <w:outlineLvl w:val="9"/>
      </w:pPr>
    </w:p>
    <w:p w14:paraId="52DA74DF">
      <w:pPr>
        <w:pStyle w:val="4"/>
        <w:spacing w:line="360" w:lineRule="auto"/>
        <w:outlineLvl w:val="9"/>
      </w:pPr>
    </w:p>
    <w:p w14:paraId="031EDFE4">
      <w:pPr>
        <w:spacing w:before="92" w:line="360" w:lineRule="auto"/>
        <w:ind w:leftChars="200"/>
        <w:outlineLvl w:val="9"/>
        <w:rPr>
          <w:rFonts w:ascii="宋体" w:hAnsi="宋体" w:eastAsia="宋体" w:cs="宋体"/>
          <w:sz w:val="28"/>
          <w:szCs w:val="28"/>
        </w:rPr>
      </w:pPr>
      <w:r>
        <w:rPr>
          <w:rFonts w:ascii="宋体" w:hAnsi="宋体" w:eastAsia="宋体" w:cs="宋体"/>
          <w:b/>
          <w:bCs/>
          <w:spacing w:val="2"/>
          <w:sz w:val="28"/>
          <w:szCs w:val="28"/>
        </w:rPr>
        <w:t>供应商</w:t>
      </w:r>
      <w:r>
        <w:rPr>
          <w:rFonts w:ascii="宋体" w:hAnsi="宋体" w:eastAsia="宋体" w:cs="宋体"/>
          <w:b/>
          <w:bCs/>
          <w:spacing w:val="-21"/>
          <w:sz w:val="28"/>
          <w:szCs w:val="28"/>
        </w:rPr>
        <w:t>：（</w:t>
      </w:r>
      <w:r>
        <w:rPr>
          <w:rFonts w:ascii="宋体" w:hAnsi="宋体" w:eastAsia="宋体" w:cs="宋体"/>
          <w:b/>
          <w:bCs/>
          <w:spacing w:val="2"/>
          <w:sz w:val="28"/>
          <w:szCs w:val="28"/>
        </w:rPr>
        <w:t>盖章）</w:t>
      </w:r>
    </w:p>
    <w:p w14:paraId="63919B5E">
      <w:pPr>
        <w:pStyle w:val="4"/>
        <w:spacing w:line="360" w:lineRule="auto"/>
        <w:ind w:leftChars="200"/>
        <w:outlineLvl w:val="9"/>
      </w:pPr>
    </w:p>
    <w:p w14:paraId="65A1B6F5">
      <w:pPr>
        <w:pStyle w:val="4"/>
        <w:spacing w:line="360" w:lineRule="auto"/>
        <w:ind w:leftChars="200"/>
        <w:outlineLvl w:val="9"/>
      </w:pPr>
    </w:p>
    <w:p w14:paraId="74D96226">
      <w:pPr>
        <w:pStyle w:val="4"/>
        <w:spacing w:line="360" w:lineRule="auto"/>
        <w:ind w:leftChars="200"/>
        <w:outlineLvl w:val="9"/>
      </w:pPr>
    </w:p>
    <w:p w14:paraId="5CFA14D8">
      <w:pPr>
        <w:spacing w:before="92" w:line="360" w:lineRule="auto"/>
        <w:ind w:leftChars="200"/>
        <w:outlineLvl w:val="9"/>
        <w:rPr>
          <w:rFonts w:hint="eastAsia" w:ascii="宋体" w:hAnsi="宋体" w:eastAsia="宋体" w:cs="宋体"/>
          <w:sz w:val="28"/>
          <w:szCs w:val="28"/>
          <w:lang w:eastAsia="zh-CN"/>
        </w:rPr>
      </w:pPr>
      <w:r>
        <w:rPr>
          <w:rFonts w:ascii="宋体" w:hAnsi="宋体" w:eastAsia="宋体" w:cs="宋体"/>
          <w:b/>
          <w:bCs/>
          <w:spacing w:val="-3"/>
          <w:sz w:val="28"/>
          <w:szCs w:val="28"/>
        </w:rPr>
        <w:t>法定代表人/负责人或被授权人</w:t>
      </w:r>
      <w:r>
        <w:rPr>
          <w:rFonts w:ascii="宋体" w:hAnsi="宋体" w:eastAsia="宋体" w:cs="宋体"/>
          <w:b/>
          <w:bCs/>
          <w:spacing w:val="-78"/>
          <w:sz w:val="28"/>
          <w:szCs w:val="28"/>
        </w:rPr>
        <w:t>：</w:t>
      </w:r>
    </w:p>
    <w:p w14:paraId="6E6A4428">
      <w:pPr>
        <w:pStyle w:val="4"/>
        <w:spacing w:line="360" w:lineRule="auto"/>
        <w:outlineLvl w:val="9"/>
      </w:pPr>
    </w:p>
    <w:p w14:paraId="2FB0FAC8">
      <w:pPr>
        <w:pStyle w:val="4"/>
        <w:spacing w:line="360" w:lineRule="auto"/>
        <w:outlineLvl w:val="9"/>
      </w:pPr>
    </w:p>
    <w:p w14:paraId="06A94347">
      <w:pPr>
        <w:pStyle w:val="4"/>
        <w:spacing w:line="360" w:lineRule="auto"/>
        <w:outlineLvl w:val="9"/>
      </w:pPr>
    </w:p>
    <w:p w14:paraId="1494C353">
      <w:pPr>
        <w:spacing w:before="91" w:line="360" w:lineRule="auto"/>
        <w:ind w:left="2777"/>
        <w:outlineLvl w:val="9"/>
        <w:rPr>
          <w:rFonts w:ascii="宋体" w:hAnsi="宋体" w:eastAsia="宋体" w:cs="宋体"/>
          <w:sz w:val="28"/>
          <w:szCs w:val="28"/>
        </w:rPr>
      </w:pPr>
      <w:r>
        <w:rPr>
          <w:rFonts w:ascii="宋体" w:hAnsi="宋体" w:eastAsia="宋体" w:cs="宋体"/>
          <w:b/>
          <w:bCs/>
          <w:spacing w:val="-7"/>
          <w:sz w:val="28"/>
          <w:szCs w:val="28"/>
        </w:rPr>
        <w:t>二零二</w:t>
      </w:r>
      <w:r>
        <w:rPr>
          <w:rFonts w:hint="eastAsia" w:ascii="宋体" w:hAnsi="宋体" w:eastAsia="宋体" w:cs="宋体"/>
          <w:b/>
          <w:bCs/>
          <w:spacing w:val="-7"/>
          <w:sz w:val="28"/>
          <w:szCs w:val="28"/>
          <w:lang w:val="en-US" w:eastAsia="zh-CN"/>
        </w:rPr>
        <w:t>六</w:t>
      </w:r>
      <w:r>
        <w:rPr>
          <w:rFonts w:ascii="宋体" w:hAnsi="宋体" w:eastAsia="宋体" w:cs="宋体"/>
          <w:b/>
          <w:bCs/>
          <w:spacing w:val="-7"/>
          <w:sz w:val="28"/>
          <w:szCs w:val="28"/>
        </w:rPr>
        <w:t>年</w:t>
      </w:r>
      <w:r>
        <w:rPr>
          <w:rFonts w:hint="eastAsia" w:ascii="宋体" w:hAnsi="宋体" w:eastAsia="宋体" w:cs="宋体"/>
          <w:b/>
          <w:bCs/>
          <w:spacing w:val="-7"/>
          <w:sz w:val="28"/>
          <w:szCs w:val="28"/>
          <w:lang w:val="en-US" w:eastAsia="zh-CN"/>
        </w:rPr>
        <w:t xml:space="preserve">  </w:t>
      </w:r>
      <w:r>
        <w:rPr>
          <w:rFonts w:ascii="宋体" w:hAnsi="宋体" w:eastAsia="宋体" w:cs="宋体"/>
          <w:b/>
          <w:bCs/>
          <w:spacing w:val="-7"/>
          <w:sz w:val="28"/>
          <w:szCs w:val="28"/>
        </w:rPr>
        <w:t>月</w:t>
      </w:r>
      <w:r>
        <w:rPr>
          <w:rFonts w:hint="eastAsia" w:ascii="宋体" w:hAnsi="宋体" w:eastAsia="宋体" w:cs="宋体"/>
          <w:b/>
          <w:bCs/>
          <w:spacing w:val="-7"/>
          <w:sz w:val="28"/>
          <w:szCs w:val="28"/>
          <w:lang w:val="en-US" w:eastAsia="zh-CN"/>
        </w:rPr>
        <w:t xml:space="preserve">  </w:t>
      </w:r>
      <w:r>
        <w:rPr>
          <w:rFonts w:ascii="宋体" w:hAnsi="宋体" w:eastAsia="宋体" w:cs="宋体"/>
          <w:b/>
          <w:bCs/>
          <w:spacing w:val="-7"/>
          <w:sz w:val="28"/>
          <w:szCs w:val="28"/>
        </w:rPr>
        <w:t>日</w:t>
      </w:r>
    </w:p>
    <w:p w14:paraId="5EBA2C8A">
      <w:pPr>
        <w:spacing w:line="360" w:lineRule="auto"/>
        <w:outlineLvl w:val="9"/>
        <w:rPr>
          <w:rFonts w:ascii="宋体" w:hAnsi="宋体" w:eastAsia="宋体" w:cs="宋体"/>
          <w:sz w:val="28"/>
          <w:szCs w:val="28"/>
        </w:rPr>
        <w:sectPr>
          <w:footerReference r:id="rId14" w:type="default"/>
          <w:pgSz w:w="11906" w:h="16838"/>
          <w:pgMar w:top="1429" w:right="1786" w:bottom="1372" w:left="1786" w:header="0" w:footer="1208" w:gutter="0"/>
          <w:pgNumType w:fmt="decimal"/>
          <w:cols w:space="0" w:num="1"/>
          <w:rtlGutter w:val="0"/>
          <w:docGrid w:linePitch="0" w:charSpace="0"/>
        </w:sectPr>
      </w:pPr>
    </w:p>
    <w:p w14:paraId="269FA99A">
      <w:pPr>
        <w:spacing w:before="101" w:line="360" w:lineRule="auto"/>
        <w:ind w:left="3607"/>
        <w:outlineLvl w:val="9"/>
        <w:rPr>
          <w:rFonts w:ascii="宋体" w:hAnsi="宋体" w:eastAsia="宋体" w:cs="宋体"/>
          <w:sz w:val="43"/>
          <w:szCs w:val="43"/>
        </w:rPr>
      </w:pPr>
      <w:r>
        <w:rPr>
          <w:rFonts w:ascii="宋体" w:hAnsi="宋体" w:eastAsia="宋体" w:cs="宋体"/>
          <w:b/>
          <w:bCs/>
          <w:spacing w:val="-51"/>
          <w:sz w:val="43"/>
          <w:szCs w:val="43"/>
        </w:rPr>
        <w:t>目录</w:t>
      </w:r>
    </w:p>
    <w:p w14:paraId="4504810C">
      <w:pPr>
        <w:spacing w:before="161" w:line="360" w:lineRule="auto"/>
        <w:ind w:left="3231"/>
        <w:outlineLvl w:val="9"/>
        <w:rPr>
          <w:rFonts w:ascii="宋体" w:hAnsi="宋体" w:eastAsia="宋体" w:cs="宋体"/>
          <w:sz w:val="31"/>
          <w:szCs w:val="31"/>
        </w:rPr>
      </w:pPr>
      <w:r>
        <w:rPr>
          <w:rFonts w:ascii="宋体" w:hAnsi="宋体" w:eastAsia="宋体" w:cs="宋体"/>
          <w:spacing w:val="4"/>
          <w:sz w:val="31"/>
          <w:szCs w:val="31"/>
        </w:rPr>
        <w:t>（格式自拟）</w:t>
      </w:r>
    </w:p>
    <w:p w14:paraId="1B1F6B61">
      <w:pPr>
        <w:spacing w:line="360" w:lineRule="auto"/>
        <w:outlineLvl w:val="9"/>
        <w:rPr>
          <w:rFonts w:ascii="宋体" w:hAnsi="宋体" w:eastAsia="宋体" w:cs="宋体"/>
          <w:sz w:val="31"/>
          <w:szCs w:val="31"/>
        </w:rPr>
        <w:sectPr>
          <w:footerReference r:id="rId15" w:type="default"/>
          <w:pgSz w:w="11906" w:h="16838"/>
          <w:pgMar w:top="1429" w:right="1786" w:bottom="1372" w:left="1786" w:header="0" w:footer="1208" w:gutter="0"/>
          <w:pgNumType w:fmt="decimal"/>
          <w:cols w:space="0" w:num="1"/>
          <w:rtlGutter w:val="0"/>
          <w:docGrid w:linePitch="0" w:charSpace="0"/>
        </w:sectPr>
      </w:pPr>
    </w:p>
    <w:p w14:paraId="3B9FFA77">
      <w:pPr>
        <w:spacing w:before="163" w:line="360" w:lineRule="auto"/>
        <w:ind w:left="3382"/>
        <w:outlineLvl w:val="9"/>
        <w:rPr>
          <w:rFonts w:ascii="宋体" w:hAnsi="宋体" w:eastAsia="宋体" w:cs="宋体"/>
          <w:sz w:val="31"/>
          <w:szCs w:val="31"/>
        </w:rPr>
      </w:pPr>
      <w:r>
        <w:rPr>
          <w:rFonts w:ascii="宋体" w:hAnsi="宋体" w:eastAsia="宋体" w:cs="宋体"/>
          <w:b/>
          <w:bCs/>
          <w:spacing w:val="3"/>
          <w:sz w:val="31"/>
          <w:szCs w:val="31"/>
        </w:rPr>
        <w:t>一、响应函</w:t>
      </w:r>
    </w:p>
    <w:p w14:paraId="623DE407">
      <w:pPr>
        <w:spacing w:before="204" w:line="360" w:lineRule="auto"/>
        <w:ind w:left="23"/>
        <w:outlineLvl w:val="9"/>
        <w:rPr>
          <w:rFonts w:hint="eastAsia" w:ascii="宋体" w:hAnsi="宋体" w:eastAsia="宋体" w:cs="宋体"/>
          <w:sz w:val="24"/>
          <w:szCs w:val="24"/>
          <w:lang w:eastAsia="zh-CN"/>
        </w:rPr>
      </w:pPr>
      <w:r>
        <w:rPr>
          <w:rFonts w:ascii="宋体" w:hAnsi="宋体" w:eastAsia="宋体" w:cs="宋体"/>
          <w:spacing w:val="-1"/>
          <w:sz w:val="24"/>
          <w:szCs w:val="24"/>
        </w:rPr>
        <w:t>致：</w:t>
      </w:r>
      <w:r>
        <w:rPr>
          <w:rFonts w:hint="eastAsia" w:ascii="宋体" w:hAnsi="宋体" w:eastAsia="宋体" w:cs="宋体"/>
          <w:spacing w:val="-1"/>
          <w:sz w:val="24"/>
          <w:szCs w:val="24"/>
          <w:lang w:eastAsia="zh-CN"/>
        </w:rPr>
        <w:t>陕西鸿茂鑫晟建设项目管理有限公司</w:t>
      </w:r>
    </w:p>
    <w:p w14:paraId="7F194FBF">
      <w:pPr>
        <w:tabs>
          <w:tab w:val="left" w:pos="2893"/>
        </w:tabs>
        <w:spacing w:before="193" w:line="360" w:lineRule="auto"/>
        <w:ind w:left="14" w:right="260" w:firstLine="549"/>
        <w:outlineLvl w:val="9"/>
        <w:rPr>
          <w:rFonts w:ascii="宋体" w:hAnsi="宋体" w:eastAsia="宋体" w:cs="宋体"/>
          <w:sz w:val="24"/>
          <w:szCs w:val="24"/>
        </w:rPr>
      </w:pPr>
      <w:r>
        <w:rPr>
          <w:rFonts w:ascii="宋体" w:hAnsi="宋体" w:eastAsia="宋体" w:cs="宋体"/>
          <w:sz w:val="24"/>
          <w:szCs w:val="24"/>
        </w:rPr>
        <w:t>根据已收到贵方的采购项目编号为</w:t>
      </w:r>
      <w:r>
        <w:rPr>
          <w:rFonts w:ascii="宋体" w:hAnsi="宋体" w:eastAsia="宋体" w:cs="宋体"/>
          <w:spacing w:val="-1"/>
          <w:sz w:val="24"/>
          <w:szCs w:val="24"/>
        </w:rPr>
        <w:t>（采购项目编号）的</w:t>
      </w:r>
      <w:r>
        <w:rPr>
          <w:rFonts w:ascii="宋体" w:hAnsi="宋体" w:eastAsia="宋体" w:cs="宋体"/>
          <w:sz w:val="24"/>
          <w:szCs w:val="24"/>
          <w:u w:val="single" w:color="auto"/>
        </w:rPr>
        <w:tab/>
      </w:r>
      <w:r>
        <w:rPr>
          <w:rFonts w:ascii="宋体" w:hAnsi="宋体" w:eastAsia="宋体" w:cs="宋体"/>
          <w:sz w:val="24"/>
          <w:szCs w:val="24"/>
        </w:rPr>
        <w:t>（采购项目名称）的竞争性谈判文件，签字代表</w:t>
      </w:r>
      <w:r>
        <w:rPr>
          <w:rFonts w:ascii="宋体" w:hAnsi="宋体" w:eastAsia="宋体" w:cs="宋体"/>
          <w:sz w:val="24"/>
          <w:szCs w:val="24"/>
          <w:u w:val="single" w:color="auto"/>
        </w:rPr>
        <w:tab/>
      </w:r>
      <w:r>
        <w:rPr>
          <w:rFonts w:ascii="宋体" w:hAnsi="宋体" w:eastAsia="宋体" w:cs="宋体"/>
          <w:sz w:val="24"/>
          <w:szCs w:val="24"/>
          <w:u w:val="single" w:color="auto"/>
        </w:rPr>
        <w:tab/>
      </w:r>
      <w:r>
        <w:rPr>
          <w:rFonts w:ascii="宋体" w:hAnsi="宋体" w:eastAsia="宋体" w:cs="宋体"/>
          <w:spacing w:val="-7"/>
          <w:sz w:val="24"/>
          <w:szCs w:val="24"/>
        </w:rPr>
        <w:t>(全名、职务)经正式授权并代表</w:t>
      </w:r>
      <w:r>
        <w:rPr>
          <w:rFonts w:ascii="宋体" w:hAnsi="宋体" w:eastAsia="宋体" w:cs="宋体"/>
          <w:spacing w:val="-8"/>
          <w:sz w:val="24"/>
          <w:szCs w:val="24"/>
        </w:rPr>
        <w:t>(供应</w:t>
      </w:r>
      <w:r>
        <w:rPr>
          <w:rFonts w:ascii="宋体" w:hAnsi="宋体" w:eastAsia="宋体" w:cs="宋体"/>
          <w:spacing w:val="-3"/>
          <w:sz w:val="24"/>
          <w:szCs w:val="24"/>
        </w:rPr>
        <w:t>商名称、地址、统一社会信用代码）。为此，我方郑重声明以下几点，并愿</w:t>
      </w:r>
      <w:r>
        <w:rPr>
          <w:rFonts w:ascii="宋体" w:hAnsi="宋体" w:eastAsia="宋体" w:cs="宋体"/>
          <w:spacing w:val="-4"/>
          <w:sz w:val="24"/>
          <w:szCs w:val="24"/>
        </w:rPr>
        <w:t>负法</w:t>
      </w:r>
      <w:r>
        <w:rPr>
          <w:rFonts w:ascii="宋体" w:hAnsi="宋体" w:eastAsia="宋体" w:cs="宋体"/>
          <w:spacing w:val="-3"/>
          <w:sz w:val="24"/>
          <w:szCs w:val="24"/>
        </w:rPr>
        <w:t>律责任。</w:t>
      </w:r>
    </w:p>
    <w:p w14:paraId="247BF0B1">
      <w:pPr>
        <w:spacing w:line="360" w:lineRule="auto"/>
        <w:ind w:left="545"/>
        <w:outlineLvl w:val="9"/>
        <w:rPr>
          <w:rFonts w:ascii="宋体" w:hAnsi="宋体" w:eastAsia="宋体" w:cs="宋体"/>
          <w:sz w:val="24"/>
          <w:szCs w:val="24"/>
        </w:rPr>
      </w:pPr>
      <w:r>
        <w:rPr>
          <w:rFonts w:ascii="宋体" w:hAnsi="宋体" w:eastAsia="宋体" w:cs="宋体"/>
          <w:spacing w:val="-10"/>
          <w:sz w:val="24"/>
          <w:szCs w:val="24"/>
        </w:rPr>
        <w:t>(1)谈判函</w:t>
      </w:r>
    </w:p>
    <w:p w14:paraId="1DAB99EA">
      <w:pPr>
        <w:spacing w:before="181" w:line="360" w:lineRule="auto"/>
        <w:ind w:left="545"/>
        <w:outlineLvl w:val="9"/>
        <w:rPr>
          <w:rFonts w:ascii="宋体" w:hAnsi="宋体" w:eastAsia="宋体" w:cs="宋体"/>
          <w:sz w:val="24"/>
          <w:szCs w:val="24"/>
        </w:rPr>
      </w:pPr>
      <w:r>
        <w:rPr>
          <w:rFonts w:ascii="宋体" w:hAnsi="宋体" w:eastAsia="宋体" w:cs="宋体"/>
          <w:spacing w:val="-6"/>
          <w:sz w:val="24"/>
          <w:szCs w:val="24"/>
        </w:rPr>
        <w:t>(2)报价一览表</w:t>
      </w:r>
    </w:p>
    <w:p w14:paraId="530643CF">
      <w:pPr>
        <w:spacing w:before="185" w:line="360" w:lineRule="auto"/>
        <w:jc w:val="right"/>
        <w:outlineLvl w:val="9"/>
        <w:rPr>
          <w:rFonts w:ascii="宋体" w:hAnsi="宋体" w:eastAsia="宋体" w:cs="宋体"/>
          <w:sz w:val="24"/>
          <w:szCs w:val="24"/>
        </w:rPr>
      </w:pPr>
      <w:r>
        <w:rPr>
          <w:rFonts w:ascii="宋体" w:hAnsi="宋体" w:eastAsia="宋体" w:cs="宋体"/>
          <w:spacing w:val="-3"/>
          <w:sz w:val="24"/>
          <w:szCs w:val="24"/>
        </w:rPr>
        <w:t>(3)按供应商须知要求提供的全部文件和竞争性谈判文件要求的响应文件。</w:t>
      </w:r>
    </w:p>
    <w:p w14:paraId="2E45984C">
      <w:pPr>
        <w:spacing w:before="183" w:line="360" w:lineRule="auto"/>
        <w:ind w:left="545"/>
        <w:outlineLvl w:val="9"/>
        <w:rPr>
          <w:rFonts w:ascii="宋体" w:hAnsi="宋体" w:eastAsia="宋体" w:cs="宋体"/>
          <w:sz w:val="24"/>
          <w:szCs w:val="24"/>
        </w:rPr>
      </w:pPr>
      <w:r>
        <w:rPr>
          <w:rFonts w:ascii="宋体" w:hAnsi="宋体" w:eastAsia="宋体" w:cs="宋体"/>
          <w:spacing w:val="-4"/>
          <w:sz w:val="24"/>
          <w:szCs w:val="24"/>
        </w:rPr>
        <w:t>(4)供应商资格证明文件。</w:t>
      </w:r>
    </w:p>
    <w:p w14:paraId="0C0DDFA7">
      <w:pPr>
        <w:spacing w:before="183" w:line="360" w:lineRule="auto"/>
        <w:ind w:left="442"/>
        <w:outlineLvl w:val="9"/>
        <w:rPr>
          <w:rFonts w:ascii="宋体" w:hAnsi="宋体" w:eastAsia="宋体" w:cs="宋体"/>
          <w:sz w:val="24"/>
          <w:szCs w:val="24"/>
        </w:rPr>
      </w:pPr>
      <w:r>
        <w:rPr>
          <w:rFonts w:ascii="宋体" w:hAnsi="宋体" w:eastAsia="宋体" w:cs="宋体"/>
          <w:spacing w:val="-1"/>
          <w:sz w:val="24"/>
          <w:szCs w:val="24"/>
        </w:rPr>
        <w:t>据此函，签字代表宣布同意如下：</w:t>
      </w:r>
    </w:p>
    <w:p w14:paraId="2E9094D5">
      <w:pPr>
        <w:spacing w:before="185" w:line="360" w:lineRule="auto"/>
        <w:ind w:left="25" w:right="53" w:firstLine="435"/>
        <w:outlineLvl w:val="9"/>
        <w:rPr>
          <w:rFonts w:hint="eastAsia" w:ascii="宋体" w:hAnsi="宋体" w:eastAsia="宋体" w:cs="宋体"/>
          <w:sz w:val="24"/>
          <w:szCs w:val="24"/>
          <w:lang w:val="en-US" w:eastAsia="zh-CN"/>
        </w:rPr>
      </w:pPr>
      <w:r>
        <w:rPr>
          <w:rFonts w:ascii="宋体" w:hAnsi="宋体" w:eastAsia="宋体" w:cs="宋体"/>
          <w:spacing w:val="-2"/>
          <w:sz w:val="24"/>
          <w:szCs w:val="24"/>
        </w:rPr>
        <w:t>1.所附报价一览表中规定的谈判报价为：元（即：</w:t>
      </w:r>
      <w:r>
        <w:rPr>
          <w:rFonts w:ascii="宋体" w:hAnsi="宋体" w:eastAsia="宋体" w:cs="宋体"/>
          <w:spacing w:val="-2"/>
          <w:sz w:val="24"/>
          <w:szCs w:val="24"/>
          <w:u w:val="single" w:color="auto"/>
        </w:rPr>
        <w:t>大写</w:t>
      </w:r>
      <w:r>
        <w:rPr>
          <w:rFonts w:ascii="宋体" w:hAnsi="宋体" w:eastAsia="宋体" w:cs="宋体"/>
          <w:spacing w:val="-3"/>
          <w:sz w:val="24"/>
          <w:szCs w:val="24"/>
          <w:u w:val="single" w:color="auto"/>
        </w:rPr>
        <w:t>金额</w:t>
      </w:r>
      <w:r>
        <w:rPr>
          <w:rFonts w:ascii="宋体" w:hAnsi="宋体" w:eastAsia="宋体" w:cs="宋体"/>
          <w:spacing w:val="-53"/>
          <w:sz w:val="24"/>
          <w:szCs w:val="24"/>
        </w:rPr>
        <w:t>），</w:t>
      </w:r>
      <w:r>
        <w:rPr>
          <w:rFonts w:hint="eastAsia" w:ascii="宋体" w:hAnsi="宋体" w:eastAsia="宋体" w:cs="宋体"/>
          <w:spacing w:val="-53"/>
          <w:sz w:val="24"/>
          <w:szCs w:val="24"/>
          <w:lang w:val="en-US" w:eastAsia="zh-CN"/>
        </w:rPr>
        <w:t>服务</w:t>
      </w:r>
      <w:r>
        <w:rPr>
          <w:rFonts w:ascii="宋体" w:hAnsi="宋体" w:eastAsia="宋体" w:cs="宋体"/>
          <w:spacing w:val="-3"/>
          <w:sz w:val="24"/>
          <w:szCs w:val="24"/>
        </w:rPr>
        <w:t>期；</w:t>
      </w:r>
      <w:r>
        <w:rPr>
          <w:rFonts w:hint="eastAsia" w:ascii="宋体" w:hAnsi="宋体" w:eastAsia="宋体" w:cs="宋体"/>
          <w:spacing w:val="-3"/>
          <w:sz w:val="24"/>
          <w:szCs w:val="24"/>
          <w:lang w:val="en-US" w:eastAsia="zh-CN"/>
        </w:rPr>
        <w:t>投标有效期；</w:t>
      </w:r>
    </w:p>
    <w:p w14:paraId="110013D3">
      <w:pPr>
        <w:spacing w:before="183" w:line="360" w:lineRule="auto"/>
        <w:ind w:left="446"/>
        <w:outlineLvl w:val="9"/>
        <w:rPr>
          <w:rFonts w:ascii="宋体" w:hAnsi="宋体" w:eastAsia="宋体" w:cs="宋体"/>
          <w:sz w:val="24"/>
          <w:szCs w:val="24"/>
        </w:rPr>
      </w:pPr>
      <w:r>
        <w:rPr>
          <w:rFonts w:ascii="宋体" w:hAnsi="宋体" w:eastAsia="宋体" w:cs="宋体"/>
          <w:spacing w:val="-1"/>
          <w:sz w:val="24"/>
          <w:szCs w:val="24"/>
        </w:rPr>
        <w:t>2.供应商将按竞争性谈判文件的规定履行合同责任和义务；</w:t>
      </w:r>
    </w:p>
    <w:p w14:paraId="2F11EDD2">
      <w:pPr>
        <w:spacing w:before="184" w:line="360" w:lineRule="auto"/>
        <w:ind w:left="22" w:right="53" w:firstLine="425"/>
        <w:outlineLvl w:val="9"/>
        <w:rPr>
          <w:rFonts w:ascii="宋体" w:hAnsi="宋体" w:eastAsia="宋体" w:cs="宋体"/>
          <w:sz w:val="24"/>
          <w:szCs w:val="24"/>
        </w:rPr>
      </w:pPr>
      <w:r>
        <w:rPr>
          <w:rFonts w:ascii="宋体" w:hAnsi="宋体" w:eastAsia="宋体" w:cs="宋体"/>
          <w:spacing w:val="2"/>
          <w:sz w:val="24"/>
          <w:szCs w:val="24"/>
        </w:rPr>
        <w:t>3.供应商已详细审查全部竞争性谈判文件，包括修改文件（如有的话）以</w:t>
      </w:r>
      <w:r>
        <w:rPr>
          <w:rFonts w:ascii="宋体" w:hAnsi="宋体" w:eastAsia="宋体" w:cs="宋体"/>
          <w:spacing w:val="-3"/>
          <w:sz w:val="24"/>
          <w:szCs w:val="24"/>
        </w:rPr>
        <w:t>及全部参考资料和有关附件。我们完全理解并同意放弃对这方面有不明及误解的权利；</w:t>
      </w:r>
    </w:p>
    <w:p w14:paraId="09A2D423">
      <w:pPr>
        <w:spacing w:before="183" w:line="360" w:lineRule="auto"/>
        <w:ind w:left="442"/>
        <w:outlineLvl w:val="9"/>
        <w:rPr>
          <w:rFonts w:ascii="宋体" w:hAnsi="宋体" w:eastAsia="宋体" w:cs="宋体"/>
          <w:sz w:val="24"/>
          <w:szCs w:val="24"/>
        </w:rPr>
      </w:pPr>
      <w:r>
        <w:rPr>
          <w:rFonts w:ascii="宋体" w:hAnsi="宋体" w:eastAsia="宋体" w:cs="宋体"/>
          <w:spacing w:val="-2"/>
          <w:sz w:val="24"/>
          <w:szCs w:val="24"/>
        </w:rPr>
        <w:t>4.</w:t>
      </w:r>
      <w:r>
        <w:rPr>
          <w:rFonts w:hint="eastAsia" w:cs="宋体"/>
          <w:i w:val="0"/>
          <w:iCs w:val="0"/>
          <w:caps w:val="0"/>
          <w:snapToGrid/>
          <w:color w:val="auto"/>
          <w:spacing w:val="0"/>
          <w:sz w:val="24"/>
          <w:szCs w:val="24"/>
          <w:shd w:val="clear" w:color="auto" w:fill="FFFFFF"/>
          <w:lang w:val="en-US" w:eastAsia="zh-CN"/>
        </w:rPr>
        <w:t>其他：</w:t>
      </w:r>
    </w:p>
    <w:p w14:paraId="7D3CF57F">
      <w:pPr>
        <w:spacing w:before="184" w:line="360" w:lineRule="auto"/>
        <w:ind w:left="24" w:right="53" w:firstLine="423"/>
        <w:outlineLvl w:val="9"/>
        <w:rPr>
          <w:rFonts w:ascii="宋体" w:hAnsi="宋体" w:eastAsia="宋体" w:cs="宋体"/>
          <w:sz w:val="24"/>
          <w:szCs w:val="24"/>
        </w:rPr>
      </w:pPr>
      <w:r>
        <w:rPr>
          <w:rFonts w:ascii="宋体" w:hAnsi="宋体" w:eastAsia="宋体" w:cs="宋体"/>
          <w:spacing w:val="2"/>
          <w:sz w:val="24"/>
          <w:szCs w:val="24"/>
        </w:rPr>
        <w:t>5.如果在规定的宣读谈判报价时间后，供应商在谈判有效期内撤回谈判报</w:t>
      </w:r>
      <w:r>
        <w:rPr>
          <w:rFonts w:ascii="宋体" w:hAnsi="宋体" w:eastAsia="宋体" w:cs="宋体"/>
          <w:spacing w:val="-3"/>
          <w:sz w:val="24"/>
          <w:szCs w:val="24"/>
        </w:rPr>
        <w:t>价；或入选后未按竞争性谈判文件中供应商须知规定的向采购代理机构交纳足额</w:t>
      </w:r>
      <w:r>
        <w:rPr>
          <w:rFonts w:ascii="宋体" w:hAnsi="宋体" w:eastAsia="宋体" w:cs="宋体"/>
          <w:spacing w:val="-1"/>
          <w:sz w:val="24"/>
          <w:szCs w:val="24"/>
        </w:rPr>
        <w:t>的采购代理服务费，其谈判保证金将被贵方没收；</w:t>
      </w:r>
    </w:p>
    <w:p w14:paraId="69C163A3">
      <w:pPr>
        <w:spacing w:before="184" w:line="360" w:lineRule="auto"/>
        <w:ind w:left="445"/>
        <w:outlineLvl w:val="9"/>
        <w:rPr>
          <w:rFonts w:ascii="宋体" w:hAnsi="宋体" w:eastAsia="宋体" w:cs="宋体"/>
          <w:sz w:val="24"/>
          <w:szCs w:val="24"/>
        </w:rPr>
      </w:pPr>
      <w:r>
        <w:rPr>
          <w:rFonts w:ascii="宋体" w:hAnsi="宋体" w:eastAsia="宋体" w:cs="宋体"/>
          <w:sz w:val="24"/>
          <w:szCs w:val="24"/>
        </w:rPr>
        <w:t>6.供应商同意提供按照贵方可能要求的与其</w:t>
      </w:r>
      <w:r>
        <w:rPr>
          <w:rFonts w:ascii="宋体" w:hAnsi="宋体" w:eastAsia="宋体" w:cs="宋体"/>
          <w:spacing w:val="-1"/>
          <w:sz w:val="24"/>
          <w:szCs w:val="24"/>
        </w:rPr>
        <w:t>报价有关的一切数据或资料。</w:t>
      </w:r>
    </w:p>
    <w:p w14:paraId="629E9D86">
      <w:pPr>
        <w:spacing w:before="184" w:line="360" w:lineRule="auto"/>
        <w:ind w:left="449"/>
        <w:outlineLvl w:val="9"/>
        <w:rPr>
          <w:rFonts w:ascii="宋体" w:hAnsi="宋体" w:eastAsia="宋体" w:cs="宋体"/>
          <w:sz w:val="24"/>
          <w:szCs w:val="24"/>
        </w:rPr>
      </w:pPr>
      <w:r>
        <w:rPr>
          <w:rFonts w:ascii="宋体" w:hAnsi="宋体" w:eastAsia="宋体" w:cs="宋体"/>
          <w:spacing w:val="-1"/>
          <w:sz w:val="24"/>
          <w:szCs w:val="24"/>
        </w:rPr>
        <w:t>7.与本谈判有关的一切正式往来通讯请寄：</w:t>
      </w:r>
    </w:p>
    <w:p w14:paraId="0508816F">
      <w:pPr>
        <w:spacing w:before="184" w:line="360" w:lineRule="auto"/>
        <w:ind w:left="383"/>
        <w:outlineLvl w:val="9"/>
        <w:rPr>
          <w:rFonts w:hint="eastAsia" w:ascii="宋体" w:hAnsi="宋体" w:eastAsia="宋体" w:cs="宋体"/>
          <w:sz w:val="24"/>
          <w:szCs w:val="24"/>
          <w:lang w:eastAsia="zh-CN"/>
        </w:rPr>
      </w:pPr>
      <w:r>
        <w:rPr>
          <w:rFonts w:ascii="宋体" w:hAnsi="宋体" w:eastAsia="宋体" w:cs="宋体"/>
          <w:spacing w:val="-7"/>
          <w:sz w:val="24"/>
          <w:szCs w:val="24"/>
        </w:rPr>
        <w:t>地址：邮编：</w:t>
      </w:r>
    </w:p>
    <w:p w14:paraId="4E559EF8">
      <w:pPr>
        <w:spacing w:before="183" w:line="360" w:lineRule="auto"/>
        <w:ind w:left="411"/>
        <w:outlineLvl w:val="9"/>
        <w:rPr>
          <w:rFonts w:hint="eastAsia" w:ascii="宋体" w:hAnsi="宋体" w:eastAsia="宋体" w:cs="宋体"/>
          <w:sz w:val="24"/>
          <w:szCs w:val="24"/>
          <w:lang w:eastAsia="zh-CN"/>
        </w:rPr>
      </w:pPr>
      <w:r>
        <w:rPr>
          <w:rFonts w:ascii="宋体" w:hAnsi="宋体" w:eastAsia="宋体" w:cs="宋体"/>
          <w:spacing w:val="-4"/>
          <w:sz w:val="24"/>
          <w:szCs w:val="24"/>
        </w:rPr>
        <w:t>电话：</w:t>
      </w:r>
      <w:r>
        <w:rPr>
          <w:rFonts w:ascii="宋体" w:hAnsi="宋体" w:eastAsia="宋体" w:cs="宋体"/>
          <w:spacing w:val="-5"/>
          <w:sz w:val="24"/>
          <w:szCs w:val="24"/>
        </w:rPr>
        <w:t>传真：</w:t>
      </w:r>
    </w:p>
    <w:p w14:paraId="1AA7A201">
      <w:pPr>
        <w:spacing w:before="183" w:line="360" w:lineRule="auto"/>
        <w:ind w:left="383"/>
        <w:outlineLvl w:val="9"/>
        <w:rPr>
          <w:rFonts w:hint="eastAsia" w:ascii="宋体" w:hAnsi="宋体" w:eastAsia="宋体" w:cs="宋体"/>
          <w:sz w:val="24"/>
          <w:szCs w:val="24"/>
          <w:lang w:eastAsia="zh-CN"/>
        </w:rPr>
      </w:pPr>
      <w:r>
        <w:rPr>
          <w:rFonts w:ascii="宋体" w:hAnsi="宋体" w:eastAsia="宋体" w:cs="宋体"/>
          <w:spacing w:val="-1"/>
          <w:sz w:val="24"/>
          <w:szCs w:val="24"/>
        </w:rPr>
        <w:t>供应商代表姓名、职务：</w:t>
      </w:r>
    </w:p>
    <w:p w14:paraId="3F083086">
      <w:pPr>
        <w:spacing w:before="183" w:line="360" w:lineRule="auto"/>
        <w:ind w:left="383"/>
        <w:outlineLvl w:val="9"/>
        <w:rPr>
          <w:rFonts w:ascii="宋体" w:hAnsi="宋体" w:eastAsia="宋体" w:cs="宋体"/>
          <w:sz w:val="24"/>
          <w:szCs w:val="24"/>
        </w:rPr>
      </w:pPr>
      <w:r>
        <w:rPr>
          <w:rFonts w:ascii="宋体" w:hAnsi="宋体" w:eastAsia="宋体" w:cs="宋体"/>
          <w:spacing w:val="3"/>
          <w:sz w:val="24"/>
          <w:szCs w:val="24"/>
        </w:rPr>
        <w:t>供应商名称</w:t>
      </w:r>
      <w:r>
        <w:rPr>
          <w:rFonts w:ascii="宋体" w:hAnsi="宋体" w:eastAsia="宋体" w:cs="宋体"/>
          <w:spacing w:val="-18"/>
          <w:sz w:val="24"/>
          <w:szCs w:val="24"/>
        </w:rPr>
        <w:t>：</w:t>
      </w:r>
      <w:r>
        <w:rPr>
          <w:rFonts w:ascii="宋体" w:hAnsi="宋体" w:eastAsia="宋体" w:cs="宋体"/>
          <w:spacing w:val="-18"/>
          <w:sz w:val="24"/>
          <w:szCs w:val="24"/>
          <w:u w:val="single" w:color="auto"/>
        </w:rPr>
        <w:t>（</w:t>
      </w:r>
      <w:r>
        <w:rPr>
          <w:rFonts w:ascii="宋体" w:hAnsi="宋体" w:eastAsia="宋体" w:cs="宋体"/>
          <w:spacing w:val="3"/>
          <w:sz w:val="24"/>
          <w:szCs w:val="24"/>
          <w:u w:val="single" w:color="auto"/>
        </w:rPr>
        <w:t>公章）</w:t>
      </w:r>
    </w:p>
    <w:p w14:paraId="1B05CB0F">
      <w:pPr>
        <w:spacing w:before="184" w:line="360" w:lineRule="auto"/>
        <w:ind w:left="384"/>
        <w:outlineLvl w:val="9"/>
        <w:rPr>
          <w:rFonts w:hint="eastAsia" w:ascii="宋体" w:hAnsi="宋体" w:eastAsia="宋体" w:cs="宋体"/>
          <w:sz w:val="24"/>
          <w:szCs w:val="24"/>
          <w:lang w:eastAsia="zh-CN"/>
        </w:rPr>
      </w:pPr>
      <w:r>
        <w:rPr>
          <w:rFonts w:ascii="宋体" w:hAnsi="宋体" w:eastAsia="宋体" w:cs="宋体"/>
          <w:spacing w:val="-1"/>
          <w:sz w:val="24"/>
          <w:szCs w:val="24"/>
        </w:rPr>
        <w:t>法定代表人/负责人和被授权代表</w:t>
      </w:r>
      <w:r>
        <w:rPr>
          <w:rFonts w:ascii="宋体" w:hAnsi="宋体" w:eastAsia="宋体" w:cs="宋体"/>
          <w:spacing w:val="-56"/>
          <w:sz w:val="24"/>
          <w:szCs w:val="24"/>
        </w:rPr>
        <w:t>：</w:t>
      </w:r>
    </w:p>
    <w:p w14:paraId="00BDCF2C">
      <w:pPr>
        <w:spacing w:before="184" w:line="360" w:lineRule="auto"/>
        <w:ind w:left="424"/>
        <w:outlineLvl w:val="9"/>
        <w:rPr>
          <w:rFonts w:ascii="宋体" w:hAnsi="宋体" w:eastAsia="宋体" w:cs="宋体"/>
          <w:sz w:val="24"/>
          <w:szCs w:val="24"/>
        </w:rPr>
      </w:pPr>
      <w:r>
        <w:rPr>
          <w:rFonts w:ascii="宋体" w:hAnsi="宋体" w:eastAsia="宋体" w:cs="宋体"/>
          <w:spacing w:val="-11"/>
          <w:sz w:val="24"/>
          <w:szCs w:val="24"/>
        </w:rPr>
        <w:t>日期：年月日</w:t>
      </w:r>
    </w:p>
    <w:p w14:paraId="057AC4B9">
      <w:pPr>
        <w:spacing w:line="360" w:lineRule="auto"/>
        <w:outlineLvl w:val="9"/>
        <w:rPr>
          <w:rFonts w:ascii="宋体" w:hAnsi="宋体" w:eastAsia="宋体" w:cs="宋体"/>
          <w:sz w:val="24"/>
          <w:szCs w:val="24"/>
        </w:rPr>
        <w:sectPr>
          <w:footerReference r:id="rId16" w:type="default"/>
          <w:pgSz w:w="11906" w:h="16838"/>
          <w:pgMar w:top="1429" w:right="1786" w:bottom="1372" w:left="1786" w:header="0" w:footer="1208" w:gutter="0"/>
          <w:pgNumType w:fmt="decimal"/>
          <w:cols w:space="0" w:num="1"/>
          <w:rtlGutter w:val="0"/>
          <w:docGrid w:linePitch="0" w:charSpace="0"/>
        </w:sectPr>
      </w:pPr>
    </w:p>
    <w:p w14:paraId="7671758C">
      <w:pPr>
        <w:spacing w:before="163" w:line="360" w:lineRule="auto"/>
        <w:ind w:left="2693"/>
        <w:outlineLvl w:val="9"/>
        <w:rPr>
          <w:rFonts w:ascii="宋体" w:hAnsi="宋体" w:eastAsia="宋体" w:cs="宋体"/>
          <w:sz w:val="31"/>
          <w:szCs w:val="31"/>
        </w:rPr>
      </w:pPr>
      <w:r>
        <w:rPr>
          <w:rFonts w:ascii="宋体" w:hAnsi="宋体" w:eastAsia="宋体" w:cs="宋体"/>
          <w:b/>
          <w:bCs/>
          <w:spacing w:val="5"/>
          <w:sz w:val="31"/>
          <w:szCs w:val="31"/>
        </w:rPr>
        <w:t>二、第一次谈判报价表</w:t>
      </w:r>
    </w:p>
    <w:p w14:paraId="6F2A6717">
      <w:pPr>
        <w:spacing w:line="360" w:lineRule="auto"/>
        <w:outlineLvl w:val="9"/>
      </w:pPr>
    </w:p>
    <w:tbl>
      <w:tblPr>
        <w:tblStyle w:val="13"/>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1834"/>
        <w:gridCol w:w="6508"/>
      </w:tblGrid>
      <w:tr w14:paraId="25497D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94" w:hRule="atLeast"/>
        </w:trPr>
        <w:tc>
          <w:tcPr>
            <w:tcW w:w="1099" w:type="pct"/>
            <w:vAlign w:val="top"/>
          </w:tcPr>
          <w:p w14:paraId="3709CDDB">
            <w:pPr>
              <w:spacing w:line="360" w:lineRule="auto"/>
              <w:outlineLvl w:val="9"/>
              <w:rPr>
                <w:rFonts w:ascii="Arial"/>
                <w:sz w:val="21"/>
              </w:rPr>
            </w:pPr>
          </w:p>
          <w:p w14:paraId="548091B0">
            <w:pPr>
              <w:spacing w:line="360" w:lineRule="auto"/>
              <w:outlineLvl w:val="9"/>
              <w:rPr>
                <w:rFonts w:ascii="Arial"/>
                <w:sz w:val="21"/>
              </w:rPr>
            </w:pPr>
          </w:p>
          <w:p w14:paraId="7FE986B0">
            <w:pPr>
              <w:pStyle w:val="14"/>
              <w:spacing w:before="78" w:line="360" w:lineRule="auto"/>
              <w:ind w:left="279"/>
              <w:outlineLvl w:val="9"/>
            </w:pPr>
            <w:r>
              <w:rPr>
                <w:b/>
                <w:bCs/>
                <w:spacing w:val="-4"/>
              </w:rPr>
              <w:t>采购项目名称</w:t>
            </w:r>
          </w:p>
        </w:tc>
        <w:tc>
          <w:tcPr>
            <w:tcW w:w="3900" w:type="pct"/>
            <w:vAlign w:val="top"/>
          </w:tcPr>
          <w:p w14:paraId="47A092F7">
            <w:pPr>
              <w:spacing w:line="360" w:lineRule="auto"/>
              <w:outlineLvl w:val="9"/>
              <w:rPr>
                <w:rFonts w:ascii="Arial"/>
                <w:sz w:val="21"/>
              </w:rPr>
            </w:pPr>
          </w:p>
        </w:tc>
      </w:tr>
      <w:tr w14:paraId="62BEFC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3" w:hRule="atLeast"/>
        </w:trPr>
        <w:tc>
          <w:tcPr>
            <w:tcW w:w="1099" w:type="pct"/>
            <w:vAlign w:val="top"/>
          </w:tcPr>
          <w:p w14:paraId="5B0D0872">
            <w:pPr>
              <w:pStyle w:val="14"/>
              <w:spacing w:before="250" w:line="360" w:lineRule="auto"/>
              <w:ind w:left="279"/>
              <w:outlineLvl w:val="9"/>
            </w:pPr>
            <w:r>
              <w:rPr>
                <w:b/>
                <w:bCs/>
                <w:spacing w:val="-4"/>
              </w:rPr>
              <w:t>采购项目编号</w:t>
            </w:r>
          </w:p>
        </w:tc>
        <w:tc>
          <w:tcPr>
            <w:tcW w:w="3900" w:type="pct"/>
            <w:vAlign w:val="top"/>
          </w:tcPr>
          <w:p w14:paraId="2E9717EB">
            <w:pPr>
              <w:spacing w:line="360" w:lineRule="auto"/>
              <w:outlineLvl w:val="9"/>
              <w:rPr>
                <w:rFonts w:ascii="Arial"/>
                <w:sz w:val="21"/>
              </w:rPr>
            </w:pPr>
          </w:p>
        </w:tc>
      </w:tr>
      <w:tr w14:paraId="66FD8B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92" w:hRule="atLeast"/>
        </w:trPr>
        <w:tc>
          <w:tcPr>
            <w:tcW w:w="1099" w:type="pct"/>
            <w:vAlign w:val="top"/>
          </w:tcPr>
          <w:p w14:paraId="2E50DE15">
            <w:pPr>
              <w:pStyle w:val="14"/>
              <w:spacing w:before="247" w:line="360" w:lineRule="auto"/>
              <w:ind w:left="400"/>
              <w:outlineLvl w:val="9"/>
            </w:pPr>
            <w:r>
              <w:rPr>
                <w:b/>
                <w:bCs/>
                <w:spacing w:val="-4"/>
              </w:rPr>
              <w:t>供应商名称</w:t>
            </w:r>
          </w:p>
          <w:p w14:paraId="5312CC5B">
            <w:pPr>
              <w:pStyle w:val="14"/>
              <w:spacing w:before="183" w:line="360" w:lineRule="auto"/>
              <w:ind w:left="442"/>
              <w:outlineLvl w:val="9"/>
            </w:pPr>
            <w:r>
              <w:rPr>
                <w:b/>
                <w:bCs/>
                <w:spacing w:val="-11"/>
              </w:rPr>
              <w:t>(单位名称)</w:t>
            </w:r>
          </w:p>
        </w:tc>
        <w:tc>
          <w:tcPr>
            <w:tcW w:w="3900" w:type="pct"/>
            <w:vAlign w:val="top"/>
          </w:tcPr>
          <w:p w14:paraId="5BC6B9D3">
            <w:pPr>
              <w:spacing w:line="360" w:lineRule="auto"/>
              <w:outlineLvl w:val="9"/>
              <w:rPr>
                <w:rFonts w:ascii="Arial"/>
                <w:sz w:val="21"/>
              </w:rPr>
            </w:pPr>
          </w:p>
        </w:tc>
      </w:tr>
      <w:tr w14:paraId="4B493D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12" w:hRule="atLeast"/>
        </w:trPr>
        <w:tc>
          <w:tcPr>
            <w:tcW w:w="1099" w:type="pct"/>
            <w:vAlign w:val="top"/>
          </w:tcPr>
          <w:p w14:paraId="004BF748">
            <w:pPr>
              <w:spacing w:line="360" w:lineRule="auto"/>
              <w:outlineLvl w:val="9"/>
              <w:rPr>
                <w:rFonts w:ascii="Arial"/>
                <w:sz w:val="21"/>
              </w:rPr>
            </w:pPr>
          </w:p>
          <w:p w14:paraId="6AC312E3">
            <w:pPr>
              <w:spacing w:line="360" w:lineRule="auto"/>
              <w:outlineLvl w:val="9"/>
              <w:rPr>
                <w:rFonts w:ascii="Arial"/>
                <w:sz w:val="21"/>
              </w:rPr>
            </w:pPr>
          </w:p>
          <w:p w14:paraId="72BA94A7">
            <w:pPr>
              <w:spacing w:line="360" w:lineRule="auto"/>
              <w:outlineLvl w:val="9"/>
              <w:rPr>
                <w:rFonts w:ascii="Arial"/>
                <w:sz w:val="21"/>
              </w:rPr>
            </w:pPr>
          </w:p>
          <w:p w14:paraId="3376D3C0">
            <w:pPr>
              <w:pStyle w:val="14"/>
              <w:spacing w:before="78" w:line="360" w:lineRule="auto"/>
              <w:ind w:left="519"/>
              <w:outlineLvl w:val="9"/>
            </w:pPr>
            <w:r>
              <w:rPr>
                <w:b/>
                <w:bCs/>
                <w:spacing w:val="-5"/>
              </w:rPr>
              <w:t>谈判报价</w:t>
            </w:r>
          </w:p>
          <w:p w14:paraId="770F4ED5">
            <w:pPr>
              <w:pStyle w:val="14"/>
              <w:spacing w:before="184" w:line="360" w:lineRule="auto"/>
              <w:ind w:left="411"/>
              <w:outlineLvl w:val="9"/>
            </w:pPr>
            <w:r>
              <w:rPr>
                <w:b/>
                <w:bCs/>
                <w:spacing w:val="-7"/>
              </w:rPr>
              <w:t>（人民币）</w:t>
            </w:r>
          </w:p>
        </w:tc>
        <w:tc>
          <w:tcPr>
            <w:tcW w:w="3900" w:type="pct"/>
            <w:vAlign w:val="top"/>
          </w:tcPr>
          <w:p w14:paraId="7EB637CC">
            <w:pPr>
              <w:spacing w:line="360" w:lineRule="auto"/>
              <w:outlineLvl w:val="9"/>
              <w:rPr>
                <w:rFonts w:ascii="Arial"/>
                <w:sz w:val="21"/>
              </w:rPr>
            </w:pPr>
          </w:p>
          <w:p w14:paraId="1873BF0D">
            <w:pPr>
              <w:spacing w:line="360" w:lineRule="auto"/>
              <w:outlineLvl w:val="9"/>
              <w:rPr>
                <w:rFonts w:ascii="Arial"/>
                <w:sz w:val="21"/>
              </w:rPr>
            </w:pPr>
          </w:p>
          <w:p w14:paraId="0AE45C7A">
            <w:pPr>
              <w:pStyle w:val="14"/>
              <w:spacing w:before="78" w:line="360" w:lineRule="auto"/>
              <w:ind w:left="111"/>
              <w:outlineLvl w:val="9"/>
            </w:pPr>
            <w:r>
              <w:rPr>
                <w:b/>
                <w:bCs/>
                <w:spacing w:val="-14"/>
              </w:rPr>
              <w:t>人民币（大写</w:t>
            </w:r>
            <w:r>
              <w:rPr>
                <w:b/>
                <w:bCs/>
                <w:spacing w:val="-61"/>
              </w:rPr>
              <w:t>）：</w:t>
            </w:r>
            <w:r>
              <w:rPr>
                <w:b/>
                <w:bCs/>
                <w:spacing w:val="-14"/>
              </w:rPr>
              <w:t>元</w:t>
            </w:r>
          </w:p>
          <w:p w14:paraId="268FC9FD">
            <w:pPr>
              <w:spacing w:line="360" w:lineRule="auto"/>
              <w:outlineLvl w:val="9"/>
              <w:rPr>
                <w:rFonts w:ascii="Arial"/>
                <w:sz w:val="21"/>
              </w:rPr>
            </w:pPr>
          </w:p>
          <w:p w14:paraId="22EE86A6">
            <w:pPr>
              <w:spacing w:line="360" w:lineRule="auto"/>
              <w:outlineLvl w:val="9"/>
              <w:rPr>
                <w:rFonts w:ascii="Arial"/>
                <w:sz w:val="21"/>
              </w:rPr>
            </w:pPr>
          </w:p>
          <w:p w14:paraId="2F4AD213">
            <w:pPr>
              <w:pStyle w:val="14"/>
              <w:spacing w:before="78" w:line="360" w:lineRule="auto"/>
              <w:ind w:left="111"/>
              <w:outlineLvl w:val="9"/>
            </w:pPr>
            <w:r>
              <w:rPr>
                <w:b/>
                <w:bCs/>
                <w:spacing w:val="-14"/>
              </w:rPr>
              <w:t>人民币（小写</w:t>
            </w:r>
            <w:r>
              <w:rPr>
                <w:b/>
                <w:bCs/>
                <w:spacing w:val="-61"/>
              </w:rPr>
              <w:t>）：</w:t>
            </w:r>
            <w:r>
              <w:rPr>
                <w:b/>
                <w:bCs/>
                <w:spacing w:val="-14"/>
              </w:rPr>
              <w:t>元</w:t>
            </w:r>
          </w:p>
        </w:tc>
      </w:tr>
      <w:tr w14:paraId="1EDDCF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5" w:hRule="atLeast"/>
        </w:trPr>
        <w:tc>
          <w:tcPr>
            <w:tcW w:w="1099" w:type="pct"/>
            <w:vAlign w:val="top"/>
          </w:tcPr>
          <w:p w14:paraId="4B9512E7">
            <w:pPr>
              <w:spacing w:line="360" w:lineRule="auto"/>
              <w:outlineLvl w:val="9"/>
              <w:rPr>
                <w:rFonts w:ascii="Arial"/>
                <w:sz w:val="21"/>
              </w:rPr>
            </w:pPr>
          </w:p>
          <w:p w14:paraId="03AD51C5">
            <w:pPr>
              <w:pStyle w:val="14"/>
              <w:spacing w:before="78" w:line="360" w:lineRule="auto"/>
              <w:ind w:left="640"/>
              <w:outlineLvl w:val="9"/>
            </w:pPr>
            <w:r>
              <w:rPr>
                <w:rFonts w:hint="eastAsia"/>
                <w:b/>
                <w:bCs/>
                <w:spacing w:val="-5"/>
                <w:lang w:val="en-US" w:eastAsia="zh-CN"/>
              </w:rPr>
              <w:t>服务</w:t>
            </w:r>
            <w:r>
              <w:rPr>
                <w:b/>
                <w:bCs/>
                <w:spacing w:val="-5"/>
              </w:rPr>
              <w:t>期</w:t>
            </w:r>
          </w:p>
        </w:tc>
        <w:tc>
          <w:tcPr>
            <w:tcW w:w="3900" w:type="pct"/>
            <w:vAlign w:val="top"/>
          </w:tcPr>
          <w:p w14:paraId="6D28FA44">
            <w:pPr>
              <w:spacing w:line="360" w:lineRule="auto"/>
              <w:outlineLvl w:val="9"/>
              <w:rPr>
                <w:rFonts w:ascii="Arial"/>
                <w:sz w:val="21"/>
              </w:rPr>
            </w:pPr>
          </w:p>
        </w:tc>
      </w:tr>
      <w:tr w14:paraId="5F1FAA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4" w:hRule="atLeast"/>
        </w:trPr>
        <w:tc>
          <w:tcPr>
            <w:tcW w:w="1099" w:type="pct"/>
            <w:vAlign w:val="top"/>
          </w:tcPr>
          <w:p w14:paraId="05C9E88A">
            <w:pPr>
              <w:spacing w:line="360" w:lineRule="auto"/>
              <w:outlineLvl w:val="9"/>
              <w:rPr>
                <w:rFonts w:ascii="Arial"/>
                <w:sz w:val="21"/>
              </w:rPr>
            </w:pPr>
          </w:p>
          <w:p w14:paraId="2737A323">
            <w:pPr>
              <w:pStyle w:val="14"/>
              <w:spacing w:before="78" w:line="360" w:lineRule="auto"/>
              <w:ind w:left="765"/>
              <w:outlineLvl w:val="9"/>
            </w:pPr>
            <w:r>
              <w:rPr>
                <w:b/>
                <w:bCs/>
                <w:spacing w:val="-9"/>
              </w:rPr>
              <w:t>备注</w:t>
            </w:r>
          </w:p>
        </w:tc>
        <w:tc>
          <w:tcPr>
            <w:tcW w:w="3900" w:type="pct"/>
            <w:vAlign w:val="top"/>
          </w:tcPr>
          <w:p w14:paraId="5CE2D85D">
            <w:pPr>
              <w:spacing w:line="360" w:lineRule="auto"/>
              <w:outlineLvl w:val="9"/>
              <w:rPr>
                <w:rFonts w:ascii="Arial"/>
                <w:sz w:val="21"/>
              </w:rPr>
            </w:pPr>
          </w:p>
        </w:tc>
      </w:tr>
    </w:tbl>
    <w:p w14:paraId="7054B515">
      <w:pPr>
        <w:spacing w:before="78" w:line="360" w:lineRule="auto"/>
        <w:ind w:right="386" w:firstLine="464" w:firstLineChars="200"/>
        <w:jc w:val="both"/>
        <w:outlineLvl w:val="9"/>
        <w:rPr>
          <w:rFonts w:ascii="宋体" w:hAnsi="宋体" w:eastAsia="宋体" w:cs="宋体"/>
          <w:sz w:val="24"/>
          <w:szCs w:val="24"/>
        </w:rPr>
      </w:pPr>
      <w:r>
        <w:rPr>
          <w:rFonts w:ascii="宋体" w:hAnsi="宋体" w:eastAsia="宋体" w:cs="宋体"/>
          <w:spacing w:val="-4"/>
          <w:sz w:val="24"/>
          <w:szCs w:val="24"/>
        </w:rPr>
        <w:t>备注：1、“谈判报价”为投标总价。谈判报价必须包括：完成采购</w:t>
      </w:r>
      <w:r>
        <w:rPr>
          <w:rFonts w:ascii="宋体" w:hAnsi="宋体" w:eastAsia="宋体" w:cs="宋体"/>
          <w:spacing w:val="-5"/>
          <w:sz w:val="24"/>
          <w:szCs w:val="24"/>
        </w:rPr>
        <w:t>内容所</w:t>
      </w:r>
      <w:r>
        <w:rPr>
          <w:rFonts w:ascii="宋体" w:hAnsi="宋体" w:eastAsia="宋体" w:cs="宋体"/>
          <w:spacing w:val="-3"/>
          <w:sz w:val="24"/>
          <w:szCs w:val="24"/>
        </w:rPr>
        <w:t>需的直接费、间接费、利润、税金及其它相关的一</w:t>
      </w:r>
      <w:r>
        <w:rPr>
          <w:rFonts w:ascii="宋体" w:hAnsi="宋体" w:eastAsia="宋体" w:cs="宋体"/>
          <w:spacing w:val="-4"/>
          <w:sz w:val="24"/>
          <w:szCs w:val="24"/>
        </w:rPr>
        <w:t>切费用，以及合同实施过程中的应预见及不可预见费用等完成合同规定责任和义务</w:t>
      </w:r>
      <w:r>
        <w:rPr>
          <w:rFonts w:ascii="宋体" w:hAnsi="宋体" w:eastAsia="宋体" w:cs="宋体"/>
          <w:spacing w:val="-5"/>
          <w:sz w:val="24"/>
          <w:szCs w:val="24"/>
        </w:rPr>
        <w:t>、达到合同目的的一切费用。</w:t>
      </w:r>
    </w:p>
    <w:p w14:paraId="3F320371">
      <w:pPr>
        <w:spacing w:before="1" w:line="360" w:lineRule="auto"/>
        <w:ind w:left="621"/>
        <w:outlineLvl w:val="9"/>
        <w:rPr>
          <w:rFonts w:hint="eastAsia" w:eastAsia="宋体"/>
          <w:lang w:val="en-US" w:eastAsia="zh-CN"/>
        </w:rPr>
      </w:pPr>
      <w:r>
        <w:rPr>
          <w:rFonts w:ascii="宋体" w:hAnsi="宋体" w:eastAsia="宋体" w:cs="宋体"/>
          <w:spacing w:val="-1"/>
          <w:sz w:val="24"/>
          <w:szCs w:val="24"/>
        </w:rPr>
        <w:t>2、以上费用均为含税价格。</w:t>
      </w:r>
    </w:p>
    <w:p w14:paraId="74DA9D7C">
      <w:pPr>
        <w:spacing w:before="78" w:line="360" w:lineRule="auto"/>
        <w:ind w:left="2779"/>
        <w:outlineLvl w:val="9"/>
        <w:rPr>
          <w:rFonts w:hint="eastAsia" w:ascii="宋体" w:hAnsi="宋体" w:eastAsia="宋体" w:cs="宋体"/>
          <w:sz w:val="24"/>
          <w:szCs w:val="24"/>
          <w:lang w:eastAsia="zh-CN"/>
        </w:rPr>
      </w:pPr>
      <w:r>
        <w:rPr>
          <w:rFonts w:ascii="宋体" w:hAnsi="宋体" w:eastAsia="宋体" w:cs="宋体"/>
          <w:spacing w:val="-1"/>
          <w:sz w:val="24"/>
          <w:szCs w:val="24"/>
        </w:rPr>
        <w:t>法定代表人/负责人或被授权代表</w:t>
      </w:r>
      <w:r>
        <w:rPr>
          <w:rFonts w:ascii="宋体" w:hAnsi="宋体" w:eastAsia="宋体" w:cs="宋体"/>
          <w:spacing w:val="-56"/>
          <w:sz w:val="24"/>
          <w:szCs w:val="24"/>
        </w:rPr>
        <w:t>：</w:t>
      </w:r>
    </w:p>
    <w:p w14:paraId="71736AFB">
      <w:pPr>
        <w:spacing w:before="184" w:line="360" w:lineRule="auto"/>
        <w:ind w:left="2778"/>
        <w:outlineLvl w:val="9"/>
        <w:rPr>
          <w:rFonts w:ascii="宋体" w:hAnsi="宋体" w:eastAsia="宋体" w:cs="宋体"/>
          <w:sz w:val="24"/>
          <w:szCs w:val="24"/>
        </w:rPr>
      </w:pPr>
      <w:r>
        <w:rPr>
          <w:rFonts w:ascii="宋体" w:hAnsi="宋体" w:eastAsia="宋体" w:cs="宋体"/>
          <w:spacing w:val="-9"/>
          <w:sz w:val="24"/>
          <w:szCs w:val="24"/>
        </w:rPr>
        <w:t>供应商（公章</w:t>
      </w:r>
      <w:r>
        <w:rPr>
          <w:rFonts w:ascii="宋体" w:hAnsi="宋体" w:eastAsia="宋体" w:cs="宋体"/>
          <w:spacing w:val="-62"/>
          <w:w w:val="98"/>
          <w:sz w:val="24"/>
          <w:szCs w:val="24"/>
        </w:rPr>
        <w:t>）：</w:t>
      </w:r>
    </w:p>
    <w:p w14:paraId="75500556">
      <w:pPr>
        <w:spacing w:before="183" w:line="360" w:lineRule="auto"/>
        <w:ind w:left="2820"/>
        <w:outlineLvl w:val="9"/>
        <w:rPr>
          <w:rFonts w:ascii="宋体" w:hAnsi="宋体" w:eastAsia="宋体" w:cs="宋体"/>
          <w:sz w:val="24"/>
          <w:szCs w:val="24"/>
        </w:rPr>
      </w:pPr>
      <w:r>
        <w:rPr>
          <w:rFonts w:ascii="宋体" w:hAnsi="宋体" w:eastAsia="宋体" w:cs="宋体"/>
          <w:spacing w:val="-21"/>
          <w:sz w:val="24"/>
          <w:szCs w:val="24"/>
        </w:rPr>
        <w:t>日期：</w:t>
      </w:r>
    </w:p>
    <w:p w14:paraId="07F5BF1D">
      <w:pPr>
        <w:spacing w:line="360" w:lineRule="auto"/>
        <w:outlineLvl w:val="9"/>
        <w:rPr>
          <w:rFonts w:ascii="宋体" w:hAnsi="宋体" w:eastAsia="宋体" w:cs="宋体"/>
          <w:sz w:val="24"/>
          <w:szCs w:val="24"/>
        </w:rPr>
        <w:sectPr>
          <w:footerReference r:id="rId17" w:type="default"/>
          <w:pgSz w:w="11906" w:h="16838"/>
          <w:pgMar w:top="1429" w:right="1786" w:bottom="1372" w:left="1786" w:header="0" w:footer="1208" w:gutter="0"/>
          <w:pgNumType w:fmt="decimal"/>
          <w:cols w:space="0" w:num="1"/>
          <w:rtlGutter w:val="0"/>
          <w:docGrid w:linePitch="0" w:charSpace="0"/>
        </w:sectPr>
      </w:pPr>
    </w:p>
    <w:p w14:paraId="6789BE95">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center"/>
        <w:textAlignment w:val="auto"/>
        <w:outlineLvl w:val="9"/>
        <w:rPr>
          <w:rFonts w:hint="eastAsia" w:ascii="宋体" w:hAnsi="宋体" w:eastAsia="宋体" w:cs="宋体"/>
          <w:i w:val="0"/>
          <w:iCs w:val="0"/>
          <w:caps w:val="0"/>
          <w:snapToGrid/>
          <w:color w:val="auto"/>
          <w:spacing w:val="0"/>
          <w:sz w:val="28"/>
          <w:szCs w:val="28"/>
          <w:shd w:val="clear" w:color="auto" w:fill="FFFFFF"/>
          <w:lang w:val="en-US" w:eastAsia="zh-CN"/>
        </w:rPr>
      </w:pPr>
      <w:r>
        <w:rPr>
          <w:rFonts w:hint="eastAsia" w:eastAsia="宋体" w:cs="宋体"/>
          <w:i w:val="0"/>
          <w:iCs w:val="0"/>
          <w:caps w:val="0"/>
          <w:snapToGrid/>
          <w:color w:val="auto"/>
          <w:spacing w:val="0"/>
          <w:sz w:val="28"/>
          <w:szCs w:val="28"/>
          <w:shd w:val="clear" w:color="auto" w:fill="FFFFFF"/>
          <w:lang w:val="en-US" w:eastAsia="zh-CN"/>
        </w:rPr>
        <w:t>三</w:t>
      </w:r>
      <w:r>
        <w:rPr>
          <w:rFonts w:hint="eastAsia" w:ascii="宋体" w:hAnsi="宋体" w:eastAsia="宋体" w:cs="宋体"/>
          <w:i w:val="0"/>
          <w:iCs w:val="0"/>
          <w:caps w:val="0"/>
          <w:snapToGrid/>
          <w:color w:val="auto"/>
          <w:spacing w:val="0"/>
          <w:sz w:val="28"/>
          <w:szCs w:val="28"/>
          <w:shd w:val="clear" w:color="auto" w:fill="FFFFFF"/>
          <w:lang w:val="en-US" w:eastAsia="zh-CN"/>
        </w:rPr>
        <w:t>、分项报价表（格式自拟）</w:t>
      </w:r>
    </w:p>
    <w:p w14:paraId="27400DBC">
      <w:pPr>
        <w:pageBreakBefore w:val="0"/>
        <w:tabs>
          <w:tab w:val="right" w:pos="9072"/>
        </w:tabs>
        <w:kinsoku/>
        <w:bidi w:val="0"/>
        <w:spacing w:line="360" w:lineRule="auto"/>
        <w:textAlignment w:val="auto"/>
        <w:outlineLvl w:val="9"/>
        <w:rPr>
          <w:rFonts w:hint="eastAsia" w:ascii="宋体" w:hAnsi="宋体" w:eastAsia="宋体" w:cs="宋体"/>
          <w:i w:val="0"/>
          <w:iCs w:val="0"/>
          <w:caps w:val="0"/>
          <w:snapToGrid/>
          <w:color w:val="auto"/>
          <w:spacing w:val="0"/>
          <w:kern w:val="0"/>
          <w:sz w:val="24"/>
          <w:szCs w:val="24"/>
          <w:shd w:val="clear" w:color="auto" w:fill="FFFFFF"/>
          <w:lang w:val="en-US" w:eastAsia="zh-CN" w:bidi="ar-SA"/>
        </w:rPr>
      </w:pPr>
      <w:r>
        <w:rPr>
          <w:rFonts w:hint="eastAsia" w:ascii="宋体" w:hAnsi="宋体" w:eastAsia="宋体" w:cs="宋体"/>
          <w:i w:val="0"/>
          <w:iCs w:val="0"/>
          <w:caps w:val="0"/>
          <w:snapToGrid/>
          <w:color w:val="auto"/>
          <w:spacing w:val="0"/>
          <w:kern w:val="0"/>
          <w:sz w:val="24"/>
          <w:szCs w:val="24"/>
          <w:shd w:val="clear" w:color="auto" w:fill="FFFFFF"/>
          <w:lang w:val="en-US" w:eastAsia="zh-CN" w:bidi="ar-SA"/>
        </w:rPr>
        <w:t>项目名称：</w:t>
      </w:r>
    </w:p>
    <w:p w14:paraId="5EB2A009">
      <w:pPr>
        <w:pageBreakBefore w:val="0"/>
        <w:tabs>
          <w:tab w:val="right" w:pos="9072"/>
        </w:tabs>
        <w:kinsoku/>
        <w:bidi w:val="0"/>
        <w:spacing w:line="360" w:lineRule="auto"/>
        <w:textAlignment w:val="auto"/>
        <w:outlineLvl w:val="9"/>
        <w:rPr>
          <w:rFonts w:hint="eastAsia" w:ascii="宋体" w:hAnsi="宋体" w:eastAsia="宋体" w:cs="宋体"/>
          <w:i w:val="0"/>
          <w:iCs w:val="0"/>
          <w:caps w:val="0"/>
          <w:snapToGrid/>
          <w:color w:val="auto"/>
          <w:spacing w:val="0"/>
          <w:kern w:val="0"/>
          <w:sz w:val="24"/>
          <w:szCs w:val="24"/>
          <w:shd w:val="clear" w:color="auto" w:fill="FFFFFF"/>
          <w:lang w:val="en-US" w:eastAsia="zh-CN" w:bidi="ar-SA"/>
        </w:rPr>
      </w:pPr>
      <w:r>
        <w:rPr>
          <w:rFonts w:hint="eastAsia" w:ascii="宋体" w:hAnsi="宋体" w:eastAsia="宋体" w:cs="宋体"/>
          <w:i w:val="0"/>
          <w:iCs w:val="0"/>
          <w:caps w:val="0"/>
          <w:snapToGrid/>
          <w:color w:val="auto"/>
          <w:spacing w:val="0"/>
          <w:kern w:val="0"/>
          <w:sz w:val="24"/>
          <w:szCs w:val="24"/>
          <w:shd w:val="clear" w:color="auto" w:fill="FFFFFF"/>
          <w:lang w:val="en-US" w:eastAsia="zh-CN" w:bidi="ar-SA"/>
        </w:rPr>
        <w:t>项目编号：</w:t>
      </w:r>
    </w:p>
    <w:p w14:paraId="6E3982A3">
      <w:pPr>
        <w:pageBreakBefore w:val="0"/>
        <w:tabs>
          <w:tab w:val="right" w:pos="9072"/>
        </w:tabs>
        <w:kinsoku/>
        <w:bidi w:val="0"/>
        <w:spacing w:line="360" w:lineRule="auto"/>
        <w:textAlignment w:val="auto"/>
        <w:outlineLvl w:val="9"/>
        <w:rPr>
          <w:rFonts w:hint="eastAsia" w:ascii="宋体" w:hAnsi="宋体" w:eastAsia="宋体" w:cs="宋体"/>
          <w:i w:val="0"/>
          <w:iCs w:val="0"/>
          <w:caps w:val="0"/>
          <w:snapToGrid/>
          <w:color w:val="auto"/>
          <w:spacing w:val="0"/>
          <w:kern w:val="0"/>
          <w:sz w:val="24"/>
          <w:szCs w:val="24"/>
          <w:shd w:val="clear" w:color="auto" w:fill="FFFFFF"/>
          <w:lang w:val="en-US" w:eastAsia="zh-CN" w:bidi="ar-SA"/>
        </w:rPr>
      </w:pPr>
      <w:r>
        <w:rPr>
          <w:rFonts w:hint="eastAsia" w:ascii="宋体" w:hAnsi="宋体" w:eastAsia="宋体" w:cs="宋体"/>
          <w:i w:val="0"/>
          <w:iCs w:val="0"/>
          <w:caps w:val="0"/>
          <w:snapToGrid/>
          <w:color w:val="auto"/>
          <w:spacing w:val="0"/>
          <w:kern w:val="0"/>
          <w:sz w:val="24"/>
          <w:szCs w:val="24"/>
          <w:shd w:val="clear" w:color="auto" w:fill="FFFFFF"/>
          <w:lang w:val="en-US" w:eastAsia="zh-CN" w:bidi="ar-SA"/>
        </w:rPr>
        <w:t>注：1.供应商须按照竞争性谈判文件“采购内容及要求”中涉及的清单进行报价。</w:t>
      </w:r>
    </w:p>
    <w:p w14:paraId="451C9C80">
      <w:pPr>
        <w:pageBreakBefore w:val="0"/>
        <w:tabs>
          <w:tab w:val="right" w:pos="9072"/>
        </w:tabs>
        <w:kinsoku/>
        <w:bidi w:val="0"/>
        <w:spacing w:line="360" w:lineRule="auto"/>
        <w:textAlignment w:val="auto"/>
        <w:outlineLvl w:val="9"/>
        <w:rPr>
          <w:rFonts w:hint="eastAsia" w:ascii="宋体" w:hAnsi="宋体" w:eastAsia="宋体" w:cs="宋体"/>
          <w:i w:val="0"/>
          <w:iCs w:val="0"/>
          <w:caps w:val="0"/>
          <w:snapToGrid/>
          <w:color w:val="auto"/>
          <w:spacing w:val="0"/>
          <w:kern w:val="0"/>
          <w:sz w:val="24"/>
          <w:szCs w:val="24"/>
          <w:shd w:val="clear" w:color="auto" w:fill="FFFFFF"/>
          <w:lang w:val="en-US" w:eastAsia="zh-CN" w:bidi="ar-SA"/>
        </w:rPr>
      </w:pPr>
      <w:r>
        <w:rPr>
          <w:rFonts w:hint="eastAsia" w:ascii="宋体" w:hAnsi="宋体" w:eastAsia="宋体" w:cs="宋体"/>
          <w:i w:val="0"/>
          <w:iCs w:val="0"/>
          <w:caps w:val="0"/>
          <w:snapToGrid/>
          <w:color w:val="auto"/>
          <w:spacing w:val="0"/>
          <w:kern w:val="0"/>
          <w:sz w:val="24"/>
          <w:szCs w:val="24"/>
          <w:shd w:val="clear" w:color="auto" w:fill="FFFFFF"/>
          <w:lang w:val="en-US" w:eastAsia="zh-CN" w:bidi="ar-SA"/>
        </w:rPr>
        <w:t>2.如果按单价计算的结果与总价不一致，以单价为准修正总价。</w:t>
      </w:r>
    </w:p>
    <w:p w14:paraId="57F7737E">
      <w:pPr>
        <w:pageBreakBefore w:val="0"/>
        <w:tabs>
          <w:tab w:val="right" w:pos="9072"/>
        </w:tabs>
        <w:kinsoku/>
        <w:bidi w:val="0"/>
        <w:spacing w:line="360" w:lineRule="auto"/>
        <w:textAlignment w:val="auto"/>
        <w:outlineLvl w:val="9"/>
        <w:rPr>
          <w:rFonts w:hint="eastAsia" w:ascii="宋体" w:hAnsi="宋体" w:eastAsia="宋体" w:cs="宋体"/>
          <w:i w:val="0"/>
          <w:iCs w:val="0"/>
          <w:caps w:val="0"/>
          <w:snapToGrid/>
          <w:color w:val="auto"/>
          <w:spacing w:val="0"/>
          <w:kern w:val="0"/>
          <w:sz w:val="24"/>
          <w:szCs w:val="24"/>
          <w:shd w:val="clear" w:color="auto" w:fill="FFFFFF"/>
          <w:lang w:val="en-US" w:eastAsia="zh-CN" w:bidi="ar-SA"/>
        </w:rPr>
      </w:pPr>
      <w:r>
        <w:rPr>
          <w:rFonts w:hint="eastAsia" w:ascii="宋体" w:hAnsi="宋体" w:eastAsia="宋体" w:cs="宋体"/>
          <w:i w:val="0"/>
          <w:iCs w:val="0"/>
          <w:caps w:val="0"/>
          <w:snapToGrid/>
          <w:color w:val="auto"/>
          <w:spacing w:val="0"/>
          <w:kern w:val="0"/>
          <w:sz w:val="24"/>
          <w:szCs w:val="24"/>
          <w:shd w:val="clear" w:color="auto" w:fill="FFFFFF"/>
          <w:lang w:val="en-US" w:eastAsia="zh-CN" w:bidi="ar-SA"/>
        </w:rPr>
        <w:t>3.上述投标总报价包含了供应商为此项目所支付的一切费用，在整个合同期内不做调整。</w:t>
      </w:r>
    </w:p>
    <w:p w14:paraId="128856EE">
      <w:pPr>
        <w:pageBreakBefore w:val="0"/>
        <w:tabs>
          <w:tab w:val="right" w:pos="9072"/>
        </w:tabs>
        <w:kinsoku/>
        <w:bidi w:val="0"/>
        <w:spacing w:line="360" w:lineRule="auto"/>
        <w:ind w:firstLine="960" w:firstLineChars="400"/>
        <w:textAlignment w:val="auto"/>
        <w:outlineLvl w:val="9"/>
        <w:rPr>
          <w:rFonts w:hint="eastAsia" w:ascii="宋体" w:hAnsi="宋体" w:eastAsia="宋体" w:cs="宋体"/>
          <w:i w:val="0"/>
          <w:iCs w:val="0"/>
          <w:caps w:val="0"/>
          <w:snapToGrid/>
          <w:color w:val="auto"/>
          <w:spacing w:val="0"/>
          <w:kern w:val="0"/>
          <w:sz w:val="24"/>
          <w:szCs w:val="24"/>
          <w:shd w:val="clear" w:color="auto" w:fill="FFFFFF"/>
          <w:lang w:val="en-US" w:eastAsia="zh-CN" w:bidi="ar-SA"/>
        </w:rPr>
      </w:pPr>
    </w:p>
    <w:p w14:paraId="1A59DB84">
      <w:pPr>
        <w:pageBreakBefore w:val="0"/>
        <w:tabs>
          <w:tab w:val="right" w:pos="9072"/>
        </w:tabs>
        <w:kinsoku/>
        <w:bidi w:val="0"/>
        <w:spacing w:line="360" w:lineRule="auto"/>
        <w:jc w:val="right"/>
        <w:textAlignment w:val="auto"/>
        <w:outlineLvl w:val="9"/>
        <w:rPr>
          <w:rFonts w:hint="eastAsia" w:ascii="宋体" w:hAnsi="宋体" w:eastAsia="宋体" w:cs="宋体"/>
          <w:i w:val="0"/>
          <w:iCs w:val="0"/>
          <w:caps w:val="0"/>
          <w:snapToGrid/>
          <w:color w:val="auto"/>
          <w:spacing w:val="0"/>
          <w:kern w:val="0"/>
          <w:sz w:val="24"/>
          <w:szCs w:val="24"/>
          <w:shd w:val="clear" w:color="auto" w:fill="FFFFFF"/>
          <w:lang w:val="en-US" w:eastAsia="zh-CN" w:bidi="ar-SA"/>
        </w:rPr>
      </w:pPr>
    </w:p>
    <w:p w14:paraId="663744A4">
      <w:pPr>
        <w:pageBreakBefore w:val="0"/>
        <w:tabs>
          <w:tab w:val="right" w:pos="9072"/>
        </w:tabs>
        <w:kinsoku/>
        <w:bidi w:val="0"/>
        <w:spacing w:line="360" w:lineRule="auto"/>
        <w:jc w:val="center"/>
        <w:textAlignment w:val="auto"/>
        <w:outlineLvl w:val="9"/>
        <w:rPr>
          <w:rFonts w:hint="eastAsia" w:ascii="宋体" w:hAnsi="宋体" w:eastAsia="宋体" w:cs="宋体"/>
          <w:i w:val="0"/>
          <w:iCs w:val="0"/>
          <w:caps w:val="0"/>
          <w:snapToGrid/>
          <w:color w:val="auto"/>
          <w:spacing w:val="0"/>
          <w:kern w:val="0"/>
          <w:sz w:val="24"/>
          <w:szCs w:val="24"/>
          <w:shd w:val="clear" w:color="auto" w:fill="FFFFFF"/>
          <w:lang w:val="en-US" w:eastAsia="zh-CN" w:bidi="ar-SA"/>
        </w:rPr>
      </w:pPr>
    </w:p>
    <w:p w14:paraId="1C387F4C">
      <w:pPr>
        <w:pageBreakBefore w:val="0"/>
        <w:tabs>
          <w:tab w:val="right" w:pos="9072"/>
        </w:tabs>
        <w:kinsoku/>
        <w:bidi w:val="0"/>
        <w:spacing w:line="360" w:lineRule="auto"/>
        <w:jc w:val="right"/>
        <w:textAlignment w:val="auto"/>
        <w:outlineLvl w:val="9"/>
        <w:rPr>
          <w:rFonts w:hint="eastAsia" w:ascii="宋体" w:hAnsi="宋体" w:eastAsia="宋体" w:cs="宋体"/>
          <w:i w:val="0"/>
          <w:iCs w:val="0"/>
          <w:caps w:val="0"/>
          <w:snapToGrid/>
          <w:color w:val="auto"/>
          <w:spacing w:val="0"/>
          <w:kern w:val="0"/>
          <w:sz w:val="24"/>
          <w:szCs w:val="24"/>
          <w:shd w:val="clear" w:color="auto" w:fill="FFFFFF"/>
          <w:lang w:val="en-US" w:eastAsia="zh-CN" w:bidi="ar-SA"/>
        </w:rPr>
      </w:pPr>
    </w:p>
    <w:p w14:paraId="1F6325D0">
      <w:pPr>
        <w:pageBreakBefore w:val="0"/>
        <w:tabs>
          <w:tab w:val="right" w:pos="9072"/>
        </w:tabs>
        <w:kinsoku/>
        <w:bidi w:val="0"/>
        <w:spacing w:line="360" w:lineRule="auto"/>
        <w:jc w:val="center"/>
        <w:textAlignment w:val="auto"/>
        <w:outlineLvl w:val="9"/>
        <w:rPr>
          <w:rFonts w:hint="eastAsia" w:ascii="宋体" w:hAnsi="宋体" w:eastAsia="宋体" w:cs="宋体"/>
          <w:i w:val="0"/>
          <w:iCs w:val="0"/>
          <w:caps w:val="0"/>
          <w:snapToGrid/>
          <w:color w:val="auto"/>
          <w:spacing w:val="0"/>
          <w:kern w:val="0"/>
          <w:sz w:val="24"/>
          <w:szCs w:val="24"/>
          <w:shd w:val="clear" w:color="auto" w:fill="FFFFFF"/>
          <w:lang w:val="en-US" w:eastAsia="zh-CN" w:bidi="ar-SA"/>
        </w:rPr>
      </w:pPr>
    </w:p>
    <w:p w14:paraId="48814C7D">
      <w:pPr>
        <w:pageBreakBefore w:val="0"/>
        <w:tabs>
          <w:tab w:val="right" w:pos="9072"/>
        </w:tabs>
        <w:kinsoku/>
        <w:bidi w:val="0"/>
        <w:spacing w:line="360" w:lineRule="auto"/>
        <w:ind w:leftChars="2000"/>
        <w:jc w:val="both"/>
        <w:textAlignment w:val="auto"/>
        <w:outlineLvl w:val="9"/>
        <w:rPr>
          <w:rFonts w:hint="eastAsia" w:ascii="宋体" w:hAnsi="宋体" w:eastAsia="宋体" w:cs="宋体"/>
          <w:i w:val="0"/>
          <w:iCs w:val="0"/>
          <w:caps w:val="0"/>
          <w:snapToGrid/>
          <w:color w:val="auto"/>
          <w:spacing w:val="0"/>
          <w:kern w:val="0"/>
          <w:sz w:val="24"/>
          <w:szCs w:val="24"/>
          <w:shd w:val="clear" w:color="auto" w:fill="FFFFFF"/>
          <w:lang w:val="en-US" w:eastAsia="zh-CN" w:bidi="ar-SA"/>
        </w:rPr>
      </w:pPr>
      <w:r>
        <w:rPr>
          <w:rFonts w:hint="eastAsia" w:ascii="宋体" w:hAnsi="宋体" w:eastAsia="宋体" w:cs="宋体"/>
          <w:i w:val="0"/>
          <w:iCs w:val="0"/>
          <w:caps w:val="0"/>
          <w:snapToGrid/>
          <w:color w:val="auto"/>
          <w:spacing w:val="0"/>
          <w:kern w:val="0"/>
          <w:sz w:val="24"/>
          <w:szCs w:val="24"/>
          <w:shd w:val="clear" w:color="auto" w:fill="FFFFFF"/>
          <w:lang w:val="en-US" w:eastAsia="zh-CN" w:bidi="ar-SA"/>
        </w:rPr>
        <w:t>供应商名称(加盖公章)：</w:t>
      </w:r>
    </w:p>
    <w:p w14:paraId="5CE2BB06">
      <w:pPr>
        <w:pageBreakBefore w:val="0"/>
        <w:tabs>
          <w:tab w:val="right" w:pos="9072"/>
        </w:tabs>
        <w:kinsoku/>
        <w:bidi w:val="0"/>
        <w:spacing w:line="360" w:lineRule="auto"/>
        <w:ind w:leftChars="2000"/>
        <w:jc w:val="both"/>
        <w:textAlignment w:val="auto"/>
        <w:outlineLvl w:val="9"/>
        <w:rPr>
          <w:rFonts w:hint="eastAsia" w:ascii="宋体" w:hAnsi="宋体" w:eastAsia="宋体" w:cs="宋体"/>
          <w:i w:val="0"/>
          <w:iCs w:val="0"/>
          <w:caps w:val="0"/>
          <w:snapToGrid/>
          <w:color w:val="auto"/>
          <w:spacing w:val="0"/>
          <w:kern w:val="0"/>
          <w:sz w:val="24"/>
          <w:szCs w:val="24"/>
          <w:shd w:val="clear" w:color="auto" w:fill="FFFFFF"/>
          <w:lang w:val="en-US" w:eastAsia="zh-CN" w:bidi="ar-SA"/>
        </w:rPr>
      </w:pPr>
    </w:p>
    <w:p w14:paraId="7E720F53">
      <w:pPr>
        <w:pageBreakBefore w:val="0"/>
        <w:tabs>
          <w:tab w:val="right" w:pos="9072"/>
        </w:tabs>
        <w:kinsoku/>
        <w:bidi w:val="0"/>
        <w:spacing w:line="360" w:lineRule="auto"/>
        <w:ind w:leftChars="2000"/>
        <w:jc w:val="both"/>
        <w:textAlignment w:val="auto"/>
        <w:outlineLvl w:val="9"/>
        <w:rPr>
          <w:rFonts w:hint="eastAsia" w:ascii="宋体" w:hAnsi="宋体" w:eastAsia="宋体" w:cs="宋体"/>
          <w:i w:val="0"/>
          <w:iCs w:val="0"/>
          <w:caps w:val="0"/>
          <w:snapToGrid/>
          <w:color w:val="auto"/>
          <w:spacing w:val="0"/>
          <w:kern w:val="0"/>
          <w:sz w:val="24"/>
          <w:szCs w:val="24"/>
          <w:shd w:val="clear" w:color="auto" w:fill="FFFFFF"/>
          <w:lang w:val="en-US" w:eastAsia="zh-CN" w:bidi="ar-SA"/>
        </w:rPr>
      </w:pPr>
      <w:r>
        <w:rPr>
          <w:rFonts w:hint="eastAsia" w:ascii="宋体" w:hAnsi="宋体" w:eastAsia="宋体" w:cs="宋体"/>
          <w:i w:val="0"/>
          <w:iCs w:val="0"/>
          <w:caps w:val="0"/>
          <w:snapToGrid/>
          <w:color w:val="auto"/>
          <w:spacing w:val="0"/>
          <w:kern w:val="0"/>
          <w:sz w:val="24"/>
          <w:szCs w:val="24"/>
          <w:shd w:val="clear" w:color="auto" w:fill="FFFFFF"/>
          <w:lang w:val="en-US" w:eastAsia="zh-CN" w:bidi="ar-SA"/>
        </w:rPr>
        <w:t>法定代表人/负责人或被授权代表：</w:t>
      </w:r>
    </w:p>
    <w:p w14:paraId="18D92854">
      <w:pPr>
        <w:pageBreakBefore w:val="0"/>
        <w:tabs>
          <w:tab w:val="right" w:pos="9072"/>
        </w:tabs>
        <w:kinsoku/>
        <w:bidi w:val="0"/>
        <w:spacing w:line="360" w:lineRule="auto"/>
        <w:jc w:val="both"/>
        <w:textAlignment w:val="auto"/>
        <w:outlineLvl w:val="9"/>
        <w:rPr>
          <w:rFonts w:hint="eastAsia" w:ascii="宋体" w:hAnsi="宋体" w:eastAsia="宋体" w:cs="宋体"/>
          <w:i w:val="0"/>
          <w:iCs w:val="0"/>
          <w:caps w:val="0"/>
          <w:snapToGrid/>
          <w:color w:val="auto"/>
          <w:spacing w:val="0"/>
          <w:kern w:val="0"/>
          <w:sz w:val="24"/>
          <w:szCs w:val="24"/>
          <w:shd w:val="clear" w:color="auto" w:fill="FFFFFF"/>
          <w:lang w:val="en-US" w:eastAsia="zh-CN" w:bidi="ar-SA"/>
        </w:rPr>
      </w:pPr>
    </w:p>
    <w:p w14:paraId="5F03A86E">
      <w:pPr>
        <w:pageBreakBefore w:val="0"/>
        <w:tabs>
          <w:tab w:val="right" w:pos="9072"/>
        </w:tabs>
        <w:kinsoku/>
        <w:bidi w:val="0"/>
        <w:spacing w:line="360" w:lineRule="auto"/>
        <w:ind w:leftChars="2000"/>
        <w:jc w:val="both"/>
        <w:textAlignment w:val="auto"/>
        <w:outlineLvl w:val="9"/>
        <w:rPr>
          <w:rFonts w:hint="eastAsia" w:ascii="宋体" w:hAnsi="宋体" w:eastAsia="宋体" w:cs="宋体"/>
          <w:i w:val="0"/>
          <w:iCs w:val="0"/>
          <w:caps w:val="0"/>
          <w:snapToGrid/>
          <w:color w:val="auto"/>
          <w:spacing w:val="0"/>
          <w:kern w:val="0"/>
          <w:sz w:val="24"/>
          <w:szCs w:val="24"/>
          <w:shd w:val="clear" w:color="auto" w:fill="FFFFFF"/>
          <w:lang w:val="en-US" w:eastAsia="zh-CN" w:bidi="ar-SA"/>
        </w:rPr>
      </w:pPr>
      <w:r>
        <w:rPr>
          <w:rFonts w:hint="eastAsia" w:ascii="宋体" w:hAnsi="宋体" w:eastAsia="宋体" w:cs="宋体"/>
          <w:i w:val="0"/>
          <w:iCs w:val="0"/>
          <w:caps w:val="0"/>
          <w:snapToGrid/>
          <w:color w:val="auto"/>
          <w:spacing w:val="0"/>
          <w:kern w:val="0"/>
          <w:sz w:val="24"/>
          <w:szCs w:val="24"/>
          <w:shd w:val="clear" w:color="auto" w:fill="FFFFFF"/>
          <w:lang w:val="en-US" w:eastAsia="zh-CN" w:bidi="ar-SA"/>
        </w:rPr>
        <w:t>年月日</w:t>
      </w:r>
    </w:p>
    <w:p w14:paraId="1CD9B4CF">
      <w:pPr>
        <w:pageBreakBefore w:val="0"/>
        <w:tabs>
          <w:tab w:val="right" w:pos="9072"/>
        </w:tabs>
        <w:kinsoku/>
        <w:bidi w:val="0"/>
        <w:spacing w:line="360" w:lineRule="auto"/>
        <w:ind w:leftChars="2000"/>
        <w:jc w:val="both"/>
        <w:textAlignment w:val="auto"/>
        <w:outlineLvl w:val="9"/>
        <w:rPr>
          <w:rFonts w:hint="eastAsia" w:ascii="宋体" w:hAnsi="宋体" w:eastAsia="宋体" w:cs="宋体"/>
          <w:i w:val="0"/>
          <w:iCs w:val="0"/>
          <w:caps w:val="0"/>
          <w:snapToGrid/>
          <w:color w:val="auto"/>
          <w:spacing w:val="0"/>
          <w:kern w:val="0"/>
          <w:sz w:val="24"/>
          <w:szCs w:val="24"/>
          <w:shd w:val="clear" w:color="auto" w:fill="FFFFFF"/>
          <w:lang w:val="en-US" w:eastAsia="zh-CN" w:bidi="ar-SA"/>
        </w:rPr>
      </w:pPr>
    </w:p>
    <w:p w14:paraId="405AD0E4">
      <w:pPr>
        <w:pageBreakBefore w:val="0"/>
        <w:tabs>
          <w:tab w:val="right" w:pos="9072"/>
        </w:tabs>
        <w:kinsoku/>
        <w:bidi w:val="0"/>
        <w:spacing w:line="360" w:lineRule="auto"/>
        <w:textAlignment w:val="auto"/>
        <w:outlineLvl w:val="9"/>
        <w:rPr>
          <w:rFonts w:hint="eastAsia" w:ascii="宋体" w:hAnsi="宋体" w:eastAsia="宋体" w:cs="宋体"/>
          <w:b/>
          <w:bCs/>
          <w:sz w:val="21"/>
          <w:szCs w:val="21"/>
        </w:rPr>
      </w:pPr>
    </w:p>
    <w:p w14:paraId="29298ECA">
      <w:pPr>
        <w:pageBreakBefore w:val="0"/>
        <w:tabs>
          <w:tab w:val="right" w:pos="9072"/>
        </w:tabs>
        <w:kinsoku/>
        <w:bidi w:val="0"/>
        <w:spacing w:line="360" w:lineRule="auto"/>
        <w:textAlignment w:val="auto"/>
        <w:outlineLvl w:val="9"/>
        <w:rPr>
          <w:rFonts w:hint="eastAsia" w:ascii="宋体" w:hAnsi="宋体" w:eastAsia="宋体" w:cs="宋体"/>
          <w:b/>
          <w:bCs/>
          <w:sz w:val="21"/>
          <w:szCs w:val="21"/>
        </w:rPr>
      </w:pPr>
    </w:p>
    <w:p w14:paraId="3CE24AEA">
      <w:pPr>
        <w:pageBreakBefore w:val="0"/>
        <w:tabs>
          <w:tab w:val="right" w:pos="9072"/>
        </w:tabs>
        <w:kinsoku/>
        <w:bidi w:val="0"/>
        <w:spacing w:line="360" w:lineRule="auto"/>
        <w:textAlignment w:val="auto"/>
        <w:outlineLvl w:val="9"/>
        <w:rPr>
          <w:rFonts w:hint="eastAsia" w:ascii="宋体" w:hAnsi="宋体" w:eastAsia="宋体" w:cs="宋体"/>
          <w:b/>
          <w:bCs/>
          <w:sz w:val="21"/>
          <w:szCs w:val="21"/>
        </w:rPr>
      </w:pPr>
    </w:p>
    <w:p w14:paraId="75DC0D8B">
      <w:pPr>
        <w:pageBreakBefore w:val="0"/>
        <w:tabs>
          <w:tab w:val="right" w:pos="9072"/>
        </w:tabs>
        <w:kinsoku/>
        <w:bidi w:val="0"/>
        <w:spacing w:line="360" w:lineRule="auto"/>
        <w:textAlignment w:val="auto"/>
        <w:outlineLvl w:val="9"/>
        <w:rPr>
          <w:rFonts w:hint="eastAsia" w:ascii="宋体" w:hAnsi="宋体" w:eastAsia="宋体" w:cs="宋体"/>
          <w:b/>
          <w:bCs/>
          <w:sz w:val="21"/>
          <w:szCs w:val="21"/>
        </w:rPr>
      </w:pPr>
    </w:p>
    <w:p w14:paraId="31464865">
      <w:pPr>
        <w:pageBreakBefore w:val="0"/>
        <w:tabs>
          <w:tab w:val="right" w:pos="9072"/>
        </w:tabs>
        <w:kinsoku/>
        <w:bidi w:val="0"/>
        <w:spacing w:line="360" w:lineRule="auto"/>
        <w:textAlignment w:val="auto"/>
        <w:outlineLvl w:val="9"/>
        <w:rPr>
          <w:rFonts w:hint="eastAsia" w:ascii="宋体" w:hAnsi="宋体" w:eastAsia="宋体" w:cs="宋体"/>
          <w:b/>
          <w:bCs/>
          <w:sz w:val="21"/>
          <w:szCs w:val="21"/>
        </w:rPr>
      </w:pPr>
    </w:p>
    <w:p w14:paraId="6D7BB90D">
      <w:pPr>
        <w:pageBreakBefore w:val="0"/>
        <w:tabs>
          <w:tab w:val="right" w:pos="9072"/>
        </w:tabs>
        <w:kinsoku/>
        <w:bidi w:val="0"/>
        <w:spacing w:line="360" w:lineRule="auto"/>
        <w:jc w:val="both"/>
        <w:textAlignment w:val="auto"/>
        <w:outlineLvl w:val="9"/>
        <w:rPr>
          <w:rFonts w:ascii="宋体" w:hAnsi="宋体" w:eastAsia="宋体" w:cs="宋体"/>
          <w:b/>
          <w:bCs/>
          <w:spacing w:val="5"/>
          <w:sz w:val="35"/>
          <w:szCs w:val="35"/>
        </w:rPr>
      </w:pPr>
      <w:r>
        <w:rPr>
          <w:rFonts w:hint="eastAsia" w:ascii="宋体" w:hAnsi="宋体" w:eastAsia="宋体" w:cs="宋体"/>
          <w:i w:val="0"/>
          <w:iCs w:val="0"/>
          <w:caps w:val="0"/>
          <w:snapToGrid/>
          <w:color w:val="auto"/>
          <w:spacing w:val="0"/>
          <w:kern w:val="0"/>
          <w:sz w:val="24"/>
          <w:szCs w:val="24"/>
          <w:shd w:val="clear" w:color="auto" w:fill="FFFFFF"/>
          <w:lang w:val="en-US" w:eastAsia="zh-CN" w:bidi="ar-SA"/>
        </w:rPr>
        <w:t>注：本分项报价金额应与“开标一览表”中的“投标报价”一致。</w:t>
      </w:r>
    </w:p>
    <w:p w14:paraId="0C634AC6">
      <w:pPr>
        <w:spacing w:before="138" w:line="360" w:lineRule="auto"/>
        <w:ind w:left="2816"/>
        <w:outlineLvl w:val="9"/>
        <w:rPr>
          <w:rFonts w:hint="eastAsia" w:ascii="宋体" w:hAnsi="宋体" w:eastAsia="宋体" w:cs="宋体"/>
          <w:b/>
          <w:bCs/>
          <w:spacing w:val="5"/>
          <w:sz w:val="35"/>
          <w:szCs w:val="35"/>
          <w:lang w:val="en-US" w:eastAsia="zh-CN"/>
        </w:rPr>
      </w:pPr>
    </w:p>
    <w:p w14:paraId="14CF667E">
      <w:pPr>
        <w:spacing w:before="138" w:line="360" w:lineRule="auto"/>
        <w:ind w:left="2816"/>
        <w:outlineLvl w:val="9"/>
        <w:rPr>
          <w:rFonts w:hint="eastAsia" w:ascii="宋体" w:hAnsi="宋体" w:eastAsia="宋体" w:cs="宋体"/>
          <w:b/>
          <w:bCs/>
          <w:spacing w:val="5"/>
          <w:sz w:val="35"/>
          <w:szCs w:val="35"/>
          <w:lang w:val="en-US" w:eastAsia="zh-CN"/>
        </w:rPr>
      </w:pPr>
    </w:p>
    <w:p w14:paraId="7AA6B1F3">
      <w:pPr>
        <w:spacing w:before="138" w:line="360" w:lineRule="auto"/>
        <w:outlineLvl w:val="9"/>
        <w:rPr>
          <w:rFonts w:hint="eastAsia" w:ascii="宋体" w:hAnsi="宋体" w:eastAsia="宋体" w:cs="宋体"/>
          <w:b/>
          <w:bCs/>
          <w:spacing w:val="5"/>
          <w:sz w:val="35"/>
          <w:szCs w:val="35"/>
          <w:lang w:val="en-US" w:eastAsia="zh-CN"/>
        </w:rPr>
      </w:pPr>
    </w:p>
    <w:p w14:paraId="56D5E869">
      <w:pPr>
        <w:spacing w:before="138" w:line="360" w:lineRule="auto"/>
        <w:ind w:left="2816"/>
        <w:outlineLvl w:val="9"/>
        <w:rPr>
          <w:rFonts w:ascii="宋体" w:hAnsi="宋体" w:eastAsia="宋体" w:cs="宋体"/>
          <w:sz w:val="35"/>
          <w:szCs w:val="35"/>
        </w:rPr>
      </w:pPr>
      <w:r>
        <w:rPr>
          <w:rFonts w:hint="eastAsia" w:ascii="宋体" w:hAnsi="宋体" w:eastAsia="宋体" w:cs="宋体"/>
          <w:b/>
          <w:bCs/>
          <w:spacing w:val="5"/>
          <w:sz w:val="35"/>
          <w:szCs w:val="35"/>
          <w:lang w:val="en-US" w:eastAsia="zh-CN"/>
        </w:rPr>
        <w:t>四</w:t>
      </w:r>
      <w:r>
        <w:rPr>
          <w:rFonts w:ascii="宋体" w:hAnsi="宋体" w:eastAsia="宋体" w:cs="宋体"/>
          <w:b/>
          <w:bCs/>
          <w:spacing w:val="5"/>
          <w:sz w:val="35"/>
          <w:szCs w:val="35"/>
        </w:rPr>
        <w:t>、资格证明文件</w:t>
      </w:r>
    </w:p>
    <w:p w14:paraId="1CA216E8">
      <w:pPr>
        <w:spacing w:before="180" w:line="360" w:lineRule="auto"/>
        <w:ind w:left="502"/>
        <w:outlineLvl w:val="9"/>
        <w:rPr>
          <w:rFonts w:ascii="宋体" w:hAnsi="宋体" w:eastAsia="宋体" w:cs="宋体"/>
          <w:sz w:val="24"/>
          <w:szCs w:val="24"/>
        </w:rPr>
      </w:pPr>
      <w:r>
        <w:rPr>
          <w:rFonts w:ascii="宋体" w:hAnsi="宋体" w:eastAsia="宋体" w:cs="宋体"/>
          <w:b/>
          <w:bCs/>
          <w:spacing w:val="-2"/>
          <w:sz w:val="24"/>
          <w:szCs w:val="24"/>
        </w:rPr>
        <w:t>谈判响应文件中附以下资质证明文件的复印件加盖公章。</w:t>
      </w:r>
    </w:p>
    <w:p w14:paraId="10218B26">
      <w:pPr>
        <w:spacing w:before="183" w:line="360" w:lineRule="auto"/>
        <w:ind w:left="761"/>
        <w:outlineLvl w:val="9"/>
        <w:rPr>
          <w:rFonts w:ascii="宋体" w:hAnsi="宋体" w:eastAsia="宋体" w:cs="宋体"/>
          <w:sz w:val="24"/>
          <w:szCs w:val="24"/>
        </w:rPr>
      </w:pPr>
      <w:r>
        <w:rPr>
          <w:rFonts w:ascii="宋体" w:hAnsi="宋体" w:eastAsia="宋体" w:cs="宋体"/>
          <w:spacing w:val="-1"/>
          <w:sz w:val="24"/>
          <w:szCs w:val="24"/>
        </w:rPr>
        <w:t>1、供应商为本项目提供的资格证明要求见供应商须知前附表；</w:t>
      </w:r>
    </w:p>
    <w:p w14:paraId="12663ECD">
      <w:pPr>
        <w:spacing w:before="183" w:line="360" w:lineRule="auto"/>
        <w:ind w:left="746"/>
        <w:outlineLvl w:val="9"/>
        <w:rPr>
          <w:rFonts w:ascii="宋体" w:hAnsi="宋体" w:eastAsia="宋体" w:cs="宋体"/>
          <w:sz w:val="24"/>
          <w:szCs w:val="24"/>
        </w:rPr>
      </w:pPr>
      <w:r>
        <w:rPr>
          <w:rFonts w:ascii="宋体" w:hAnsi="宋体" w:eastAsia="宋体" w:cs="宋体"/>
          <w:spacing w:val="-1"/>
          <w:sz w:val="24"/>
          <w:szCs w:val="24"/>
        </w:rPr>
        <w:t>2、供应商按照谈判文件要求提供本项目所需要的其他资质证明材料。</w:t>
      </w:r>
    </w:p>
    <w:p w14:paraId="2763DE24">
      <w:pPr>
        <w:spacing w:before="183" w:line="360" w:lineRule="auto"/>
        <w:ind w:left="748"/>
        <w:outlineLvl w:val="9"/>
        <w:rPr>
          <w:rFonts w:ascii="宋体" w:hAnsi="宋体" w:eastAsia="宋体" w:cs="宋体"/>
          <w:sz w:val="24"/>
          <w:szCs w:val="24"/>
        </w:rPr>
      </w:pPr>
      <w:r>
        <w:rPr>
          <w:rFonts w:ascii="宋体" w:hAnsi="宋体" w:eastAsia="宋体" w:cs="宋体"/>
          <w:spacing w:val="-1"/>
          <w:sz w:val="24"/>
          <w:szCs w:val="24"/>
        </w:rPr>
        <w:t>3、其他可以证明供应商实力的文件。</w:t>
      </w:r>
    </w:p>
    <w:p w14:paraId="738704F8">
      <w:pPr>
        <w:spacing w:line="360" w:lineRule="auto"/>
        <w:outlineLvl w:val="9"/>
        <w:rPr>
          <w:rFonts w:ascii="宋体" w:hAnsi="宋体" w:eastAsia="宋体" w:cs="宋体"/>
          <w:sz w:val="24"/>
          <w:szCs w:val="24"/>
        </w:rPr>
        <w:sectPr>
          <w:footerReference r:id="rId18" w:type="default"/>
          <w:pgSz w:w="11906" w:h="16838"/>
          <w:pgMar w:top="1429" w:right="1786" w:bottom="1372" w:left="1786" w:header="0" w:footer="1208" w:gutter="0"/>
          <w:pgNumType w:fmt="decimal"/>
          <w:cols w:space="0" w:num="1"/>
          <w:rtlGutter w:val="0"/>
          <w:docGrid w:linePitch="0" w:charSpace="0"/>
        </w:sectPr>
      </w:pPr>
    </w:p>
    <w:p w14:paraId="40C2D97C">
      <w:pPr>
        <w:spacing w:before="56" w:line="360" w:lineRule="auto"/>
        <w:ind w:left="24"/>
        <w:outlineLvl w:val="9"/>
        <w:rPr>
          <w:rFonts w:ascii="宋体" w:hAnsi="宋体" w:eastAsia="宋体" w:cs="宋体"/>
          <w:sz w:val="28"/>
          <w:szCs w:val="28"/>
        </w:rPr>
      </w:pPr>
      <w:r>
        <w:rPr>
          <w:rFonts w:ascii="宋体" w:hAnsi="宋体" w:eastAsia="宋体" w:cs="宋体"/>
          <w:b/>
          <w:bCs/>
          <w:spacing w:val="-14"/>
          <w:sz w:val="28"/>
          <w:szCs w:val="28"/>
        </w:rPr>
        <w:t>附件：</w:t>
      </w:r>
    </w:p>
    <w:p w14:paraId="32B97903">
      <w:pPr>
        <w:spacing w:before="79" w:line="360" w:lineRule="auto"/>
        <w:ind w:left="1169"/>
        <w:outlineLvl w:val="9"/>
        <w:rPr>
          <w:rFonts w:ascii="宋体" w:hAnsi="宋体" w:eastAsia="宋体" w:cs="宋体"/>
          <w:sz w:val="35"/>
          <w:szCs w:val="35"/>
        </w:rPr>
      </w:pPr>
      <w:r>
        <w:rPr>
          <w:rFonts w:ascii="宋体" w:hAnsi="宋体" w:eastAsia="宋体" w:cs="宋体"/>
          <w:b/>
          <w:bCs/>
          <w:color w:val="333333"/>
          <w:spacing w:val="6"/>
          <w:sz w:val="35"/>
          <w:szCs w:val="35"/>
        </w:rPr>
        <w:t>榆林市政府采购</w:t>
      </w:r>
      <w:r>
        <w:rPr>
          <w:rFonts w:hint="eastAsia" w:ascii="宋体" w:hAnsi="宋体" w:eastAsia="宋体" w:cs="宋体"/>
          <w:b/>
          <w:bCs/>
          <w:color w:val="333333"/>
          <w:spacing w:val="6"/>
          <w:sz w:val="35"/>
          <w:szCs w:val="35"/>
          <w:lang w:val="en-US" w:eastAsia="zh-CN"/>
        </w:rPr>
        <w:t>服务</w:t>
      </w:r>
      <w:r>
        <w:rPr>
          <w:rFonts w:ascii="宋体" w:hAnsi="宋体" w:eastAsia="宋体" w:cs="宋体"/>
          <w:b/>
          <w:bCs/>
          <w:color w:val="333333"/>
          <w:spacing w:val="6"/>
          <w:sz w:val="35"/>
          <w:szCs w:val="35"/>
        </w:rPr>
        <w:t>类项目供应商信用承诺书</w:t>
      </w:r>
    </w:p>
    <w:p w14:paraId="2553B66A">
      <w:pPr>
        <w:pStyle w:val="4"/>
        <w:spacing w:line="360" w:lineRule="auto"/>
        <w:outlineLvl w:val="9"/>
      </w:pPr>
    </w:p>
    <w:p w14:paraId="2C5EB05E">
      <w:pPr>
        <w:keepNext w:val="0"/>
        <w:keepLines w:val="0"/>
        <w:widowControl/>
        <w:suppressLineNumbers w:val="0"/>
        <w:spacing w:line="360" w:lineRule="auto"/>
        <w:ind w:firstLine="480" w:firstLineChars="200"/>
        <w:jc w:val="left"/>
        <w:outlineLvl w:val="9"/>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市场主体名称：</w:t>
      </w:r>
    </w:p>
    <w:p w14:paraId="1E1DDA41">
      <w:pPr>
        <w:keepNext w:val="0"/>
        <w:keepLines w:val="0"/>
        <w:widowControl/>
        <w:suppressLineNumbers w:val="0"/>
        <w:spacing w:line="360" w:lineRule="auto"/>
        <w:ind w:firstLine="480" w:firstLineChars="200"/>
        <w:jc w:val="left"/>
        <w:outlineLvl w:val="9"/>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证件类型：统一社会信用代码</w:t>
      </w:r>
    </w:p>
    <w:p w14:paraId="6B7D8F52">
      <w:pPr>
        <w:keepNext w:val="0"/>
        <w:keepLines w:val="0"/>
        <w:widowControl/>
        <w:suppressLineNumbers w:val="0"/>
        <w:spacing w:line="360" w:lineRule="auto"/>
        <w:ind w:firstLine="480" w:firstLineChars="200"/>
        <w:jc w:val="left"/>
        <w:outlineLvl w:val="9"/>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证件号码：</w:t>
      </w:r>
    </w:p>
    <w:p w14:paraId="244AB640">
      <w:pPr>
        <w:keepNext w:val="0"/>
        <w:keepLines w:val="0"/>
        <w:widowControl/>
        <w:suppressLineNumbers w:val="0"/>
        <w:spacing w:line="360" w:lineRule="auto"/>
        <w:ind w:firstLine="480" w:firstLineChars="200"/>
        <w:jc w:val="left"/>
        <w:outlineLvl w:val="9"/>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法人代表：</w:t>
      </w:r>
    </w:p>
    <w:p w14:paraId="53A910D0">
      <w:pPr>
        <w:keepNext w:val="0"/>
        <w:keepLines w:val="0"/>
        <w:widowControl/>
        <w:suppressLineNumbers w:val="0"/>
        <w:spacing w:line="360" w:lineRule="auto"/>
        <w:ind w:firstLine="480" w:firstLineChars="200"/>
        <w:jc w:val="left"/>
        <w:outlineLvl w:val="9"/>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承诺有效期限：年月日—年月日</w:t>
      </w:r>
    </w:p>
    <w:p w14:paraId="3AED13E5">
      <w:pPr>
        <w:keepNext w:val="0"/>
        <w:keepLines w:val="0"/>
        <w:widowControl/>
        <w:suppressLineNumbers w:val="0"/>
        <w:spacing w:line="360" w:lineRule="auto"/>
        <w:ind w:firstLine="480" w:firstLineChars="200"/>
        <w:jc w:val="left"/>
        <w:outlineLvl w:val="9"/>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承诺内容：</w:t>
      </w:r>
    </w:p>
    <w:p w14:paraId="3799A52E">
      <w:pPr>
        <w:keepNext w:val="0"/>
        <w:keepLines w:val="0"/>
        <w:widowControl/>
        <w:suppressLineNumbers w:val="0"/>
        <w:spacing w:line="360" w:lineRule="auto"/>
        <w:ind w:firstLine="480" w:firstLineChars="200"/>
        <w:jc w:val="left"/>
        <w:outlineLvl w:val="9"/>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为维护公开、公平、公正的政府采购市场秩序，树立诚实守信的政府采购供应商形象，本单位自愿做出以下承诺：</w:t>
      </w:r>
    </w:p>
    <w:p w14:paraId="7EC2B8DA">
      <w:pPr>
        <w:keepNext w:val="0"/>
        <w:keepLines w:val="0"/>
        <w:widowControl/>
        <w:suppressLineNumbers w:val="0"/>
        <w:spacing w:line="360" w:lineRule="auto"/>
        <w:ind w:firstLine="480" w:firstLineChars="200"/>
        <w:jc w:val="left"/>
        <w:outlineLvl w:val="9"/>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一、承诺本单位严格遵守国家法律、法规和规章，全面履行应尽的责任和义务，全面做到履约守信，具备《政府采购法》第二十二条第一款规定的条件;</w:t>
      </w:r>
    </w:p>
    <w:p w14:paraId="6259512C">
      <w:pPr>
        <w:keepNext w:val="0"/>
        <w:keepLines w:val="0"/>
        <w:widowControl/>
        <w:suppressLineNumbers w:val="0"/>
        <w:spacing w:line="360" w:lineRule="auto"/>
        <w:ind w:firstLine="480" w:firstLineChars="200"/>
        <w:jc w:val="left"/>
        <w:outlineLvl w:val="9"/>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二、承诺本单位提供给注册登记部门、行业管理部门、司法部门、行业组织以及在政府采购活动中提交的所有资料均合法、真实、有效，无任何伪造、修改、虚假成份，并对所提供资料的真实性负责；</w:t>
      </w:r>
    </w:p>
    <w:p w14:paraId="3324FF6D">
      <w:pPr>
        <w:keepNext w:val="0"/>
        <w:keepLines w:val="0"/>
        <w:widowControl/>
        <w:suppressLineNumbers w:val="0"/>
        <w:spacing w:line="360" w:lineRule="auto"/>
        <w:ind w:firstLine="480" w:firstLineChars="200"/>
        <w:jc w:val="left"/>
        <w:outlineLvl w:val="9"/>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三、承诺本单位严格依法开展生产经营活动，主动接受行业监管，自愿接受依法开展的日常检查；违法失信经营后将自愿接受约束和惩戒，并依法承担相应责任；</w:t>
      </w:r>
    </w:p>
    <w:p w14:paraId="0F57DCF7">
      <w:pPr>
        <w:keepNext w:val="0"/>
        <w:keepLines w:val="0"/>
        <w:widowControl/>
        <w:suppressLineNumbers w:val="0"/>
        <w:spacing w:line="360" w:lineRule="auto"/>
        <w:ind w:firstLine="480" w:firstLineChars="200"/>
        <w:jc w:val="left"/>
        <w:outlineLvl w:val="9"/>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四、承诺本单位自觉接受行政管理部门、行业组织、社会公众、新闻舆论的监督；</w:t>
      </w:r>
    </w:p>
    <w:p w14:paraId="31BBBEF3">
      <w:pPr>
        <w:keepNext w:val="0"/>
        <w:keepLines w:val="0"/>
        <w:widowControl/>
        <w:suppressLineNumbers w:val="0"/>
        <w:spacing w:line="360" w:lineRule="auto"/>
        <w:ind w:firstLine="480" w:firstLineChars="200"/>
        <w:jc w:val="left"/>
        <w:outlineLvl w:val="9"/>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五、承诺本单位自我约束、自我管理，重合同、守信用，不制假售假、商标侵权、虚假宣传、违约毁约、恶意逃债、偷税漏税、价格欺诈、垄断和不正当竞争，维护经营者、消费者的合法权益；</w:t>
      </w:r>
    </w:p>
    <w:p w14:paraId="78B3EC3F">
      <w:pPr>
        <w:keepNext w:val="0"/>
        <w:keepLines w:val="0"/>
        <w:widowControl/>
        <w:suppressLineNumbers w:val="0"/>
        <w:spacing w:line="360" w:lineRule="auto"/>
        <w:ind w:firstLine="480" w:firstLineChars="200"/>
        <w:jc w:val="left"/>
        <w:outlineLvl w:val="9"/>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六、承诺本单位提出政府采购质疑和投诉坚持依法依规、诚实信用原则，在全国范围12个月内没有三次以上查无实据的政府采购投诉；</w:t>
      </w:r>
    </w:p>
    <w:p w14:paraId="1DE85F59">
      <w:pPr>
        <w:keepNext w:val="0"/>
        <w:keepLines w:val="0"/>
        <w:widowControl/>
        <w:suppressLineNumbers w:val="0"/>
        <w:spacing w:line="360" w:lineRule="auto"/>
        <w:ind w:firstLine="480" w:firstLineChars="200"/>
        <w:jc w:val="left"/>
        <w:outlineLvl w:val="9"/>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七、根据政府采购相关法律法规的规定需要作出的其他承诺：</w:t>
      </w:r>
      <w:r>
        <w:rPr>
          <w:rFonts w:hint="eastAsia" w:ascii="宋体" w:hAnsi="宋体" w:eastAsia="宋体" w:cs="宋体"/>
          <w:color w:val="000000"/>
          <w:kern w:val="0"/>
          <w:sz w:val="24"/>
          <w:szCs w:val="24"/>
          <w:u w:val="single"/>
          <w:lang w:val="en-US" w:eastAsia="zh-CN" w:bidi="ar"/>
        </w:rPr>
        <w:t>      </w:t>
      </w:r>
      <w:r>
        <w:rPr>
          <w:rFonts w:hint="eastAsia" w:ascii="宋体" w:hAnsi="宋体" w:eastAsia="宋体" w:cs="宋体"/>
          <w:color w:val="000000"/>
          <w:kern w:val="0"/>
          <w:sz w:val="24"/>
          <w:szCs w:val="24"/>
          <w:lang w:val="en-US" w:eastAsia="zh-CN" w:bidi="ar"/>
        </w:rPr>
        <w:t>。</w:t>
      </w:r>
    </w:p>
    <w:p w14:paraId="38B01D78">
      <w:pPr>
        <w:keepNext w:val="0"/>
        <w:keepLines w:val="0"/>
        <w:widowControl/>
        <w:suppressLineNumbers w:val="0"/>
        <w:spacing w:line="360" w:lineRule="auto"/>
        <w:ind w:firstLine="480" w:firstLineChars="200"/>
        <w:jc w:val="left"/>
        <w:outlineLvl w:val="9"/>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八、按照信用信息管理有关要求，本单位同意将以上承诺在各级信用信息共享平台公示，接受社会监督。若违背以上承诺，同意依据相关规定记入企业信用档案和在各级信用信息共享平台公示；性质严重的，同意承担相应法律后果和责任，并依法依规列入严重失信名单。</w:t>
      </w:r>
    </w:p>
    <w:p w14:paraId="11A850BC">
      <w:pPr>
        <w:keepNext w:val="0"/>
        <w:keepLines w:val="0"/>
        <w:widowControl/>
        <w:suppressLineNumbers w:val="0"/>
        <w:spacing w:line="360" w:lineRule="auto"/>
        <w:ind w:firstLine="480" w:firstLineChars="200"/>
        <w:jc w:val="left"/>
        <w:outlineLvl w:val="9"/>
        <w:rPr>
          <w:rFonts w:hint="eastAsia" w:ascii="宋体" w:hAnsi="宋体" w:eastAsia="宋体" w:cs="宋体"/>
          <w:color w:val="000000"/>
          <w:kern w:val="0"/>
          <w:sz w:val="24"/>
          <w:szCs w:val="24"/>
          <w:lang w:val="en-US" w:eastAsia="zh-CN" w:bidi="ar"/>
        </w:rPr>
      </w:pPr>
    </w:p>
    <w:p w14:paraId="43F12998">
      <w:pPr>
        <w:keepNext w:val="0"/>
        <w:keepLines w:val="0"/>
        <w:widowControl/>
        <w:suppressLineNumbers w:val="0"/>
        <w:spacing w:line="360" w:lineRule="auto"/>
        <w:jc w:val="left"/>
        <w:outlineLvl w:val="9"/>
        <w:rPr>
          <w:rFonts w:hint="eastAsia" w:ascii="宋体" w:hAnsi="宋体" w:eastAsia="宋体" w:cs="宋体"/>
          <w:color w:val="000000"/>
          <w:kern w:val="0"/>
          <w:sz w:val="24"/>
          <w:szCs w:val="24"/>
          <w:lang w:val="en-US" w:eastAsia="zh-CN" w:bidi="ar"/>
        </w:rPr>
      </w:pPr>
    </w:p>
    <w:p w14:paraId="68192C18">
      <w:pPr>
        <w:keepNext w:val="0"/>
        <w:keepLines w:val="0"/>
        <w:widowControl/>
        <w:suppressLineNumbers w:val="0"/>
        <w:spacing w:line="360" w:lineRule="auto"/>
        <w:ind w:firstLine="480" w:firstLineChars="200"/>
        <w:jc w:val="left"/>
        <w:outlineLvl w:val="9"/>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承诺单位（盖章）：</w:t>
      </w:r>
    </w:p>
    <w:p w14:paraId="18353239">
      <w:pPr>
        <w:keepNext w:val="0"/>
        <w:keepLines w:val="0"/>
        <w:widowControl/>
        <w:suppressLineNumbers w:val="0"/>
        <w:spacing w:line="360" w:lineRule="auto"/>
        <w:ind w:firstLine="480" w:firstLineChars="200"/>
        <w:jc w:val="left"/>
        <w:outlineLvl w:val="9"/>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法定代表人/负责人：</w:t>
      </w:r>
    </w:p>
    <w:p w14:paraId="5C41A11B">
      <w:pPr>
        <w:keepNext w:val="0"/>
        <w:keepLines w:val="0"/>
        <w:widowControl/>
        <w:suppressLineNumbers w:val="0"/>
        <w:spacing w:line="360" w:lineRule="auto"/>
        <w:ind w:firstLine="480" w:firstLineChars="200"/>
        <w:jc w:val="left"/>
        <w:outlineLvl w:val="9"/>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法定代表人/负责人身份证号：</w:t>
      </w:r>
    </w:p>
    <w:p w14:paraId="1DCB21C5">
      <w:pPr>
        <w:pStyle w:val="4"/>
        <w:spacing w:line="360" w:lineRule="auto"/>
        <w:ind w:firstLine="480" w:firstLineChars="200"/>
        <w:outlineLvl w:val="9"/>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承诺日期：</w:t>
      </w:r>
    </w:p>
    <w:p w14:paraId="2AF08FEA">
      <w:pPr>
        <w:spacing w:line="360" w:lineRule="auto"/>
        <w:outlineLvl w:val="9"/>
        <w:rPr>
          <w:rFonts w:hint="eastAsia" w:ascii="宋体" w:hAnsi="宋体" w:eastAsia="宋体" w:cs="宋体"/>
          <w:color w:val="000000"/>
          <w:kern w:val="0"/>
          <w:sz w:val="24"/>
          <w:szCs w:val="24"/>
          <w:lang w:val="en-US" w:eastAsia="zh-CN" w:bidi="ar"/>
        </w:rPr>
      </w:pPr>
    </w:p>
    <w:p w14:paraId="1D6E4435">
      <w:pPr>
        <w:spacing w:before="79" w:line="360" w:lineRule="auto"/>
        <w:ind w:firstLine="452" w:firstLineChars="200"/>
        <w:jc w:val="both"/>
        <w:outlineLvl w:val="9"/>
        <w:rPr>
          <w:rFonts w:hint="eastAsia" w:ascii="宋体" w:hAnsi="宋体" w:eastAsia="宋体" w:cs="宋体"/>
          <w:spacing w:val="-7"/>
          <w:sz w:val="24"/>
          <w:szCs w:val="24"/>
          <w:lang w:val="en-US" w:eastAsia="zh-CN"/>
        </w:rPr>
      </w:pPr>
      <w:r>
        <w:rPr>
          <w:rFonts w:hint="eastAsia" w:ascii="宋体" w:hAnsi="宋体" w:eastAsia="宋体" w:cs="宋体"/>
          <w:spacing w:val="-7"/>
          <w:sz w:val="24"/>
          <w:szCs w:val="24"/>
          <w:lang w:val="en-US" w:eastAsia="zh-CN"/>
        </w:rPr>
        <w:t>注：法定代表人或负责人、主体名称发生变更的应当重新做出承诺；承诺书标题按照工程类、服务类、货物类确定。</w:t>
      </w:r>
    </w:p>
    <w:p w14:paraId="61E16B02">
      <w:pPr>
        <w:spacing w:before="79" w:line="360" w:lineRule="auto"/>
        <w:ind w:firstLine="472" w:firstLineChars="200"/>
        <w:jc w:val="both"/>
        <w:outlineLvl w:val="9"/>
        <w:rPr>
          <w:rFonts w:ascii="宋体" w:hAnsi="宋体" w:eastAsia="宋体" w:cs="宋体"/>
          <w:spacing w:val="-2"/>
          <w:sz w:val="24"/>
          <w:szCs w:val="24"/>
        </w:rPr>
      </w:pPr>
      <w:r>
        <w:rPr>
          <w:rFonts w:ascii="宋体" w:hAnsi="宋体" w:eastAsia="宋体" w:cs="宋体"/>
          <w:spacing w:val="-2"/>
          <w:sz w:val="24"/>
          <w:szCs w:val="24"/>
        </w:rPr>
        <w:t>注：此承诺书除附在投标文件中外还须上传至“信用中国（陕西榆林）”网站投标</w:t>
      </w:r>
    </w:p>
    <w:p w14:paraId="5748BF2A">
      <w:pPr>
        <w:spacing w:before="79" w:line="360" w:lineRule="auto"/>
        <w:jc w:val="both"/>
        <w:outlineLvl w:val="9"/>
        <w:rPr>
          <w:rFonts w:ascii="宋体" w:hAnsi="宋体" w:eastAsia="宋体" w:cs="宋体"/>
          <w:sz w:val="24"/>
          <w:szCs w:val="24"/>
        </w:rPr>
      </w:pPr>
      <w:r>
        <w:rPr>
          <w:rFonts w:ascii="宋体" w:hAnsi="宋体" w:eastAsia="宋体" w:cs="宋体"/>
          <w:spacing w:val="-2"/>
          <w:sz w:val="24"/>
          <w:szCs w:val="24"/>
        </w:rPr>
        <w:t>人自</w:t>
      </w:r>
      <w:r>
        <w:rPr>
          <w:rFonts w:ascii="宋体" w:hAnsi="宋体" w:eastAsia="宋体" w:cs="宋体"/>
          <w:spacing w:val="-7"/>
          <w:sz w:val="24"/>
          <w:szCs w:val="24"/>
        </w:rPr>
        <w:t>主上报信用承诺书附件。（承诺有效期为1年，承诺起始时间为提交投标文件截</w:t>
      </w:r>
      <w:r>
        <w:rPr>
          <w:rFonts w:ascii="宋体" w:hAnsi="宋体" w:eastAsia="宋体" w:cs="宋体"/>
          <w:spacing w:val="-8"/>
          <w:sz w:val="24"/>
          <w:szCs w:val="24"/>
        </w:rPr>
        <w:t>止之日，</w:t>
      </w:r>
      <w:r>
        <w:rPr>
          <w:rFonts w:ascii="宋体" w:hAnsi="宋体" w:eastAsia="宋体" w:cs="宋体"/>
          <w:sz w:val="24"/>
          <w:szCs w:val="24"/>
        </w:rPr>
        <w:t>须后附截图。）法定代表人或负责人、主体名称发</w:t>
      </w:r>
      <w:r>
        <w:rPr>
          <w:rFonts w:ascii="宋体" w:hAnsi="宋体" w:eastAsia="宋体" w:cs="宋体"/>
          <w:spacing w:val="-1"/>
          <w:sz w:val="24"/>
          <w:szCs w:val="24"/>
        </w:rPr>
        <w:t>生变更的应当重新做出承诺。</w:t>
      </w:r>
    </w:p>
    <w:p w14:paraId="087019D8">
      <w:pPr>
        <w:spacing w:line="360" w:lineRule="auto"/>
        <w:outlineLvl w:val="9"/>
        <w:rPr>
          <w:rFonts w:ascii="宋体" w:hAnsi="宋体" w:eastAsia="宋体" w:cs="宋体"/>
          <w:sz w:val="24"/>
          <w:szCs w:val="24"/>
        </w:rPr>
        <w:sectPr>
          <w:footerReference r:id="rId19" w:type="default"/>
          <w:pgSz w:w="11906" w:h="16838"/>
          <w:pgMar w:top="1429" w:right="1786" w:bottom="1372" w:left="1786" w:header="0" w:footer="1208" w:gutter="0"/>
          <w:pgNumType w:fmt="decimal"/>
          <w:cols w:space="0" w:num="1"/>
          <w:rtlGutter w:val="0"/>
          <w:docGrid w:linePitch="0" w:charSpace="0"/>
        </w:sectPr>
      </w:pPr>
    </w:p>
    <w:p w14:paraId="5751204A">
      <w:pPr>
        <w:spacing w:before="63" w:line="360" w:lineRule="auto"/>
        <w:ind w:left="1807"/>
        <w:outlineLvl w:val="9"/>
        <w:rPr>
          <w:rFonts w:ascii="宋体" w:hAnsi="宋体" w:eastAsia="宋体" w:cs="宋体"/>
          <w:sz w:val="31"/>
          <w:szCs w:val="31"/>
        </w:rPr>
      </w:pPr>
      <w:r>
        <w:rPr>
          <w:rFonts w:ascii="宋体" w:hAnsi="宋体" w:eastAsia="宋体" w:cs="宋体"/>
          <w:b/>
          <w:bCs/>
          <w:spacing w:val="-5"/>
          <w:sz w:val="31"/>
          <w:szCs w:val="31"/>
        </w:rPr>
        <w:t>供应商信用承诺书Ⅰ(并附网页截图)</w:t>
      </w:r>
    </w:p>
    <w:p w14:paraId="1FDE5205">
      <w:pPr>
        <w:spacing w:before="24" w:line="360" w:lineRule="auto"/>
        <w:outlineLvl w:val="9"/>
        <w:rPr>
          <w:rFonts w:ascii="宋体" w:hAnsi="宋体" w:eastAsia="宋体" w:cs="宋体"/>
          <w:sz w:val="24"/>
          <w:szCs w:val="24"/>
        </w:rPr>
      </w:pPr>
      <w:r>
        <w:rPr>
          <w:rFonts w:ascii="宋体" w:hAnsi="宋体" w:eastAsia="宋体" w:cs="宋体"/>
          <w:spacing w:val="-3"/>
          <w:sz w:val="24"/>
          <w:szCs w:val="24"/>
        </w:rPr>
        <w:t>供应商：</w:t>
      </w:r>
    </w:p>
    <w:p w14:paraId="5C61C754">
      <w:pPr>
        <w:spacing w:before="180" w:line="360" w:lineRule="auto"/>
        <w:ind w:left="5"/>
        <w:outlineLvl w:val="9"/>
        <w:rPr>
          <w:rFonts w:ascii="宋体" w:hAnsi="宋体" w:eastAsia="宋体" w:cs="宋体"/>
          <w:sz w:val="24"/>
          <w:szCs w:val="24"/>
        </w:rPr>
      </w:pPr>
      <w:r>
        <w:rPr>
          <w:rFonts w:ascii="宋体" w:hAnsi="宋体" w:eastAsia="宋体" w:cs="宋体"/>
          <w:sz w:val="24"/>
          <w:szCs w:val="24"/>
        </w:rPr>
        <w:t>统一社会信用代码：</w:t>
      </w:r>
      <w:r>
        <w:rPr>
          <w:rFonts w:ascii="宋体" w:hAnsi="宋体" w:eastAsia="宋体" w:cs="宋体"/>
          <w:spacing w:val="-1"/>
          <w:sz w:val="24"/>
          <w:szCs w:val="24"/>
        </w:rPr>
        <w:t>法定代表人：</w:t>
      </w:r>
    </w:p>
    <w:p w14:paraId="76C2F9C0">
      <w:pPr>
        <w:spacing w:before="184" w:line="360" w:lineRule="auto"/>
        <w:outlineLvl w:val="9"/>
        <w:rPr>
          <w:rFonts w:ascii="宋体" w:hAnsi="宋体" w:eastAsia="宋体" w:cs="宋体"/>
          <w:sz w:val="24"/>
          <w:szCs w:val="24"/>
        </w:rPr>
      </w:pPr>
      <w:r>
        <w:rPr>
          <w:rFonts w:ascii="宋体" w:hAnsi="宋体" w:eastAsia="宋体" w:cs="宋体"/>
          <w:spacing w:val="-6"/>
          <w:sz w:val="24"/>
          <w:szCs w:val="24"/>
        </w:rPr>
        <w:t>承诺有效期限：年月日—年月日</w:t>
      </w:r>
    </w:p>
    <w:p w14:paraId="47787F3D">
      <w:pPr>
        <w:spacing w:before="183" w:line="360" w:lineRule="auto"/>
        <w:ind w:left="479"/>
        <w:outlineLvl w:val="9"/>
        <w:rPr>
          <w:rFonts w:ascii="宋体" w:hAnsi="宋体" w:eastAsia="宋体" w:cs="宋体"/>
          <w:sz w:val="24"/>
          <w:szCs w:val="24"/>
        </w:rPr>
      </w:pPr>
      <w:r>
        <w:rPr>
          <w:rFonts w:ascii="宋体" w:hAnsi="宋体" w:eastAsia="宋体" w:cs="宋体"/>
          <w:spacing w:val="-2"/>
          <w:sz w:val="24"/>
          <w:szCs w:val="24"/>
        </w:rPr>
        <w:t>在招投标活动中，我公司(单位)郑重作出以下信用承诺：</w:t>
      </w:r>
    </w:p>
    <w:p w14:paraId="61435864">
      <w:pPr>
        <w:spacing w:before="184" w:line="360" w:lineRule="auto"/>
        <w:ind w:right="78" w:firstLine="491"/>
        <w:outlineLvl w:val="9"/>
        <w:rPr>
          <w:rFonts w:ascii="宋体" w:hAnsi="宋体" w:eastAsia="宋体" w:cs="宋体"/>
          <w:sz w:val="24"/>
          <w:szCs w:val="24"/>
        </w:rPr>
      </w:pPr>
      <w:r>
        <w:rPr>
          <w:rFonts w:ascii="宋体" w:hAnsi="宋体" w:eastAsia="宋体" w:cs="宋体"/>
          <w:spacing w:val="-1"/>
          <w:sz w:val="24"/>
          <w:szCs w:val="24"/>
        </w:rPr>
        <w:t>（一）能严格遵守法律法规、职业道德和行业规范，具有独立承担民事责任的能</w:t>
      </w:r>
      <w:r>
        <w:rPr>
          <w:rFonts w:ascii="宋体" w:hAnsi="宋体" w:eastAsia="宋体" w:cs="宋体"/>
          <w:spacing w:val="-3"/>
          <w:sz w:val="24"/>
          <w:szCs w:val="24"/>
        </w:rPr>
        <w:t>力；符合依法依规应当具备的相关资质(资格)条件；具有独立承担中标项目的履约能</w:t>
      </w:r>
      <w:r>
        <w:rPr>
          <w:rFonts w:ascii="宋体" w:hAnsi="宋体" w:eastAsia="宋体" w:cs="宋体"/>
          <w:spacing w:val="-2"/>
          <w:sz w:val="24"/>
          <w:szCs w:val="24"/>
        </w:rPr>
        <w:t>力；具有良好的商业信誉和健全的财务会计制度；有依法缴纳税收和社会保障资金的良</w:t>
      </w:r>
      <w:r>
        <w:rPr>
          <w:rFonts w:ascii="宋体" w:hAnsi="宋体" w:eastAsia="宋体" w:cs="宋体"/>
          <w:spacing w:val="-1"/>
          <w:sz w:val="24"/>
          <w:szCs w:val="24"/>
        </w:rPr>
        <w:t>好记录；无法律法规规定禁止开展从业活动情形。所递交</w:t>
      </w:r>
      <w:r>
        <w:rPr>
          <w:rFonts w:ascii="宋体" w:hAnsi="宋体" w:eastAsia="宋体" w:cs="宋体"/>
          <w:spacing w:val="-2"/>
          <w:sz w:val="24"/>
          <w:szCs w:val="24"/>
        </w:rPr>
        <w:t>文件资料合法、真实、准确、完整、有效。</w:t>
      </w:r>
    </w:p>
    <w:p w14:paraId="7BE3BFCB">
      <w:pPr>
        <w:spacing w:before="181" w:line="360" w:lineRule="auto"/>
        <w:ind w:right="78" w:firstLine="521"/>
        <w:outlineLvl w:val="9"/>
        <w:rPr>
          <w:rFonts w:ascii="宋体" w:hAnsi="宋体" w:eastAsia="宋体" w:cs="宋体"/>
          <w:sz w:val="24"/>
          <w:szCs w:val="24"/>
        </w:rPr>
      </w:pPr>
      <w:r>
        <w:rPr>
          <w:rFonts w:ascii="宋体" w:hAnsi="宋体" w:eastAsia="宋体" w:cs="宋体"/>
          <w:spacing w:val="1"/>
          <w:sz w:val="24"/>
          <w:szCs w:val="24"/>
        </w:rPr>
        <w:t>(二)不得有以下违法违规行为：1.围</w:t>
      </w:r>
      <w:r>
        <w:rPr>
          <w:rFonts w:ascii="宋体" w:hAnsi="宋体" w:eastAsia="宋体" w:cs="宋体"/>
          <w:sz w:val="24"/>
          <w:szCs w:val="24"/>
        </w:rPr>
        <w:t>标串标；以他人名义或者其他方式弄虚作假</w:t>
      </w:r>
      <w:r>
        <w:rPr>
          <w:rFonts w:ascii="宋体" w:hAnsi="宋体" w:eastAsia="宋体" w:cs="宋体"/>
          <w:spacing w:val="-5"/>
          <w:sz w:val="24"/>
          <w:szCs w:val="24"/>
        </w:rPr>
        <w:t>投标；出让出租资格、资质证书供他人投标；恶意竞标、强揽工程；以暴力、威胁、利</w:t>
      </w:r>
      <w:r>
        <w:rPr>
          <w:rFonts w:ascii="宋体" w:hAnsi="宋体" w:eastAsia="宋体" w:cs="宋体"/>
          <w:spacing w:val="2"/>
          <w:sz w:val="24"/>
          <w:szCs w:val="24"/>
        </w:rPr>
        <w:t>诱等手段阻止或者控制其他潜在供应商参与招投</w:t>
      </w:r>
      <w:r>
        <w:rPr>
          <w:rFonts w:ascii="宋体" w:hAnsi="宋体" w:eastAsia="宋体" w:cs="宋体"/>
          <w:spacing w:val="1"/>
          <w:sz w:val="24"/>
          <w:szCs w:val="24"/>
        </w:rPr>
        <w:t>标活动。2.向招投标监督部门、交易</w:t>
      </w:r>
      <w:r>
        <w:rPr>
          <w:rFonts w:ascii="宋体" w:hAnsi="宋体" w:eastAsia="宋体" w:cs="宋体"/>
          <w:spacing w:val="2"/>
          <w:sz w:val="24"/>
          <w:szCs w:val="24"/>
        </w:rPr>
        <w:t>中心、采购人、采购代理机构、评审委员会及其</w:t>
      </w:r>
      <w:r>
        <w:rPr>
          <w:rFonts w:ascii="宋体" w:hAnsi="宋体" w:eastAsia="宋体" w:cs="宋体"/>
          <w:spacing w:val="1"/>
          <w:sz w:val="24"/>
          <w:szCs w:val="24"/>
        </w:rPr>
        <w:t>成员等当事主体赠送财物。3.投标截</w:t>
      </w:r>
      <w:r>
        <w:rPr>
          <w:rFonts w:ascii="宋体" w:hAnsi="宋体" w:eastAsia="宋体" w:cs="宋体"/>
          <w:spacing w:val="-3"/>
          <w:sz w:val="24"/>
          <w:szCs w:val="24"/>
        </w:rPr>
        <w:t>止后至中标人确定前，修改或者撤销投标文件。</w:t>
      </w:r>
      <w:r>
        <w:rPr>
          <w:rFonts w:ascii="宋体" w:hAnsi="宋体" w:eastAsia="宋体" w:cs="宋体"/>
          <w:spacing w:val="-4"/>
          <w:sz w:val="24"/>
          <w:szCs w:val="24"/>
        </w:rPr>
        <w:t>4.在被确定为中标人后无正当理由：不</w:t>
      </w:r>
      <w:r>
        <w:rPr>
          <w:rFonts w:ascii="宋体" w:hAnsi="宋体" w:eastAsia="宋体" w:cs="宋体"/>
          <w:spacing w:val="-3"/>
          <w:sz w:val="24"/>
          <w:szCs w:val="24"/>
        </w:rPr>
        <w:t>按照采购文件和投标文件与采购人签订合同；在签订合同时向采购人提出附加条件、或</w:t>
      </w:r>
      <w:r>
        <w:rPr>
          <w:rFonts w:ascii="宋体" w:hAnsi="宋体" w:eastAsia="宋体" w:cs="宋体"/>
          <w:spacing w:val="-1"/>
          <w:sz w:val="24"/>
          <w:szCs w:val="24"/>
        </w:rPr>
        <w:t>者改变投标文件的实质性内容；放弃中标；不按照采购</w:t>
      </w:r>
      <w:r>
        <w:rPr>
          <w:rFonts w:ascii="宋体" w:hAnsi="宋体" w:eastAsia="宋体" w:cs="宋体"/>
          <w:spacing w:val="-2"/>
          <w:sz w:val="24"/>
          <w:szCs w:val="24"/>
        </w:rPr>
        <w:t>文件的规定提交履约信用承诺。</w:t>
      </w:r>
    </w:p>
    <w:p w14:paraId="63E3EDD6">
      <w:pPr>
        <w:spacing w:before="184" w:line="360" w:lineRule="auto"/>
        <w:ind w:left="4"/>
        <w:outlineLvl w:val="9"/>
        <w:rPr>
          <w:rFonts w:ascii="宋体" w:hAnsi="宋体" w:eastAsia="宋体" w:cs="宋体"/>
          <w:sz w:val="24"/>
          <w:szCs w:val="24"/>
        </w:rPr>
      </w:pPr>
      <w:r>
        <w:rPr>
          <w:rFonts w:ascii="宋体" w:hAnsi="宋体" w:eastAsia="宋体" w:cs="宋体"/>
          <w:spacing w:val="-1"/>
          <w:sz w:val="24"/>
          <w:szCs w:val="24"/>
        </w:rPr>
        <w:t>5.招投标法规定的其它违法违规行为。</w:t>
      </w:r>
    </w:p>
    <w:p w14:paraId="5A7AE67F">
      <w:pPr>
        <w:spacing w:before="179" w:line="360" w:lineRule="auto"/>
        <w:ind w:left="522"/>
        <w:outlineLvl w:val="9"/>
        <w:rPr>
          <w:rFonts w:ascii="宋体" w:hAnsi="宋体" w:eastAsia="宋体" w:cs="宋体"/>
          <w:sz w:val="24"/>
          <w:szCs w:val="24"/>
        </w:rPr>
      </w:pPr>
      <w:r>
        <w:rPr>
          <w:rFonts w:ascii="宋体" w:hAnsi="宋体" w:eastAsia="宋体" w:cs="宋体"/>
          <w:spacing w:val="-4"/>
          <w:sz w:val="24"/>
          <w:szCs w:val="24"/>
        </w:rPr>
        <w:t>(三)自愿接受招投标监督部门和有关行政监督部门的依法检查。</w:t>
      </w:r>
    </w:p>
    <w:p w14:paraId="60D225B5">
      <w:pPr>
        <w:spacing w:before="184" w:line="360" w:lineRule="auto"/>
        <w:ind w:right="84" w:firstLine="521"/>
        <w:outlineLvl w:val="9"/>
        <w:rPr>
          <w:rFonts w:ascii="宋体" w:hAnsi="宋体" w:eastAsia="宋体" w:cs="宋体"/>
          <w:sz w:val="24"/>
          <w:szCs w:val="24"/>
        </w:rPr>
      </w:pPr>
      <w:r>
        <w:rPr>
          <w:rFonts w:ascii="宋体" w:hAnsi="宋体" w:eastAsia="宋体" w:cs="宋体"/>
          <w:spacing w:val="6"/>
          <w:sz w:val="24"/>
          <w:szCs w:val="24"/>
        </w:rPr>
        <w:t>(四)同意将此信用承诺纳入陕西省公共信用信息平台和榆林市公共信用信息共</w:t>
      </w:r>
      <w:r>
        <w:rPr>
          <w:rFonts w:ascii="宋体" w:hAnsi="宋体" w:eastAsia="宋体" w:cs="宋体"/>
          <w:spacing w:val="-1"/>
          <w:sz w:val="24"/>
          <w:szCs w:val="24"/>
        </w:rPr>
        <w:t>享平台，并上网公示，接受社会监督。</w:t>
      </w:r>
    </w:p>
    <w:p w14:paraId="6113AAB2">
      <w:pPr>
        <w:spacing w:before="185" w:line="360" w:lineRule="auto"/>
        <w:ind w:right="84" w:firstLine="521"/>
        <w:outlineLvl w:val="9"/>
        <w:rPr>
          <w:rFonts w:ascii="宋体" w:hAnsi="宋体" w:eastAsia="宋体" w:cs="宋体"/>
          <w:sz w:val="24"/>
          <w:szCs w:val="24"/>
        </w:rPr>
      </w:pPr>
      <w:r>
        <w:rPr>
          <w:rFonts w:ascii="宋体" w:hAnsi="宋体" w:eastAsia="宋体" w:cs="宋体"/>
          <w:spacing w:val="-2"/>
          <w:sz w:val="24"/>
          <w:szCs w:val="24"/>
        </w:rPr>
        <w:t>(五)若我公司(单位)及相关参与人员</w:t>
      </w:r>
      <w:r>
        <w:rPr>
          <w:rFonts w:ascii="宋体" w:hAnsi="宋体" w:eastAsia="宋体" w:cs="宋体"/>
          <w:spacing w:val="-3"/>
          <w:sz w:val="24"/>
          <w:szCs w:val="24"/>
        </w:rPr>
        <w:t>违背以上承诺事项，即被视为失信企业(</w:t>
      </w:r>
      <w:r>
        <w:rPr>
          <w:rFonts w:ascii="宋体" w:hAnsi="宋体" w:eastAsia="宋体" w:cs="宋体"/>
          <w:sz w:val="24"/>
          <w:szCs w:val="24"/>
        </w:rPr>
        <w:t>法人)，依据《关于对公共资源交易领域严重失信主体开展联合惩戒的备忘录》(发改</w:t>
      </w:r>
      <w:r>
        <w:rPr>
          <w:rFonts w:ascii="宋体" w:hAnsi="宋体" w:eastAsia="宋体" w:cs="宋体"/>
          <w:spacing w:val="-4"/>
          <w:sz w:val="24"/>
          <w:szCs w:val="24"/>
        </w:rPr>
        <w:t>法规[2018]457号)，自愿接受失信联合惩戒和依法给予的行政处罚(处理)，并</w:t>
      </w:r>
    </w:p>
    <w:p w14:paraId="3FA77B5A">
      <w:pPr>
        <w:spacing w:before="181" w:line="360" w:lineRule="auto"/>
        <w:ind w:left="124"/>
        <w:outlineLvl w:val="9"/>
        <w:rPr>
          <w:rFonts w:ascii="宋体" w:hAnsi="宋体" w:eastAsia="宋体" w:cs="宋体"/>
          <w:sz w:val="24"/>
          <w:szCs w:val="24"/>
        </w:rPr>
      </w:pPr>
      <w:r>
        <w:rPr>
          <w:rFonts w:ascii="宋体" w:hAnsi="宋体" w:eastAsia="宋体" w:cs="宋体"/>
          <w:spacing w:val="-1"/>
          <w:sz w:val="24"/>
          <w:szCs w:val="24"/>
        </w:rPr>
        <w:t>依法承担赔偿责任和刑事责任。</w:t>
      </w:r>
    </w:p>
    <w:p w14:paraId="4363A4C0">
      <w:pPr>
        <w:pStyle w:val="4"/>
        <w:spacing w:line="360" w:lineRule="auto"/>
        <w:outlineLvl w:val="9"/>
      </w:pPr>
    </w:p>
    <w:p w14:paraId="3AF63B32">
      <w:pPr>
        <w:spacing w:before="79" w:line="360" w:lineRule="auto"/>
        <w:ind w:left="123"/>
        <w:outlineLvl w:val="9"/>
        <w:rPr>
          <w:rFonts w:ascii="宋体" w:hAnsi="宋体" w:eastAsia="宋体" w:cs="宋体"/>
          <w:spacing w:val="-7"/>
          <w:sz w:val="24"/>
          <w:szCs w:val="24"/>
        </w:rPr>
      </w:pPr>
      <w:r>
        <w:rPr>
          <w:rFonts w:ascii="宋体" w:hAnsi="宋体" w:eastAsia="宋体" w:cs="宋体"/>
          <w:spacing w:val="-7"/>
          <w:sz w:val="24"/>
          <w:szCs w:val="24"/>
        </w:rPr>
        <w:t>法定代表人/负责人(签字</w:t>
      </w:r>
      <w:r>
        <w:rPr>
          <w:rFonts w:hint="eastAsia" w:ascii="宋体" w:hAnsi="宋体" w:eastAsia="宋体" w:cs="宋体"/>
          <w:spacing w:val="-7"/>
          <w:sz w:val="24"/>
          <w:szCs w:val="24"/>
          <w:lang w:val="en-US" w:eastAsia="zh-CN"/>
        </w:rPr>
        <w:t>或</w:t>
      </w:r>
      <w:r>
        <w:rPr>
          <w:rFonts w:ascii="宋体" w:hAnsi="宋体" w:eastAsia="宋体" w:cs="宋体"/>
          <w:spacing w:val="-7"/>
          <w:sz w:val="24"/>
          <w:szCs w:val="24"/>
        </w:rPr>
        <w:t>盖章)：</w:t>
      </w:r>
    </w:p>
    <w:p w14:paraId="5FFAF850">
      <w:pPr>
        <w:spacing w:before="79" w:line="360" w:lineRule="auto"/>
        <w:ind w:left="123"/>
        <w:outlineLvl w:val="9"/>
        <w:rPr>
          <w:rFonts w:ascii="宋体" w:hAnsi="宋体" w:eastAsia="宋体" w:cs="宋体"/>
          <w:sz w:val="24"/>
          <w:szCs w:val="24"/>
        </w:rPr>
      </w:pPr>
      <w:r>
        <w:rPr>
          <w:rFonts w:ascii="宋体" w:hAnsi="宋体" w:eastAsia="宋体" w:cs="宋体"/>
          <w:spacing w:val="-7"/>
          <w:sz w:val="24"/>
          <w:szCs w:val="24"/>
        </w:rPr>
        <w:t>供应商(盖章)：</w:t>
      </w:r>
    </w:p>
    <w:p w14:paraId="6423DF0A">
      <w:pPr>
        <w:spacing w:before="184" w:line="360" w:lineRule="auto"/>
        <w:ind w:left="122"/>
        <w:outlineLvl w:val="9"/>
        <w:rPr>
          <w:rFonts w:ascii="宋体" w:hAnsi="宋体" w:eastAsia="宋体" w:cs="宋体"/>
          <w:sz w:val="24"/>
          <w:szCs w:val="24"/>
        </w:rPr>
      </w:pPr>
      <w:r>
        <w:rPr>
          <w:rFonts w:ascii="宋体" w:hAnsi="宋体" w:eastAsia="宋体" w:cs="宋体"/>
          <w:spacing w:val="-2"/>
          <w:sz w:val="24"/>
          <w:szCs w:val="24"/>
        </w:rPr>
        <w:t>承诺时间：年月日</w:t>
      </w:r>
    </w:p>
    <w:p w14:paraId="6C5E3D01">
      <w:pPr>
        <w:spacing w:before="178" w:line="360" w:lineRule="auto"/>
        <w:ind w:left="121"/>
        <w:outlineLvl w:val="9"/>
        <w:rPr>
          <w:rFonts w:ascii="宋体" w:hAnsi="宋体" w:eastAsia="宋体" w:cs="宋体"/>
          <w:sz w:val="20"/>
          <w:szCs w:val="20"/>
        </w:rPr>
      </w:pPr>
      <w:r>
        <w:rPr>
          <w:rFonts w:ascii="宋体" w:hAnsi="宋体" w:eastAsia="宋体" w:cs="宋体"/>
          <w:b/>
          <w:bCs/>
          <w:spacing w:val="5"/>
          <w:sz w:val="20"/>
          <w:szCs w:val="20"/>
        </w:rPr>
        <w:t>注：</w:t>
      </w:r>
      <w:r>
        <w:rPr>
          <w:rFonts w:ascii="宋体" w:hAnsi="宋体" w:eastAsia="宋体" w:cs="宋体"/>
          <w:spacing w:val="5"/>
          <w:sz w:val="20"/>
          <w:szCs w:val="20"/>
        </w:rPr>
        <w:t>此承诺书除附在投标文件中外还须上传至“信用中国（陕西榆林）”网站投标人自主上报信用承诺书附件。（承诺有效期同投标有效期，承诺起始时间为提交投标文件截止之日，须后附截图。）</w:t>
      </w:r>
    </w:p>
    <w:p w14:paraId="3346E317">
      <w:pPr>
        <w:spacing w:line="360" w:lineRule="auto"/>
        <w:outlineLvl w:val="9"/>
        <w:rPr>
          <w:rFonts w:ascii="宋体" w:hAnsi="宋体" w:eastAsia="宋体" w:cs="宋体"/>
          <w:sz w:val="20"/>
          <w:szCs w:val="20"/>
        </w:rPr>
        <w:sectPr>
          <w:footerReference r:id="rId20" w:type="default"/>
          <w:pgSz w:w="11906" w:h="16838"/>
          <w:pgMar w:top="1429" w:right="1786" w:bottom="1372" w:left="1786" w:header="0" w:footer="1208" w:gutter="0"/>
          <w:pgNumType w:fmt="decimal"/>
          <w:cols w:space="0" w:num="1"/>
          <w:rtlGutter w:val="0"/>
          <w:docGrid w:linePitch="0" w:charSpace="0"/>
        </w:sectPr>
      </w:pPr>
    </w:p>
    <w:p w14:paraId="48B8AB47">
      <w:pPr>
        <w:spacing w:before="184" w:line="360" w:lineRule="auto"/>
        <w:ind w:left="846"/>
        <w:outlineLvl w:val="9"/>
        <w:rPr>
          <w:rFonts w:ascii="宋体" w:hAnsi="宋体" w:eastAsia="宋体" w:cs="宋体"/>
          <w:sz w:val="31"/>
          <w:szCs w:val="31"/>
        </w:rPr>
      </w:pPr>
      <w:r>
        <w:rPr>
          <w:rFonts w:ascii="宋体" w:hAnsi="宋体" w:eastAsia="宋体" w:cs="宋体"/>
          <w:b/>
          <w:bCs/>
          <w:sz w:val="31"/>
          <w:szCs w:val="31"/>
        </w:rPr>
        <w:t>供应商委托代理人员信用承诺书Ⅱ(并附网页截图)</w:t>
      </w:r>
    </w:p>
    <w:p w14:paraId="7937CA98">
      <w:pPr>
        <w:spacing w:before="251" w:line="360" w:lineRule="auto"/>
        <w:ind w:left="480"/>
        <w:outlineLvl w:val="9"/>
        <w:rPr>
          <w:rFonts w:ascii="宋体" w:hAnsi="宋体" w:eastAsia="宋体" w:cs="宋体"/>
          <w:sz w:val="24"/>
          <w:szCs w:val="24"/>
        </w:rPr>
      </w:pPr>
      <w:r>
        <w:rPr>
          <w:rFonts w:ascii="宋体" w:hAnsi="宋体" w:eastAsia="宋体" w:cs="宋体"/>
          <w:sz w:val="24"/>
          <w:szCs w:val="24"/>
        </w:rPr>
        <w:t>在</w:t>
      </w:r>
      <w:r>
        <w:rPr>
          <w:rFonts w:ascii="宋体" w:hAnsi="宋体" w:eastAsia="宋体" w:cs="宋体"/>
          <w:spacing w:val="-1"/>
          <w:sz w:val="24"/>
          <w:szCs w:val="24"/>
        </w:rPr>
        <w:t>项目招投标活动中，我个人郑重作出以下信用承诺：</w:t>
      </w:r>
    </w:p>
    <w:p w14:paraId="7C467E02">
      <w:pPr>
        <w:spacing w:before="275" w:line="360" w:lineRule="auto"/>
        <w:ind w:left="1" w:firstLine="521"/>
        <w:outlineLvl w:val="9"/>
        <w:rPr>
          <w:rFonts w:ascii="宋体" w:hAnsi="宋体" w:eastAsia="宋体" w:cs="宋体"/>
          <w:sz w:val="24"/>
          <w:szCs w:val="24"/>
        </w:rPr>
      </w:pPr>
      <w:r>
        <w:rPr>
          <w:rFonts w:ascii="宋体" w:hAnsi="宋体" w:eastAsia="宋体" w:cs="宋体"/>
          <w:spacing w:val="-4"/>
          <w:sz w:val="24"/>
          <w:szCs w:val="24"/>
        </w:rPr>
        <w:t>(一)能严格遵守法律法规、职业道德和行业规范，具有独立承担民事</w:t>
      </w:r>
      <w:r>
        <w:rPr>
          <w:rFonts w:ascii="宋体" w:hAnsi="宋体" w:eastAsia="宋体" w:cs="宋体"/>
          <w:spacing w:val="-5"/>
          <w:sz w:val="24"/>
          <w:szCs w:val="24"/>
        </w:rPr>
        <w:t>责任的能力；</w:t>
      </w:r>
      <w:r>
        <w:rPr>
          <w:rFonts w:ascii="宋体" w:hAnsi="宋体" w:eastAsia="宋体" w:cs="宋体"/>
          <w:spacing w:val="2"/>
          <w:sz w:val="24"/>
          <w:szCs w:val="24"/>
        </w:rPr>
        <w:t>无法律法规规定禁止开展从业活动情形。我所递交</w:t>
      </w:r>
      <w:r>
        <w:rPr>
          <w:rFonts w:ascii="宋体" w:hAnsi="宋体" w:eastAsia="宋体" w:cs="宋体"/>
          <w:spacing w:val="1"/>
          <w:sz w:val="24"/>
          <w:szCs w:val="24"/>
        </w:rPr>
        <w:t>的文件资料合法、真实、准确、完</w:t>
      </w:r>
      <w:r>
        <w:rPr>
          <w:rFonts w:ascii="宋体" w:hAnsi="宋体" w:eastAsia="宋体" w:cs="宋体"/>
          <w:spacing w:val="-1"/>
          <w:sz w:val="24"/>
          <w:szCs w:val="24"/>
        </w:rPr>
        <w:t>整、有效，无弄虚作假等情形。</w:t>
      </w:r>
    </w:p>
    <w:p w14:paraId="18B9A73B">
      <w:pPr>
        <w:spacing w:before="270" w:line="360" w:lineRule="auto"/>
        <w:ind w:right="178" w:firstLine="523"/>
        <w:outlineLvl w:val="9"/>
        <w:rPr>
          <w:rFonts w:ascii="宋体" w:hAnsi="宋体" w:eastAsia="宋体" w:cs="宋体"/>
          <w:sz w:val="24"/>
          <w:szCs w:val="24"/>
        </w:rPr>
      </w:pPr>
      <w:r>
        <w:rPr>
          <w:rFonts w:ascii="宋体" w:hAnsi="宋体" w:eastAsia="宋体" w:cs="宋体"/>
          <w:spacing w:val="1"/>
          <w:sz w:val="24"/>
          <w:szCs w:val="24"/>
        </w:rPr>
        <w:t>(二)不得有以下违法违规行为：1.围</w:t>
      </w:r>
      <w:r>
        <w:rPr>
          <w:rFonts w:ascii="宋体" w:hAnsi="宋体" w:eastAsia="宋体" w:cs="宋体"/>
          <w:sz w:val="24"/>
          <w:szCs w:val="24"/>
        </w:rPr>
        <w:t>标串标；以他人名义或者其他方式弄虚作假</w:t>
      </w:r>
      <w:r>
        <w:rPr>
          <w:rFonts w:ascii="宋体" w:hAnsi="宋体" w:eastAsia="宋体" w:cs="宋体"/>
          <w:spacing w:val="-2"/>
          <w:sz w:val="24"/>
          <w:szCs w:val="24"/>
        </w:rPr>
        <w:t>投标；出让出租资格、资质证书供他人投标；恶意竞标、强揽工程；以暴力、威胁、利</w:t>
      </w:r>
      <w:r>
        <w:rPr>
          <w:rFonts w:ascii="宋体" w:hAnsi="宋体" w:eastAsia="宋体" w:cs="宋体"/>
          <w:spacing w:val="-1"/>
          <w:sz w:val="24"/>
          <w:szCs w:val="24"/>
        </w:rPr>
        <w:t>诱等手段阻止或者控制其他潜在供应商参与招</w:t>
      </w:r>
      <w:r>
        <w:rPr>
          <w:rFonts w:ascii="宋体" w:hAnsi="宋体" w:eastAsia="宋体" w:cs="宋体"/>
          <w:spacing w:val="-2"/>
          <w:sz w:val="24"/>
          <w:szCs w:val="24"/>
        </w:rPr>
        <w:t>投标活动。2.向招投标监督部门、交易中</w:t>
      </w:r>
      <w:r>
        <w:rPr>
          <w:rFonts w:ascii="宋体" w:hAnsi="宋体" w:eastAsia="宋体" w:cs="宋体"/>
          <w:spacing w:val="-1"/>
          <w:sz w:val="24"/>
          <w:szCs w:val="24"/>
        </w:rPr>
        <w:t>心、采购人、采购代理机构、评审委员会及其</w:t>
      </w:r>
      <w:r>
        <w:rPr>
          <w:rFonts w:ascii="宋体" w:hAnsi="宋体" w:eastAsia="宋体" w:cs="宋体"/>
          <w:spacing w:val="-2"/>
          <w:sz w:val="24"/>
          <w:szCs w:val="24"/>
        </w:rPr>
        <w:t>成员等当事主体赠送财物。3.投标截止后</w:t>
      </w:r>
      <w:r>
        <w:rPr>
          <w:rFonts w:ascii="宋体" w:hAnsi="宋体" w:eastAsia="宋体" w:cs="宋体"/>
          <w:spacing w:val="-1"/>
          <w:sz w:val="24"/>
          <w:szCs w:val="24"/>
        </w:rPr>
        <w:t>至中标人确定前，修改或者撤销投标文件。4</w:t>
      </w:r>
      <w:r>
        <w:rPr>
          <w:rFonts w:ascii="宋体" w:hAnsi="宋体" w:eastAsia="宋体" w:cs="宋体"/>
          <w:spacing w:val="-2"/>
          <w:sz w:val="24"/>
          <w:szCs w:val="24"/>
        </w:rPr>
        <w:t>.在被确定为中标人后无正当理由：不按照采购文件和投标文件与采购人签订合同；在签订合同时向采购人提出附加条件、或者改</w:t>
      </w:r>
      <w:r>
        <w:rPr>
          <w:rFonts w:ascii="宋体" w:hAnsi="宋体" w:eastAsia="宋体" w:cs="宋体"/>
          <w:spacing w:val="2"/>
          <w:sz w:val="24"/>
          <w:szCs w:val="24"/>
        </w:rPr>
        <w:t>变投标文件的实质性内容；放弃中标；不按照采购文</w:t>
      </w:r>
      <w:r>
        <w:rPr>
          <w:rFonts w:ascii="宋体" w:hAnsi="宋体" w:eastAsia="宋体" w:cs="宋体"/>
          <w:spacing w:val="1"/>
          <w:sz w:val="24"/>
          <w:szCs w:val="24"/>
        </w:rPr>
        <w:t>件的规定提交履约信用承诺。5.</w:t>
      </w:r>
      <w:r>
        <w:rPr>
          <w:rFonts w:ascii="宋体" w:hAnsi="宋体" w:eastAsia="宋体" w:cs="宋体"/>
          <w:spacing w:val="-1"/>
          <w:sz w:val="24"/>
          <w:szCs w:val="24"/>
        </w:rPr>
        <w:t>招投标法规定的其它违法违规行为。</w:t>
      </w:r>
    </w:p>
    <w:p w14:paraId="2D977087">
      <w:pPr>
        <w:spacing w:before="272" w:line="360" w:lineRule="auto"/>
        <w:ind w:left="523"/>
        <w:outlineLvl w:val="9"/>
        <w:rPr>
          <w:rFonts w:ascii="宋体" w:hAnsi="宋体" w:eastAsia="宋体" w:cs="宋体"/>
          <w:sz w:val="24"/>
          <w:szCs w:val="24"/>
        </w:rPr>
      </w:pPr>
      <w:r>
        <w:rPr>
          <w:rFonts w:ascii="宋体" w:hAnsi="宋体" w:eastAsia="宋体" w:cs="宋体"/>
          <w:spacing w:val="-4"/>
          <w:sz w:val="24"/>
          <w:szCs w:val="24"/>
        </w:rPr>
        <w:t>(三)自愿接受招投标监督部门和有关行政监督部门的依法检查。</w:t>
      </w:r>
    </w:p>
    <w:p w14:paraId="726103A1">
      <w:pPr>
        <w:spacing w:before="275" w:line="360" w:lineRule="auto"/>
        <w:ind w:left="1" w:right="176" w:firstLine="521"/>
        <w:outlineLvl w:val="9"/>
        <w:rPr>
          <w:rFonts w:ascii="宋体" w:hAnsi="宋体" w:eastAsia="宋体" w:cs="宋体"/>
          <w:sz w:val="24"/>
          <w:szCs w:val="24"/>
        </w:rPr>
      </w:pPr>
      <w:r>
        <w:rPr>
          <w:rFonts w:ascii="宋体" w:hAnsi="宋体" w:eastAsia="宋体" w:cs="宋体"/>
          <w:spacing w:val="6"/>
          <w:sz w:val="24"/>
          <w:szCs w:val="24"/>
        </w:rPr>
        <w:t>(四)同意将此信用承诺纳入陕西省公共信用信息平台和榆林市公共信用信息共</w:t>
      </w:r>
      <w:r>
        <w:rPr>
          <w:rFonts w:ascii="宋体" w:hAnsi="宋体" w:eastAsia="宋体" w:cs="宋体"/>
          <w:spacing w:val="-1"/>
          <w:sz w:val="24"/>
          <w:szCs w:val="24"/>
        </w:rPr>
        <w:t>享平台，并接受社会监督。</w:t>
      </w:r>
    </w:p>
    <w:p w14:paraId="3970C678">
      <w:pPr>
        <w:spacing w:before="276" w:line="360" w:lineRule="auto"/>
        <w:ind w:left="1" w:right="178" w:firstLine="521"/>
        <w:outlineLvl w:val="9"/>
        <w:rPr>
          <w:rFonts w:ascii="宋体" w:hAnsi="宋体" w:eastAsia="宋体" w:cs="宋体"/>
          <w:sz w:val="24"/>
          <w:szCs w:val="24"/>
        </w:rPr>
      </w:pPr>
      <w:r>
        <w:rPr>
          <w:rFonts w:ascii="宋体" w:hAnsi="宋体" w:eastAsia="宋体" w:cs="宋体"/>
          <w:spacing w:val="-3"/>
          <w:sz w:val="24"/>
          <w:szCs w:val="24"/>
        </w:rPr>
        <w:t>(五)若我违背以上承诺事项，即被视为失信人，依据《关于对公共资源交易领域严重失信主体开展联合惩戒的备忘录》(发改法规[2018]457</w:t>
      </w:r>
      <w:r>
        <w:rPr>
          <w:rFonts w:ascii="宋体" w:hAnsi="宋体" w:eastAsia="宋体" w:cs="宋体"/>
          <w:spacing w:val="-4"/>
          <w:sz w:val="24"/>
          <w:szCs w:val="24"/>
        </w:rPr>
        <w:t>号)，自愿接受失信联</w:t>
      </w:r>
      <w:r>
        <w:rPr>
          <w:rFonts w:ascii="宋体" w:hAnsi="宋体" w:eastAsia="宋体" w:cs="宋体"/>
          <w:spacing w:val="-3"/>
          <w:sz w:val="24"/>
          <w:szCs w:val="24"/>
        </w:rPr>
        <w:t>合惩戒和依法给予的行政处罚(处理)，并依法承担赔偿责任和刑事责任。</w:t>
      </w:r>
    </w:p>
    <w:p w14:paraId="3638F2D8">
      <w:pPr>
        <w:spacing w:before="276" w:line="360" w:lineRule="auto"/>
        <w:ind w:left="480"/>
        <w:outlineLvl w:val="9"/>
        <w:rPr>
          <w:rFonts w:ascii="宋体" w:hAnsi="宋体" w:eastAsia="宋体" w:cs="宋体"/>
          <w:sz w:val="24"/>
          <w:szCs w:val="24"/>
        </w:rPr>
      </w:pPr>
      <w:r>
        <w:rPr>
          <w:rFonts w:ascii="宋体" w:hAnsi="宋体" w:eastAsia="宋体" w:cs="宋体"/>
          <w:spacing w:val="-6"/>
          <w:sz w:val="24"/>
          <w:szCs w:val="24"/>
        </w:rPr>
        <w:t>承诺有效期限：年月日—年月日</w:t>
      </w:r>
    </w:p>
    <w:p w14:paraId="79FD5483">
      <w:pPr>
        <w:spacing w:before="67" w:line="360" w:lineRule="auto"/>
        <w:ind w:left="480"/>
        <w:outlineLvl w:val="9"/>
        <w:rPr>
          <w:rFonts w:ascii="宋体" w:hAnsi="宋体" w:eastAsia="宋体" w:cs="宋体"/>
          <w:sz w:val="24"/>
          <w:szCs w:val="24"/>
        </w:rPr>
      </w:pPr>
      <w:r>
        <w:rPr>
          <w:rFonts w:ascii="宋体" w:hAnsi="宋体" w:eastAsia="宋体" w:cs="宋体"/>
          <w:spacing w:val="-3"/>
          <w:sz w:val="24"/>
          <w:szCs w:val="24"/>
        </w:rPr>
        <w:t>供应商：</w:t>
      </w:r>
    </w:p>
    <w:p w14:paraId="2F2B0585">
      <w:pPr>
        <w:spacing w:before="182" w:line="360" w:lineRule="auto"/>
        <w:ind w:left="480"/>
        <w:outlineLvl w:val="9"/>
        <w:rPr>
          <w:rFonts w:ascii="宋体" w:hAnsi="宋体" w:eastAsia="宋体" w:cs="宋体"/>
          <w:sz w:val="24"/>
          <w:szCs w:val="24"/>
        </w:rPr>
      </w:pPr>
      <w:r>
        <w:rPr>
          <w:rFonts w:ascii="宋体" w:hAnsi="宋体" w:eastAsia="宋体" w:cs="宋体"/>
          <w:spacing w:val="-7"/>
          <w:sz w:val="24"/>
          <w:szCs w:val="24"/>
        </w:rPr>
        <w:t>承诺人(签字)：</w:t>
      </w:r>
    </w:p>
    <w:p w14:paraId="177BB932">
      <w:pPr>
        <w:spacing w:before="183" w:line="360" w:lineRule="auto"/>
        <w:ind w:left="480"/>
        <w:outlineLvl w:val="9"/>
        <w:rPr>
          <w:rFonts w:ascii="宋体" w:hAnsi="宋体" w:eastAsia="宋体" w:cs="宋体"/>
          <w:sz w:val="24"/>
          <w:szCs w:val="24"/>
        </w:rPr>
      </w:pPr>
      <w:r>
        <w:rPr>
          <w:rFonts w:ascii="宋体" w:hAnsi="宋体" w:eastAsia="宋体" w:cs="宋体"/>
          <w:spacing w:val="-2"/>
          <w:sz w:val="24"/>
          <w:szCs w:val="24"/>
        </w:rPr>
        <w:t>承诺时间：年月日</w:t>
      </w:r>
    </w:p>
    <w:p w14:paraId="569516E9">
      <w:pPr>
        <w:spacing w:before="181" w:line="360" w:lineRule="auto"/>
        <w:ind w:right="178"/>
        <w:jc w:val="both"/>
        <w:outlineLvl w:val="9"/>
        <w:rPr>
          <w:rFonts w:ascii="宋体" w:hAnsi="宋体" w:eastAsia="宋体" w:cs="宋体"/>
          <w:sz w:val="24"/>
          <w:szCs w:val="24"/>
        </w:rPr>
      </w:pPr>
      <w:r>
        <w:rPr>
          <w:rFonts w:ascii="宋体" w:hAnsi="宋体" w:eastAsia="宋体" w:cs="宋体"/>
          <w:b/>
          <w:bCs/>
          <w:spacing w:val="-2"/>
          <w:sz w:val="24"/>
          <w:szCs w:val="24"/>
        </w:rPr>
        <w:t>注：</w:t>
      </w:r>
      <w:r>
        <w:rPr>
          <w:rFonts w:ascii="宋体" w:hAnsi="宋体" w:eastAsia="宋体" w:cs="宋体"/>
          <w:spacing w:val="-2"/>
          <w:sz w:val="24"/>
          <w:szCs w:val="24"/>
        </w:rPr>
        <w:t>此承诺书除附在投标文件中外还须上传至“信用中国（陕西榆林）”网站授权委托人自主上报信用承诺书附件。（承诺有效期同投标有效期，承诺起始时间为提交投标文</w:t>
      </w:r>
      <w:r>
        <w:rPr>
          <w:rFonts w:ascii="宋体" w:hAnsi="宋体" w:eastAsia="宋体" w:cs="宋体"/>
          <w:spacing w:val="-8"/>
          <w:sz w:val="24"/>
          <w:szCs w:val="24"/>
        </w:rPr>
        <w:t>件截止之日，须后附截图。）</w:t>
      </w:r>
    </w:p>
    <w:p w14:paraId="02B1E5E0">
      <w:pPr>
        <w:spacing w:line="360" w:lineRule="auto"/>
        <w:outlineLvl w:val="9"/>
        <w:rPr>
          <w:rFonts w:ascii="宋体" w:hAnsi="宋体" w:eastAsia="宋体" w:cs="宋体"/>
          <w:sz w:val="24"/>
          <w:szCs w:val="24"/>
        </w:rPr>
        <w:sectPr>
          <w:footerReference r:id="rId21" w:type="default"/>
          <w:pgSz w:w="11906" w:h="16838"/>
          <w:pgMar w:top="1429" w:right="1786" w:bottom="1372" w:left="1786" w:header="0" w:footer="1208" w:gutter="0"/>
          <w:pgNumType w:fmt="decimal"/>
          <w:cols w:space="0" w:num="1"/>
          <w:rtlGutter w:val="0"/>
          <w:docGrid w:linePitch="0" w:charSpace="0"/>
        </w:sectPr>
      </w:pPr>
    </w:p>
    <w:p w14:paraId="64263249">
      <w:pPr>
        <w:spacing w:before="184" w:line="360" w:lineRule="auto"/>
        <w:ind w:left="1611"/>
        <w:outlineLvl w:val="9"/>
        <w:rPr>
          <w:rFonts w:ascii="宋体" w:hAnsi="宋体" w:eastAsia="宋体" w:cs="宋体"/>
          <w:sz w:val="31"/>
          <w:szCs w:val="31"/>
        </w:rPr>
      </w:pPr>
      <w:r>
        <w:rPr>
          <w:rFonts w:ascii="宋体" w:hAnsi="宋体" w:eastAsia="宋体" w:cs="宋体"/>
          <w:b/>
          <w:bCs/>
          <w:spacing w:val="2"/>
          <w:sz w:val="31"/>
          <w:szCs w:val="31"/>
        </w:rPr>
        <w:t>投标信用承诺书Ⅲ(并附网页截图)</w:t>
      </w:r>
    </w:p>
    <w:p w14:paraId="7E10BCBE">
      <w:pPr>
        <w:spacing w:before="44" w:line="360" w:lineRule="auto"/>
        <w:ind w:left="507"/>
        <w:outlineLvl w:val="9"/>
        <w:rPr>
          <w:rFonts w:ascii="宋体" w:hAnsi="宋体" w:eastAsia="宋体" w:cs="宋体"/>
          <w:sz w:val="24"/>
          <w:szCs w:val="24"/>
        </w:rPr>
      </w:pPr>
      <w:r>
        <w:rPr>
          <w:rFonts w:ascii="宋体" w:hAnsi="宋体" w:eastAsia="宋体" w:cs="宋体"/>
          <w:spacing w:val="-3"/>
          <w:sz w:val="24"/>
          <w:szCs w:val="24"/>
        </w:rPr>
        <w:t>项目名称：</w:t>
      </w:r>
    </w:p>
    <w:p w14:paraId="76C53929">
      <w:pPr>
        <w:pStyle w:val="4"/>
        <w:spacing w:line="360" w:lineRule="auto"/>
        <w:outlineLvl w:val="9"/>
      </w:pPr>
    </w:p>
    <w:p w14:paraId="048FD6FC">
      <w:pPr>
        <w:spacing w:before="78" w:line="360" w:lineRule="auto"/>
        <w:ind w:left="503"/>
        <w:outlineLvl w:val="9"/>
        <w:rPr>
          <w:rFonts w:ascii="宋体" w:hAnsi="宋体" w:eastAsia="宋体" w:cs="宋体"/>
          <w:sz w:val="24"/>
          <w:szCs w:val="24"/>
        </w:rPr>
      </w:pPr>
      <w:r>
        <w:rPr>
          <w:rFonts w:ascii="宋体" w:hAnsi="宋体" w:eastAsia="宋体" w:cs="宋体"/>
          <w:spacing w:val="-3"/>
          <w:sz w:val="24"/>
          <w:szCs w:val="24"/>
        </w:rPr>
        <w:t>供应商：</w:t>
      </w:r>
    </w:p>
    <w:p w14:paraId="0B83EE09">
      <w:pPr>
        <w:pStyle w:val="4"/>
        <w:spacing w:line="360" w:lineRule="auto"/>
        <w:outlineLvl w:val="9"/>
      </w:pPr>
    </w:p>
    <w:p w14:paraId="796C977F">
      <w:pPr>
        <w:spacing w:before="78" w:line="360" w:lineRule="auto"/>
        <w:ind w:left="509"/>
        <w:outlineLvl w:val="9"/>
        <w:rPr>
          <w:rFonts w:ascii="宋体" w:hAnsi="宋体" w:eastAsia="宋体" w:cs="宋体"/>
          <w:sz w:val="24"/>
          <w:szCs w:val="24"/>
        </w:rPr>
      </w:pPr>
      <w:r>
        <w:rPr>
          <w:rFonts w:ascii="宋体" w:hAnsi="宋体" w:eastAsia="宋体" w:cs="宋体"/>
          <w:spacing w:val="-1"/>
          <w:sz w:val="24"/>
          <w:szCs w:val="24"/>
        </w:rPr>
        <w:t>统一社会信用代码：法人代表/负责人：</w:t>
      </w:r>
    </w:p>
    <w:p w14:paraId="2F2D02A6">
      <w:pPr>
        <w:pStyle w:val="4"/>
        <w:spacing w:line="360" w:lineRule="auto"/>
        <w:outlineLvl w:val="9"/>
      </w:pPr>
    </w:p>
    <w:p w14:paraId="396274B1">
      <w:pPr>
        <w:spacing w:before="78" w:line="360" w:lineRule="auto"/>
        <w:ind w:left="502"/>
        <w:outlineLvl w:val="9"/>
        <w:rPr>
          <w:rFonts w:ascii="宋体" w:hAnsi="宋体" w:eastAsia="宋体" w:cs="宋体"/>
          <w:sz w:val="24"/>
          <w:szCs w:val="24"/>
        </w:rPr>
      </w:pPr>
      <w:r>
        <w:rPr>
          <w:rFonts w:ascii="宋体" w:hAnsi="宋体" w:eastAsia="宋体" w:cs="宋体"/>
          <w:spacing w:val="-4"/>
          <w:sz w:val="24"/>
          <w:szCs w:val="24"/>
        </w:rPr>
        <w:t>在本项目标段谈判活动中，我公司(单位)自愿作出以下投标信用承诺：</w:t>
      </w:r>
    </w:p>
    <w:p w14:paraId="51267DE5">
      <w:pPr>
        <w:pStyle w:val="4"/>
        <w:spacing w:line="360" w:lineRule="auto"/>
        <w:outlineLvl w:val="9"/>
      </w:pPr>
    </w:p>
    <w:p w14:paraId="1F70A93F">
      <w:pPr>
        <w:spacing w:before="78" w:line="360" w:lineRule="auto"/>
        <w:ind w:left="514"/>
        <w:outlineLvl w:val="9"/>
        <w:rPr>
          <w:rFonts w:ascii="宋体" w:hAnsi="宋体" w:eastAsia="宋体" w:cs="宋体"/>
          <w:sz w:val="24"/>
          <w:szCs w:val="24"/>
        </w:rPr>
      </w:pPr>
      <w:r>
        <w:rPr>
          <w:rFonts w:ascii="宋体" w:hAnsi="宋体" w:eastAsia="宋体" w:cs="宋体"/>
          <w:spacing w:val="-1"/>
          <w:sz w:val="24"/>
          <w:szCs w:val="24"/>
        </w:rPr>
        <w:t>（一）能严格遵守法律法规、职业道德和行业规范。</w:t>
      </w:r>
    </w:p>
    <w:p w14:paraId="7D4BCF5E">
      <w:pPr>
        <w:pStyle w:val="4"/>
        <w:spacing w:line="360" w:lineRule="auto"/>
        <w:outlineLvl w:val="9"/>
      </w:pPr>
    </w:p>
    <w:p w14:paraId="4323CFDC">
      <w:pPr>
        <w:spacing w:before="79" w:line="360" w:lineRule="auto"/>
        <w:ind w:left="24" w:right="13" w:firstLine="521"/>
        <w:outlineLvl w:val="9"/>
        <w:rPr>
          <w:rFonts w:ascii="宋体" w:hAnsi="宋体" w:eastAsia="宋体" w:cs="宋体"/>
          <w:sz w:val="24"/>
          <w:szCs w:val="24"/>
        </w:rPr>
      </w:pPr>
      <w:r>
        <w:rPr>
          <w:rFonts w:ascii="宋体" w:hAnsi="宋体" w:eastAsia="宋体" w:cs="宋体"/>
          <w:spacing w:val="-1"/>
          <w:sz w:val="24"/>
          <w:szCs w:val="24"/>
        </w:rPr>
        <w:t>(二)不得有以下违法违规行为：1.围标串标；以他人名义或者其他方式弄</w:t>
      </w:r>
      <w:r>
        <w:rPr>
          <w:rFonts w:ascii="宋体" w:hAnsi="宋体" w:eastAsia="宋体" w:cs="宋体"/>
          <w:spacing w:val="-3"/>
          <w:sz w:val="24"/>
          <w:szCs w:val="24"/>
        </w:rPr>
        <w:t>虚作假投标；出让出租资格、资质证书供他人投标；恶意竞标、强揽工程；以暴</w:t>
      </w:r>
    </w:p>
    <w:p w14:paraId="3436C0A7">
      <w:pPr>
        <w:pStyle w:val="4"/>
        <w:spacing w:line="360" w:lineRule="auto"/>
        <w:outlineLvl w:val="9"/>
      </w:pPr>
    </w:p>
    <w:p w14:paraId="1A158855">
      <w:pPr>
        <w:spacing w:before="78" w:line="360" w:lineRule="auto"/>
        <w:ind w:left="22" w:right="13" w:firstLine="4"/>
        <w:jc w:val="both"/>
        <w:outlineLvl w:val="9"/>
        <w:rPr>
          <w:rFonts w:ascii="宋体" w:hAnsi="宋体" w:eastAsia="宋体" w:cs="宋体"/>
          <w:sz w:val="24"/>
          <w:szCs w:val="24"/>
        </w:rPr>
      </w:pPr>
      <w:r>
        <w:rPr>
          <w:rFonts w:ascii="宋体" w:hAnsi="宋体" w:eastAsia="宋体" w:cs="宋体"/>
          <w:spacing w:val="-3"/>
          <w:sz w:val="24"/>
          <w:szCs w:val="24"/>
        </w:rPr>
        <w:t>力、威胁、利诱等手段阻止或者控制其他潜在供应商参与招投标活动。2.向招投标监督部门、交易中心、采购人、采购代理机构、评审委员会及其成员等当事主</w:t>
      </w:r>
      <w:r>
        <w:rPr>
          <w:rFonts w:ascii="宋体" w:hAnsi="宋体" w:eastAsia="宋体" w:cs="宋体"/>
          <w:spacing w:val="4"/>
          <w:sz w:val="24"/>
          <w:szCs w:val="24"/>
        </w:rPr>
        <w:t>体赠送财物。3.投标截止后至中标人确定前，修改或者撤</w:t>
      </w:r>
      <w:r>
        <w:rPr>
          <w:rFonts w:ascii="宋体" w:hAnsi="宋体" w:eastAsia="宋体" w:cs="宋体"/>
          <w:spacing w:val="3"/>
          <w:sz w:val="24"/>
          <w:szCs w:val="24"/>
        </w:rPr>
        <w:t>销谈判响应文件。4.</w:t>
      </w:r>
      <w:r>
        <w:rPr>
          <w:rFonts w:ascii="宋体" w:hAnsi="宋体" w:eastAsia="宋体" w:cs="宋体"/>
          <w:spacing w:val="-3"/>
          <w:sz w:val="24"/>
          <w:szCs w:val="24"/>
        </w:rPr>
        <w:t>在被确定为中标人后无正当理由：不按照谈判文件和谈判响应文件与采购人签订合同；在签订合同时向采购人提出附加条件、或者改变谈判响应文件的实质性内容；放弃中标；不按照谈判文件的规定提交履约信用承诺。5.招投标法规定的其</w:t>
      </w:r>
      <w:r>
        <w:rPr>
          <w:rFonts w:ascii="宋体" w:hAnsi="宋体" w:eastAsia="宋体" w:cs="宋体"/>
          <w:spacing w:val="-2"/>
          <w:sz w:val="24"/>
          <w:szCs w:val="24"/>
        </w:rPr>
        <w:t>它违法违规行为。</w:t>
      </w:r>
    </w:p>
    <w:p w14:paraId="6346887D">
      <w:pPr>
        <w:spacing w:before="4" w:line="360" w:lineRule="auto"/>
        <w:ind w:left="27" w:right="13" w:firstLine="518"/>
        <w:jc w:val="both"/>
        <w:outlineLvl w:val="9"/>
        <w:rPr>
          <w:rFonts w:ascii="宋体" w:hAnsi="宋体" w:eastAsia="宋体" w:cs="宋体"/>
          <w:sz w:val="24"/>
          <w:szCs w:val="24"/>
        </w:rPr>
      </w:pPr>
      <w:r>
        <w:rPr>
          <w:rFonts w:ascii="宋体" w:hAnsi="宋体" w:eastAsia="宋体" w:cs="宋体"/>
          <w:spacing w:val="-2"/>
          <w:sz w:val="24"/>
          <w:szCs w:val="24"/>
        </w:rPr>
        <w:t>(三)若我公司(单位)及相关参与人员违背以上承诺事</w:t>
      </w:r>
      <w:r>
        <w:rPr>
          <w:rFonts w:ascii="宋体" w:hAnsi="宋体" w:eastAsia="宋体" w:cs="宋体"/>
          <w:spacing w:val="-3"/>
          <w:sz w:val="24"/>
          <w:szCs w:val="24"/>
        </w:rPr>
        <w:t>项，即被视为失信</w:t>
      </w:r>
      <w:r>
        <w:rPr>
          <w:rFonts w:ascii="宋体" w:hAnsi="宋体" w:eastAsia="宋体" w:cs="宋体"/>
          <w:spacing w:val="-4"/>
          <w:sz w:val="24"/>
          <w:szCs w:val="24"/>
        </w:rPr>
        <w:t>企业(法人)，依据《关于对公共资源交易</w:t>
      </w:r>
      <w:r>
        <w:rPr>
          <w:rFonts w:ascii="宋体" w:hAnsi="宋体" w:eastAsia="宋体" w:cs="宋体"/>
          <w:spacing w:val="-5"/>
          <w:sz w:val="24"/>
          <w:szCs w:val="24"/>
        </w:rPr>
        <w:t>领域严重失信主体开展联合惩戒的备</w:t>
      </w:r>
      <w:r>
        <w:rPr>
          <w:rFonts w:ascii="宋体" w:hAnsi="宋体" w:eastAsia="宋体" w:cs="宋体"/>
          <w:spacing w:val="-4"/>
          <w:sz w:val="24"/>
          <w:szCs w:val="24"/>
        </w:rPr>
        <w:t>忘录》(发改法规[2018]457号)，自愿接受1至3年内限制参与公共资源交易活动。</w:t>
      </w:r>
    </w:p>
    <w:p w14:paraId="58E6E609">
      <w:pPr>
        <w:spacing w:line="360" w:lineRule="auto"/>
        <w:ind w:left="504"/>
        <w:outlineLvl w:val="9"/>
        <w:rPr>
          <w:rFonts w:ascii="宋体" w:hAnsi="宋体" w:eastAsia="宋体" w:cs="宋体"/>
          <w:sz w:val="24"/>
          <w:szCs w:val="24"/>
        </w:rPr>
      </w:pPr>
      <w:r>
        <w:rPr>
          <w:rFonts w:ascii="宋体" w:hAnsi="宋体" w:eastAsia="宋体" w:cs="宋体"/>
          <w:spacing w:val="-4"/>
          <w:sz w:val="24"/>
          <w:szCs w:val="24"/>
        </w:rPr>
        <w:t>法定代表人/负责人(</w:t>
      </w:r>
      <w:r>
        <w:rPr>
          <w:rFonts w:ascii="宋体" w:hAnsi="宋体" w:eastAsia="宋体" w:cs="宋体"/>
          <w:spacing w:val="-1"/>
          <w:sz w:val="24"/>
          <w:szCs w:val="24"/>
        </w:rPr>
        <w:t>签字</w:t>
      </w:r>
      <w:r>
        <w:rPr>
          <w:rFonts w:hint="eastAsia" w:ascii="宋体" w:hAnsi="宋体" w:eastAsia="宋体" w:cs="宋体"/>
          <w:spacing w:val="-1"/>
          <w:sz w:val="24"/>
          <w:szCs w:val="24"/>
          <w:lang w:val="en-US" w:eastAsia="zh-CN"/>
        </w:rPr>
        <w:t>或</w:t>
      </w:r>
      <w:r>
        <w:rPr>
          <w:rFonts w:ascii="宋体" w:hAnsi="宋体" w:eastAsia="宋体" w:cs="宋体"/>
          <w:spacing w:val="-1"/>
          <w:sz w:val="24"/>
          <w:szCs w:val="24"/>
        </w:rPr>
        <w:t>盖章</w:t>
      </w:r>
      <w:r>
        <w:rPr>
          <w:rFonts w:ascii="宋体" w:hAnsi="宋体" w:eastAsia="宋体" w:cs="宋体"/>
          <w:spacing w:val="-4"/>
          <w:sz w:val="24"/>
          <w:szCs w:val="24"/>
        </w:rPr>
        <w:t>)：</w:t>
      </w:r>
      <w:r>
        <w:rPr>
          <w:rFonts w:ascii="宋体" w:hAnsi="宋体" w:eastAsia="宋体" w:cs="宋体"/>
          <w:spacing w:val="-5"/>
          <w:sz w:val="24"/>
          <w:szCs w:val="24"/>
        </w:rPr>
        <w:t>供应商(盖章)：</w:t>
      </w:r>
    </w:p>
    <w:p w14:paraId="3CACB6BB">
      <w:pPr>
        <w:spacing w:before="185" w:line="360" w:lineRule="auto"/>
        <w:ind w:left="503"/>
        <w:outlineLvl w:val="9"/>
        <w:rPr>
          <w:rFonts w:ascii="宋体" w:hAnsi="宋体" w:eastAsia="宋体" w:cs="宋体"/>
          <w:sz w:val="24"/>
          <w:szCs w:val="24"/>
        </w:rPr>
      </w:pPr>
      <w:r>
        <w:rPr>
          <w:rFonts w:ascii="宋体" w:hAnsi="宋体" w:eastAsia="宋体" w:cs="宋体"/>
          <w:spacing w:val="-2"/>
          <w:sz w:val="24"/>
          <w:szCs w:val="24"/>
        </w:rPr>
        <w:t>承诺时间：年月日</w:t>
      </w:r>
    </w:p>
    <w:p w14:paraId="6A779B0B">
      <w:pPr>
        <w:spacing w:before="259" w:line="360" w:lineRule="auto"/>
        <w:ind w:left="26"/>
        <w:outlineLvl w:val="9"/>
        <w:rPr>
          <w:rFonts w:ascii="宋体" w:hAnsi="宋体" w:eastAsia="宋体" w:cs="宋体"/>
          <w:sz w:val="24"/>
          <w:szCs w:val="24"/>
        </w:rPr>
      </w:pPr>
      <w:r>
        <w:rPr>
          <w:rFonts w:ascii="宋体" w:hAnsi="宋体" w:eastAsia="宋体" w:cs="宋体"/>
          <w:b/>
          <w:bCs/>
          <w:spacing w:val="-2"/>
          <w:sz w:val="24"/>
          <w:szCs w:val="24"/>
        </w:rPr>
        <w:t>说明：本承诺书效力和作用等同投标保证金，其有效期与投标有效期一</w:t>
      </w:r>
      <w:r>
        <w:rPr>
          <w:rFonts w:ascii="宋体" w:hAnsi="宋体" w:eastAsia="宋体" w:cs="宋体"/>
          <w:b/>
          <w:bCs/>
          <w:spacing w:val="-3"/>
          <w:sz w:val="24"/>
          <w:szCs w:val="24"/>
        </w:rPr>
        <w:t>致。</w:t>
      </w:r>
    </w:p>
    <w:p w14:paraId="11313454">
      <w:pPr>
        <w:spacing w:before="140" w:line="360" w:lineRule="auto"/>
        <w:ind w:left="22"/>
        <w:outlineLvl w:val="9"/>
        <w:rPr>
          <w:rFonts w:ascii="宋体" w:hAnsi="宋体" w:eastAsia="宋体" w:cs="宋体"/>
          <w:sz w:val="20"/>
          <w:szCs w:val="20"/>
        </w:rPr>
      </w:pPr>
      <w:r>
        <w:rPr>
          <w:rFonts w:ascii="宋体" w:hAnsi="宋体" w:eastAsia="宋体" w:cs="宋体"/>
          <w:spacing w:val="9"/>
          <w:sz w:val="20"/>
          <w:szCs w:val="20"/>
        </w:rPr>
        <w:t>注：1.本承诺书效力和作用等同投标保证金，其有效期与投标有效期一致。</w:t>
      </w:r>
    </w:p>
    <w:p w14:paraId="5F0914FD">
      <w:pPr>
        <w:spacing w:line="360" w:lineRule="auto"/>
        <w:outlineLvl w:val="9"/>
        <w:rPr>
          <w:rFonts w:ascii="宋体" w:hAnsi="宋体" w:eastAsia="宋体" w:cs="宋体"/>
          <w:sz w:val="20"/>
          <w:szCs w:val="20"/>
        </w:rPr>
        <w:sectPr>
          <w:footerReference r:id="rId22" w:type="default"/>
          <w:pgSz w:w="11906" w:h="16838"/>
          <w:pgMar w:top="1429" w:right="1786" w:bottom="1372" w:left="1786" w:header="0" w:footer="1208" w:gutter="0"/>
          <w:pgNumType w:fmt="decimal"/>
          <w:cols w:space="0" w:num="1"/>
          <w:rtlGutter w:val="0"/>
          <w:docGrid w:linePitch="0" w:charSpace="0"/>
        </w:sectPr>
      </w:pPr>
    </w:p>
    <w:p w14:paraId="2B88E12B">
      <w:pPr>
        <w:spacing w:before="124" w:line="360" w:lineRule="auto"/>
        <w:ind w:left="25" w:right="13"/>
        <w:jc w:val="both"/>
        <w:outlineLvl w:val="9"/>
        <w:rPr>
          <w:rFonts w:ascii="宋体" w:hAnsi="宋体" w:eastAsia="宋体" w:cs="宋体"/>
          <w:sz w:val="24"/>
          <w:szCs w:val="24"/>
        </w:rPr>
      </w:pPr>
      <w:r>
        <w:rPr>
          <w:rFonts w:ascii="宋体" w:hAnsi="宋体" w:eastAsia="宋体" w:cs="宋体"/>
          <w:spacing w:val="-3"/>
          <w:sz w:val="24"/>
          <w:szCs w:val="24"/>
        </w:rPr>
        <w:t>2.此承诺书除附在投标文件中外还须上传至“信用中国（陕西榆林）”网站投标人自主上报信用承诺书附件。（承诺有效期同投标有效期，承诺起始时间为提交</w:t>
      </w:r>
      <w:r>
        <w:rPr>
          <w:rFonts w:ascii="宋体" w:hAnsi="宋体" w:eastAsia="宋体" w:cs="宋体"/>
          <w:spacing w:val="-7"/>
          <w:sz w:val="24"/>
          <w:szCs w:val="24"/>
        </w:rPr>
        <w:t>投标文件截止之日，须后附截图。）</w:t>
      </w:r>
    </w:p>
    <w:p w14:paraId="0A251508">
      <w:pPr>
        <w:spacing w:line="360" w:lineRule="auto"/>
        <w:outlineLvl w:val="9"/>
        <w:rPr>
          <w:rFonts w:ascii="宋体" w:hAnsi="宋体" w:eastAsia="宋体" w:cs="宋体"/>
          <w:sz w:val="24"/>
          <w:szCs w:val="24"/>
        </w:rPr>
        <w:sectPr>
          <w:footerReference r:id="rId23" w:type="default"/>
          <w:pgSz w:w="11906" w:h="16838"/>
          <w:pgMar w:top="1429" w:right="1786" w:bottom="1372" w:left="1786" w:header="0" w:footer="1208" w:gutter="0"/>
          <w:pgNumType w:fmt="decimal"/>
          <w:cols w:space="0" w:num="1"/>
          <w:rtlGutter w:val="0"/>
          <w:docGrid w:linePitch="0" w:charSpace="0"/>
        </w:sectPr>
      </w:pPr>
    </w:p>
    <w:p w14:paraId="03290F0E">
      <w:pPr>
        <w:spacing w:before="64" w:line="360" w:lineRule="auto"/>
        <w:ind w:left="3246"/>
        <w:outlineLvl w:val="9"/>
        <w:rPr>
          <w:rFonts w:ascii="宋体" w:hAnsi="宋体" w:eastAsia="宋体" w:cs="宋体"/>
          <w:sz w:val="31"/>
          <w:szCs w:val="31"/>
        </w:rPr>
      </w:pPr>
      <w:r>
        <w:rPr>
          <w:rFonts w:hint="eastAsia" w:ascii="宋体" w:hAnsi="宋体" w:eastAsia="宋体" w:cs="宋体"/>
          <w:b/>
          <w:bCs/>
          <w:sz w:val="31"/>
          <w:szCs w:val="31"/>
          <w:lang w:val="en-US" w:eastAsia="zh-CN"/>
        </w:rPr>
        <w:t>五</w:t>
      </w:r>
      <w:r>
        <w:rPr>
          <w:rFonts w:ascii="宋体" w:hAnsi="宋体" w:eastAsia="宋体" w:cs="宋体"/>
          <w:b/>
          <w:bCs/>
          <w:sz w:val="31"/>
          <w:szCs w:val="31"/>
        </w:rPr>
        <w:t>、响应方案</w:t>
      </w:r>
    </w:p>
    <w:p w14:paraId="275A94BC">
      <w:pPr>
        <w:pStyle w:val="4"/>
        <w:spacing w:line="360" w:lineRule="auto"/>
        <w:outlineLvl w:val="9"/>
      </w:pPr>
    </w:p>
    <w:p w14:paraId="0068D168">
      <w:pPr>
        <w:pStyle w:val="4"/>
        <w:spacing w:line="360" w:lineRule="auto"/>
        <w:outlineLvl w:val="9"/>
      </w:pPr>
    </w:p>
    <w:p w14:paraId="025E974E">
      <w:pPr>
        <w:widowControl/>
        <w:spacing w:line="360" w:lineRule="auto"/>
        <w:ind w:firstLine="482" w:firstLineChars="200"/>
        <w:outlineLvl w:val="9"/>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参照谈判文件第</w:t>
      </w:r>
      <w:r>
        <w:rPr>
          <w:rFonts w:hint="eastAsia" w:ascii="宋体" w:hAnsi="宋体" w:eastAsia="宋体" w:cs="宋体"/>
          <w:b/>
          <w:bCs w:val="0"/>
          <w:color w:val="auto"/>
          <w:sz w:val="24"/>
          <w:szCs w:val="24"/>
          <w:lang w:eastAsia="zh-CN"/>
        </w:rPr>
        <w:t>六</w:t>
      </w:r>
      <w:r>
        <w:rPr>
          <w:rFonts w:hint="eastAsia" w:ascii="宋体" w:hAnsi="宋体" w:eastAsia="宋体" w:cs="宋体"/>
          <w:b/>
          <w:bCs w:val="0"/>
          <w:color w:val="auto"/>
          <w:sz w:val="24"/>
          <w:szCs w:val="24"/>
          <w:lang w:val="en-US" w:eastAsia="zh-CN"/>
        </w:rPr>
        <w:t>部分</w:t>
      </w:r>
      <w:r>
        <w:rPr>
          <w:rFonts w:hint="eastAsia" w:ascii="宋体" w:hAnsi="宋体" w:eastAsia="宋体" w:cs="宋体"/>
          <w:b/>
          <w:bCs w:val="0"/>
          <w:color w:val="auto"/>
          <w:sz w:val="24"/>
          <w:szCs w:val="24"/>
        </w:rPr>
        <w:t>《采购内容及要求》各条款的要求，结合第</w:t>
      </w:r>
      <w:r>
        <w:rPr>
          <w:rFonts w:hint="eastAsia" w:ascii="宋体" w:hAnsi="宋体" w:eastAsia="宋体" w:cs="宋体"/>
          <w:b/>
          <w:bCs w:val="0"/>
          <w:color w:val="auto"/>
          <w:sz w:val="24"/>
          <w:szCs w:val="24"/>
          <w:lang w:val="en-US" w:eastAsia="zh-CN"/>
        </w:rPr>
        <w:t>七部分</w:t>
      </w:r>
      <w:r>
        <w:rPr>
          <w:rFonts w:hint="eastAsia" w:ascii="宋体" w:hAnsi="宋体" w:eastAsia="宋体" w:cs="宋体"/>
          <w:b/>
          <w:bCs w:val="0"/>
          <w:color w:val="auto"/>
          <w:sz w:val="24"/>
          <w:szCs w:val="24"/>
        </w:rPr>
        <w:t>《</w:t>
      </w:r>
      <w:r>
        <w:rPr>
          <w:rFonts w:hint="eastAsia" w:ascii="宋体" w:hAnsi="宋体" w:eastAsia="宋体" w:cs="宋体"/>
          <w:b/>
          <w:bCs w:val="0"/>
          <w:color w:val="auto"/>
          <w:sz w:val="24"/>
          <w:szCs w:val="24"/>
          <w:lang w:val="en-US" w:eastAsia="zh-CN"/>
        </w:rPr>
        <w:t>评审方法</w:t>
      </w:r>
      <w:r>
        <w:rPr>
          <w:rFonts w:hint="eastAsia" w:ascii="宋体" w:hAnsi="宋体" w:eastAsia="宋体" w:cs="宋体"/>
          <w:b/>
          <w:bCs w:val="0"/>
          <w:color w:val="auto"/>
          <w:sz w:val="24"/>
          <w:szCs w:val="24"/>
        </w:rPr>
        <w:t>》编制响应方案。</w:t>
      </w:r>
    </w:p>
    <w:p w14:paraId="616E2F10">
      <w:pPr>
        <w:pStyle w:val="4"/>
        <w:spacing w:line="360" w:lineRule="auto"/>
        <w:outlineLvl w:val="9"/>
      </w:pPr>
    </w:p>
    <w:p w14:paraId="50DE6702">
      <w:pPr>
        <w:pStyle w:val="4"/>
        <w:spacing w:line="360" w:lineRule="auto"/>
        <w:outlineLvl w:val="9"/>
      </w:pPr>
    </w:p>
    <w:p w14:paraId="2689FE45">
      <w:pPr>
        <w:pStyle w:val="4"/>
        <w:spacing w:line="360" w:lineRule="auto"/>
        <w:outlineLvl w:val="9"/>
      </w:pPr>
    </w:p>
    <w:p w14:paraId="79BA81AA">
      <w:pPr>
        <w:pStyle w:val="4"/>
        <w:spacing w:line="360" w:lineRule="auto"/>
        <w:outlineLvl w:val="9"/>
      </w:pPr>
    </w:p>
    <w:p w14:paraId="0BFC30C7">
      <w:pPr>
        <w:pStyle w:val="4"/>
        <w:spacing w:line="360" w:lineRule="auto"/>
        <w:outlineLvl w:val="9"/>
      </w:pPr>
    </w:p>
    <w:p w14:paraId="52796B1F">
      <w:pPr>
        <w:pStyle w:val="4"/>
        <w:spacing w:line="360" w:lineRule="auto"/>
        <w:outlineLvl w:val="9"/>
      </w:pPr>
    </w:p>
    <w:p w14:paraId="374D2D60">
      <w:pPr>
        <w:pStyle w:val="4"/>
        <w:spacing w:line="360" w:lineRule="auto"/>
        <w:outlineLvl w:val="9"/>
      </w:pPr>
    </w:p>
    <w:p w14:paraId="1A101BE7">
      <w:pPr>
        <w:pStyle w:val="4"/>
        <w:spacing w:line="360" w:lineRule="auto"/>
        <w:outlineLvl w:val="9"/>
      </w:pPr>
    </w:p>
    <w:p w14:paraId="06F7D7F1">
      <w:pPr>
        <w:pStyle w:val="4"/>
        <w:spacing w:line="360" w:lineRule="auto"/>
        <w:outlineLvl w:val="9"/>
      </w:pPr>
    </w:p>
    <w:p w14:paraId="7290D64A">
      <w:pPr>
        <w:pStyle w:val="4"/>
        <w:spacing w:line="360" w:lineRule="auto"/>
        <w:outlineLvl w:val="9"/>
      </w:pPr>
    </w:p>
    <w:p w14:paraId="289B987B">
      <w:pPr>
        <w:pStyle w:val="4"/>
        <w:spacing w:line="360" w:lineRule="auto"/>
        <w:outlineLvl w:val="9"/>
      </w:pPr>
    </w:p>
    <w:p w14:paraId="750B83FC">
      <w:pPr>
        <w:pStyle w:val="4"/>
        <w:spacing w:line="360" w:lineRule="auto"/>
        <w:outlineLvl w:val="9"/>
      </w:pPr>
    </w:p>
    <w:p w14:paraId="7407ECA0">
      <w:pPr>
        <w:pStyle w:val="4"/>
        <w:spacing w:line="360" w:lineRule="auto"/>
        <w:outlineLvl w:val="9"/>
      </w:pPr>
    </w:p>
    <w:p w14:paraId="4AA73ED4">
      <w:pPr>
        <w:pStyle w:val="4"/>
        <w:spacing w:line="360" w:lineRule="auto"/>
        <w:outlineLvl w:val="9"/>
      </w:pPr>
    </w:p>
    <w:p w14:paraId="50DD0F25">
      <w:pPr>
        <w:pStyle w:val="4"/>
        <w:spacing w:line="360" w:lineRule="auto"/>
        <w:outlineLvl w:val="9"/>
      </w:pPr>
    </w:p>
    <w:p w14:paraId="29E4A22C">
      <w:pPr>
        <w:spacing w:before="78" w:line="360" w:lineRule="auto"/>
        <w:ind w:left="2663"/>
        <w:outlineLvl w:val="9"/>
        <w:rPr>
          <w:rFonts w:ascii="宋体" w:hAnsi="宋体" w:eastAsia="宋体" w:cs="宋体"/>
          <w:sz w:val="24"/>
          <w:szCs w:val="24"/>
        </w:rPr>
      </w:pPr>
      <w:r>
        <w:rPr>
          <w:rFonts w:ascii="宋体" w:hAnsi="宋体" w:eastAsia="宋体" w:cs="宋体"/>
          <w:spacing w:val="-2"/>
          <w:sz w:val="24"/>
          <w:szCs w:val="24"/>
        </w:rPr>
        <w:t>供应商名称（公章</w:t>
      </w:r>
      <w:r>
        <w:rPr>
          <w:rFonts w:ascii="宋体" w:hAnsi="宋体" w:eastAsia="宋体" w:cs="宋体"/>
          <w:spacing w:val="-63"/>
          <w:w w:val="99"/>
          <w:sz w:val="24"/>
          <w:szCs w:val="24"/>
        </w:rPr>
        <w:t>）：</w:t>
      </w:r>
    </w:p>
    <w:p w14:paraId="7C9E1FC9">
      <w:pPr>
        <w:spacing w:before="183" w:line="360" w:lineRule="auto"/>
        <w:ind w:left="2664"/>
        <w:outlineLvl w:val="9"/>
        <w:rPr>
          <w:rFonts w:ascii="宋体" w:hAnsi="宋体" w:eastAsia="宋体" w:cs="宋体"/>
          <w:sz w:val="24"/>
          <w:szCs w:val="24"/>
        </w:rPr>
      </w:pPr>
      <w:r>
        <w:rPr>
          <w:rFonts w:ascii="宋体" w:hAnsi="宋体" w:eastAsia="宋体" w:cs="宋体"/>
          <w:spacing w:val="-1"/>
          <w:sz w:val="24"/>
          <w:szCs w:val="24"/>
        </w:rPr>
        <w:t>法定代表人/负责人或被授权代表</w:t>
      </w:r>
      <w:r>
        <w:rPr>
          <w:rFonts w:ascii="宋体" w:hAnsi="宋体" w:eastAsia="宋体" w:cs="宋体"/>
          <w:spacing w:val="-64"/>
          <w:sz w:val="24"/>
          <w:szCs w:val="24"/>
        </w:rPr>
        <w:t>：</w:t>
      </w:r>
    </w:p>
    <w:p w14:paraId="5B8BC17B">
      <w:pPr>
        <w:spacing w:before="184" w:line="360" w:lineRule="auto"/>
        <w:ind w:left="2704"/>
        <w:outlineLvl w:val="9"/>
        <w:rPr>
          <w:rFonts w:ascii="宋体" w:hAnsi="宋体" w:eastAsia="宋体" w:cs="宋体"/>
          <w:sz w:val="24"/>
          <w:szCs w:val="24"/>
        </w:rPr>
      </w:pPr>
      <w:r>
        <w:rPr>
          <w:rFonts w:ascii="宋体" w:hAnsi="宋体" w:eastAsia="宋体" w:cs="宋体"/>
          <w:spacing w:val="-17"/>
          <w:sz w:val="24"/>
          <w:szCs w:val="24"/>
        </w:rPr>
        <w:t>日期：</w:t>
      </w:r>
    </w:p>
    <w:p w14:paraId="746EF53F">
      <w:pPr>
        <w:spacing w:line="360" w:lineRule="auto"/>
        <w:outlineLvl w:val="9"/>
        <w:rPr>
          <w:rFonts w:ascii="宋体" w:hAnsi="宋体" w:eastAsia="宋体" w:cs="宋体"/>
          <w:sz w:val="24"/>
          <w:szCs w:val="24"/>
        </w:rPr>
        <w:sectPr>
          <w:footerReference r:id="rId24" w:type="default"/>
          <w:pgSz w:w="11906" w:h="16838"/>
          <w:pgMar w:top="1429" w:right="1786" w:bottom="1372" w:left="1786" w:header="0" w:footer="1208" w:gutter="0"/>
          <w:pgNumType w:fmt="decimal"/>
          <w:cols w:space="0" w:num="1"/>
          <w:rtlGutter w:val="0"/>
          <w:docGrid w:linePitch="0" w:charSpace="0"/>
        </w:sectPr>
      </w:pPr>
    </w:p>
    <w:p w14:paraId="207FEA6C">
      <w:pPr>
        <w:spacing w:before="162" w:line="360" w:lineRule="auto"/>
        <w:ind w:left="3296"/>
        <w:outlineLvl w:val="9"/>
      </w:pPr>
      <w:r>
        <w:rPr>
          <w:rFonts w:hint="eastAsia" w:ascii="宋体" w:hAnsi="宋体" w:eastAsia="宋体" w:cs="宋体"/>
          <w:b/>
          <w:bCs/>
          <w:spacing w:val="5"/>
          <w:sz w:val="31"/>
          <w:szCs w:val="31"/>
          <w:lang w:val="en-US" w:eastAsia="zh-CN"/>
        </w:rPr>
        <w:t>六</w:t>
      </w:r>
      <w:r>
        <w:rPr>
          <w:rFonts w:ascii="宋体" w:hAnsi="宋体" w:eastAsia="宋体" w:cs="宋体"/>
          <w:b/>
          <w:bCs/>
          <w:spacing w:val="5"/>
          <w:sz w:val="31"/>
          <w:szCs w:val="31"/>
        </w:rPr>
        <w:t>、商务偏离表</w:t>
      </w:r>
    </w:p>
    <w:p w14:paraId="311A7CFE">
      <w:pPr>
        <w:spacing w:before="78" w:line="360" w:lineRule="auto"/>
        <w:ind w:left="499"/>
        <w:outlineLvl w:val="9"/>
        <w:rPr>
          <w:rFonts w:ascii="宋体" w:hAnsi="宋体" w:eastAsia="宋体" w:cs="宋体"/>
          <w:sz w:val="24"/>
          <w:szCs w:val="24"/>
        </w:rPr>
      </w:pPr>
      <w:r>
        <w:rPr>
          <w:rFonts w:ascii="宋体" w:hAnsi="宋体" w:eastAsia="宋体" w:cs="宋体"/>
          <w:sz w:val="24"/>
          <w:szCs w:val="24"/>
        </w:rPr>
        <w:t>供应商名称：</w:t>
      </w:r>
    </w:p>
    <w:p w14:paraId="7A55780D">
      <w:pPr>
        <w:spacing w:before="78" w:line="360" w:lineRule="auto"/>
        <w:ind w:left="499"/>
        <w:outlineLvl w:val="9"/>
        <w:rPr>
          <w:rFonts w:ascii="宋体" w:hAnsi="宋体" w:eastAsia="宋体" w:cs="宋体"/>
          <w:sz w:val="24"/>
          <w:szCs w:val="24"/>
        </w:rPr>
      </w:pPr>
      <w:r>
        <w:rPr>
          <w:rFonts w:ascii="宋体" w:hAnsi="宋体" w:eastAsia="宋体" w:cs="宋体"/>
          <w:spacing w:val="-1"/>
          <w:sz w:val="24"/>
          <w:szCs w:val="24"/>
        </w:rPr>
        <w:t>采购项目编号：</w:t>
      </w:r>
    </w:p>
    <w:p w14:paraId="5D7EBE4D">
      <w:pPr>
        <w:spacing w:line="360" w:lineRule="auto"/>
        <w:outlineLvl w:val="9"/>
      </w:pPr>
    </w:p>
    <w:tbl>
      <w:tblPr>
        <w:tblStyle w:val="13"/>
        <w:tblW w:w="879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57"/>
        <w:gridCol w:w="2928"/>
        <w:gridCol w:w="3227"/>
        <w:gridCol w:w="806"/>
        <w:gridCol w:w="1078"/>
      </w:tblGrid>
      <w:tr w14:paraId="2ECEA1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2" w:hRule="atLeast"/>
        </w:trPr>
        <w:tc>
          <w:tcPr>
            <w:tcW w:w="757" w:type="dxa"/>
            <w:vAlign w:val="top"/>
          </w:tcPr>
          <w:p w14:paraId="7CE54B0F">
            <w:pPr>
              <w:pStyle w:val="14"/>
              <w:spacing w:before="120" w:line="360" w:lineRule="auto"/>
              <w:ind w:left="140"/>
              <w:outlineLvl w:val="9"/>
            </w:pPr>
            <w:r>
              <w:rPr>
                <w:b/>
                <w:bCs/>
                <w:spacing w:val="-7"/>
              </w:rPr>
              <w:t>序号</w:t>
            </w:r>
          </w:p>
        </w:tc>
        <w:tc>
          <w:tcPr>
            <w:tcW w:w="2928" w:type="dxa"/>
            <w:vAlign w:val="top"/>
          </w:tcPr>
          <w:p w14:paraId="4D08F6F5">
            <w:pPr>
              <w:pStyle w:val="14"/>
              <w:spacing w:before="121" w:line="360" w:lineRule="auto"/>
              <w:ind w:left="143"/>
              <w:outlineLvl w:val="9"/>
            </w:pPr>
            <w:r>
              <w:rPr>
                <w:b/>
                <w:bCs/>
                <w:spacing w:val="-3"/>
              </w:rPr>
              <w:t>竞争性谈判文件商务要求</w:t>
            </w:r>
          </w:p>
        </w:tc>
        <w:tc>
          <w:tcPr>
            <w:tcW w:w="3227" w:type="dxa"/>
            <w:vAlign w:val="top"/>
          </w:tcPr>
          <w:p w14:paraId="2174DD58">
            <w:pPr>
              <w:pStyle w:val="14"/>
              <w:spacing w:before="121" w:line="360" w:lineRule="auto"/>
              <w:ind w:left="54"/>
              <w:outlineLvl w:val="9"/>
            </w:pPr>
            <w:r>
              <w:rPr>
                <w:b/>
                <w:bCs/>
                <w:spacing w:val="-3"/>
              </w:rPr>
              <w:t>竞争性谈判响应文件商务响应</w:t>
            </w:r>
          </w:p>
        </w:tc>
        <w:tc>
          <w:tcPr>
            <w:tcW w:w="806" w:type="dxa"/>
            <w:vAlign w:val="top"/>
          </w:tcPr>
          <w:p w14:paraId="7A76AB97">
            <w:pPr>
              <w:pStyle w:val="14"/>
              <w:spacing w:before="121" w:line="360" w:lineRule="auto"/>
              <w:ind w:left="170"/>
              <w:outlineLvl w:val="9"/>
            </w:pPr>
            <w:r>
              <w:rPr>
                <w:b/>
                <w:bCs/>
                <w:spacing w:val="-8"/>
              </w:rPr>
              <w:t>偏离</w:t>
            </w:r>
          </w:p>
        </w:tc>
        <w:tc>
          <w:tcPr>
            <w:tcW w:w="1078" w:type="dxa"/>
            <w:vAlign w:val="top"/>
          </w:tcPr>
          <w:p w14:paraId="3E35CEE2">
            <w:pPr>
              <w:pStyle w:val="14"/>
              <w:spacing w:before="121" w:line="360" w:lineRule="auto"/>
              <w:ind w:left="74"/>
              <w:outlineLvl w:val="9"/>
            </w:pPr>
            <w:r>
              <w:rPr>
                <w:b/>
                <w:bCs/>
                <w:spacing w:val="-8"/>
              </w:rPr>
              <w:t>响应说明</w:t>
            </w:r>
          </w:p>
        </w:tc>
      </w:tr>
      <w:tr w14:paraId="71028D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5FBEDCCB">
            <w:pPr>
              <w:spacing w:line="360" w:lineRule="auto"/>
              <w:outlineLvl w:val="9"/>
              <w:rPr>
                <w:rFonts w:ascii="Arial"/>
                <w:sz w:val="21"/>
              </w:rPr>
            </w:pPr>
          </w:p>
        </w:tc>
        <w:tc>
          <w:tcPr>
            <w:tcW w:w="2928" w:type="dxa"/>
            <w:vAlign w:val="top"/>
          </w:tcPr>
          <w:p w14:paraId="0616A1CB">
            <w:pPr>
              <w:spacing w:line="360" w:lineRule="auto"/>
              <w:outlineLvl w:val="9"/>
              <w:rPr>
                <w:rFonts w:ascii="Arial"/>
                <w:sz w:val="21"/>
              </w:rPr>
            </w:pPr>
          </w:p>
        </w:tc>
        <w:tc>
          <w:tcPr>
            <w:tcW w:w="3227" w:type="dxa"/>
            <w:vAlign w:val="top"/>
          </w:tcPr>
          <w:p w14:paraId="1B21F879">
            <w:pPr>
              <w:spacing w:line="360" w:lineRule="auto"/>
              <w:outlineLvl w:val="9"/>
              <w:rPr>
                <w:rFonts w:ascii="Arial"/>
                <w:sz w:val="21"/>
              </w:rPr>
            </w:pPr>
          </w:p>
        </w:tc>
        <w:tc>
          <w:tcPr>
            <w:tcW w:w="806" w:type="dxa"/>
            <w:vAlign w:val="top"/>
          </w:tcPr>
          <w:p w14:paraId="006504C8">
            <w:pPr>
              <w:spacing w:line="360" w:lineRule="auto"/>
              <w:outlineLvl w:val="9"/>
              <w:rPr>
                <w:rFonts w:ascii="Arial"/>
                <w:sz w:val="21"/>
              </w:rPr>
            </w:pPr>
          </w:p>
        </w:tc>
        <w:tc>
          <w:tcPr>
            <w:tcW w:w="1078" w:type="dxa"/>
            <w:vAlign w:val="top"/>
          </w:tcPr>
          <w:p w14:paraId="31ADD7BB">
            <w:pPr>
              <w:spacing w:line="360" w:lineRule="auto"/>
              <w:outlineLvl w:val="9"/>
              <w:rPr>
                <w:rFonts w:ascii="Arial"/>
                <w:sz w:val="21"/>
              </w:rPr>
            </w:pPr>
          </w:p>
        </w:tc>
      </w:tr>
      <w:tr w14:paraId="17974D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01A7E289">
            <w:pPr>
              <w:spacing w:line="360" w:lineRule="auto"/>
              <w:outlineLvl w:val="9"/>
              <w:rPr>
                <w:rFonts w:ascii="Arial"/>
                <w:sz w:val="21"/>
              </w:rPr>
            </w:pPr>
          </w:p>
        </w:tc>
        <w:tc>
          <w:tcPr>
            <w:tcW w:w="2928" w:type="dxa"/>
            <w:vAlign w:val="top"/>
          </w:tcPr>
          <w:p w14:paraId="66531B6C">
            <w:pPr>
              <w:spacing w:line="360" w:lineRule="auto"/>
              <w:outlineLvl w:val="9"/>
              <w:rPr>
                <w:rFonts w:ascii="Arial"/>
                <w:sz w:val="21"/>
              </w:rPr>
            </w:pPr>
          </w:p>
        </w:tc>
        <w:tc>
          <w:tcPr>
            <w:tcW w:w="3227" w:type="dxa"/>
            <w:vAlign w:val="top"/>
          </w:tcPr>
          <w:p w14:paraId="4EFA7BB3">
            <w:pPr>
              <w:spacing w:line="360" w:lineRule="auto"/>
              <w:outlineLvl w:val="9"/>
              <w:rPr>
                <w:rFonts w:ascii="Arial"/>
                <w:sz w:val="21"/>
              </w:rPr>
            </w:pPr>
          </w:p>
        </w:tc>
        <w:tc>
          <w:tcPr>
            <w:tcW w:w="806" w:type="dxa"/>
            <w:vAlign w:val="top"/>
          </w:tcPr>
          <w:p w14:paraId="5441A48F">
            <w:pPr>
              <w:spacing w:line="360" w:lineRule="auto"/>
              <w:outlineLvl w:val="9"/>
              <w:rPr>
                <w:rFonts w:ascii="Arial"/>
                <w:sz w:val="21"/>
              </w:rPr>
            </w:pPr>
          </w:p>
        </w:tc>
        <w:tc>
          <w:tcPr>
            <w:tcW w:w="1078" w:type="dxa"/>
            <w:vAlign w:val="top"/>
          </w:tcPr>
          <w:p w14:paraId="65BCEB97">
            <w:pPr>
              <w:spacing w:line="360" w:lineRule="auto"/>
              <w:outlineLvl w:val="9"/>
              <w:rPr>
                <w:rFonts w:ascii="Arial"/>
                <w:sz w:val="21"/>
              </w:rPr>
            </w:pPr>
          </w:p>
        </w:tc>
      </w:tr>
      <w:tr w14:paraId="30CD31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528CE603">
            <w:pPr>
              <w:spacing w:line="360" w:lineRule="auto"/>
              <w:outlineLvl w:val="9"/>
              <w:rPr>
                <w:rFonts w:ascii="Arial"/>
                <w:sz w:val="21"/>
              </w:rPr>
            </w:pPr>
          </w:p>
        </w:tc>
        <w:tc>
          <w:tcPr>
            <w:tcW w:w="2928" w:type="dxa"/>
            <w:vAlign w:val="top"/>
          </w:tcPr>
          <w:p w14:paraId="47074D1D">
            <w:pPr>
              <w:spacing w:line="360" w:lineRule="auto"/>
              <w:outlineLvl w:val="9"/>
              <w:rPr>
                <w:rFonts w:ascii="Arial"/>
                <w:sz w:val="21"/>
              </w:rPr>
            </w:pPr>
          </w:p>
        </w:tc>
        <w:tc>
          <w:tcPr>
            <w:tcW w:w="3227" w:type="dxa"/>
            <w:vAlign w:val="top"/>
          </w:tcPr>
          <w:p w14:paraId="56722876">
            <w:pPr>
              <w:spacing w:line="360" w:lineRule="auto"/>
              <w:outlineLvl w:val="9"/>
              <w:rPr>
                <w:rFonts w:ascii="Arial"/>
                <w:sz w:val="21"/>
              </w:rPr>
            </w:pPr>
          </w:p>
        </w:tc>
        <w:tc>
          <w:tcPr>
            <w:tcW w:w="806" w:type="dxa"/>
            <w:vAlign w:val="top"/>
          </w:tcPr>
          <w:p w14:paraId="56B7473E">
            <w:pPr>
              <w:spacing w:line="360" w:lineRule="auto"/>
              <w:outlineLvl w:val="9"/>
              <w:rPr>
                <w:rFonts w:ascii="Arial"/>
                <w:sz w:val="21"/>
              </w:rPr>
            </w:pPr>
          </w:p>
        </w:tc>
        <w:tc>
          <w:tcPr>
            <w:tcW w:w="1078" w:type="dxa"/>
            <w:vAlign w:val="top"/>
          </w:tcPr>
          <w:p w14:paraId="00349699">
            <w:pPr>
              <w:spacing w:line="360" w:lineRule="auto"/>
              <w:outlineLvl w:val="9"/>
              <w:rPr>
                <w:rFonts w:ascii="Arial"/>
                <w:sz w:val="21"/>
              </w:rPr>
            </w:pPr>
          </w:p>
        </w:tc>
      </w:tr>
      <w:tr w14:paraId="7A4CDC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29CDE977">
            <w:pPr>
              <w:spacing w:line="360" w:lineRule="auto"/>
              <w:outlineLvl w:val="9"/>
              <w:rPr>
                <w:rFonts w:ascii="Arial"/>
                <w:sz w:val="21"/>
              </w:rPr>
            </w:pPr>
          </w:p>
        </w:tc>
        <w:tc>
          <w:tcPr>
            <w:tcW w:w="2928" w:type="dxa"/>
            <w:vAlign w:val="top"/>
          </w:tcPr>
          <w:p w14:paraId="09148E7E">
            <w:pPr>
              <w:spacing w:line="360" w:lineRule="auto"/>
              <w:outlineLvl w:val="9"/>
              <w:rPr>
                <w:rFonts w:ascii="Arial"/>
                <w:sz w:val="21"/>
              </w:rPr>
            </w:pPr>
          </w:p>
        </w:tc>
        <w:tc>
          <w:tcPr>
            <w:tcW w:w="3227" w:type="dxa"/>
            <w:vAlign w:val="top"/>
          </w:tcPr>
          <w:p w14:paraId="50E1B907">
            <w:pPr>
              <w:spacing w:line="360" w:lineRule="auto"/>
              <w:outlineLvl w:val="9"/>
              <w:rPr>
                <w:rFonts w:ascii="Arial"/>
                <w:sz w:val="21"/>
              </w:rPr>
            </w:pPr>
          </w:p>
        </w:tc>
        <w:tc>
          <w:tcPr>
            <w:tcW w:w="806" w:type="dxa"/>
            <w:vAlign w:val="top"/>
          </w:tcPr>
          <w:p w14:paraId="058F89E5">
            <w:pPr>
              <w:spacing w:line="360" w:lineRule="auto"/>
              <w:outlineLvl w:val="9"/>
              <w:rPr>
                <w:rFonts w:ascii="Arial"/>
                <w:sz w:val="21"/>
              </w:rPr>
            </w:pPr>
          </w:p>
        </w:tc>
        <w:tc>
          <w:tcPr>
            <w:tcW w:w="1078" w:type="dxa"/>
            <w:vAlign w:val="top"/>
          </w:tcPr>
          <w:p w14:paraId="7126872D">
            <w:pPr>
              <w:spacing w:line="360" w:lineRule="auto"/>
              <w:outlineLvl w:val="9"/>
              <w:rPr>
                <w:rFonts w:ascii="Arial"/>
                <w:sz w:val="21"/>
              </w:rPr>
            </w:pPr>
          </w:p>
        </w:tc>
      </w:tr>
      <w:tr w14:paraId="784D39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2428B9BC">
            <w:pPr>
              <w:spacing w:line="360" w:lineRule="auto"/>
              <w:outlineLvl w:val="9"/>
              <w:rPr>
                <w:rFonts w:ascii="Arial"/>
                <w:sz w:val="21"/>
              </w:rPr>
            </w:pPr>
          </w:p>
        </w:tc>
        <w:tc>
          <w:tcPr>
            <w:tcW w:w="2928" w:type="dxa"/>
            <w:vAlign w:val="top"/>
          </w:tcPr>
          <w:p w14:paraId="684441EE">
            <w:pPr>
              <w:spacing w:line="360" w:lineRule="auto"/>
              <w:outlineLvl w:val="9"/>
              <w:rPr>
                <w:rFonts w:ascii="Arial"/>
                <w:sz w:val="21"/>
              </w:rPr>
            </w:pPr>
          </w:p>
        </w:tc>
        <w:tc>
          <w:tcPr>
            <w:tcW w:w="3227" w:type="dxa"/>
            <w:vAlign w:val="top"/>
          </w:tcPr>
          <w:p w14:paraId="071A97E6">
            <w:pPr>
              <w:spacing w:line="360" w:lineRule="auto"/>
              <w:outlineLvl w:val="9"/>
              <w:rPr>
                <w:rFonts w:ascii="Arial"/>
                <w:sz w:val="21"/>
              </w:rPr>
            </w:pPr>
          </w:p>
        </w:tc>
        <w:tc>
          <w:tcPr>
            <w:tcW w:w="806" w:type="dxa"/>
            <w:vAlign w:val="top"/>
          </w:tcPr>
          <w:p w14:paraId="08455A01">
            <w:pPr>
              <w:spacing w:line="360" w:lineRule="auto"/>
              <w:outlineLvl w:val="9"/>
              <w:rPr>
                <w:rFonts w:ascii="Arial"/>
                <w:sz w:val="21"/>
              </w:rPr>
            </w:pPr>
          </w:p>
        </w:tc>
        <w:tc>
          <w:tcPr>
            <w:tcW w:w="1078" w:type="dxa"/>
            <w:vAlign w:val="top"/>
          </w:tcPr>
          <w:p w14:paraId="21C70343">
            <w:pPr>
              <w:spacing w:line="360" w:lineRule="auto"/>
              <w:outlineLvl w:val="9"/>
              <w:rPr>
                <w:rFonts w:ascii="Arial"/>
                <w:sz w:val="21"/>
              </w:rPr>
            </w:pPr>
          </w:p>
        </w:tc>
      </w:tr>
      <w:tr w14:paraId="136575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5" w:hRule="atLeast"/>
        </w:trPr>
        <w:tc>
          <w:tcPr>
            <w:tcW w:w="757" w:type="dxa"/>
            <w:vAlign w:val="top"/>
          </w:tcPr>
          <w:p w14:paraId="6CFB712D">
            <w:pPr>
              <w:spacing w:line="360" w:lineRule="auto"/>
              <w:outlineLvl w:val="9"/>
              <w:rPr>
                <w:rFonts w:ascii="Arial"/>
                <w:sz w:val="21"/>
              </w:rPr>
            </w:pPr>
          </w:p>
        </w:tc>
        <w:tc>
          <w:tcPr>
            <w:tcW w:w="2928" w:type="dxa"/>
            <w:vAlign w:val="top"/>
          </w:tcPr>
          <w:p w14:paraId="6203D959">
            <w:pPr>
              <w:spacing w:line="360" w:lineRule="auto"/>
              <w:outlineLvl w:val="9"/>
              <w:rPr>
                <w:rFonts w:ascii="Arial"/>
                <w:sz w:val="21"/>
              </w:rPr>
            </w:pPr>
          </w:p>
        </w:tc>
        <w:tc>
          <w:tcPr>
            <w:tcW w:w="3227" w:type="dxa"/>
            <w:vAlign w:val="top"/>
          </w:tcPr>
          <w:p w14:paraId="631609C3">
            <w:pPr>
              <w:spacing w:line="360" w:lineRule="auto"/>
              <w:outlineLvl w:val="9"/>
              <w:rPr>
                <w:rFonts w:ascii="Arial"/>
                <w:sz w:val="21"/>
              </w:rPr>
            </w:pPr>
          </w:p>
        </w:tc>
        <w:tc>
          <w:tcPr>
            <w:tcW w:w="806" w:type="dxa"/>
            <w:vAlign w:val="top"/>
          </w:tcPr>
          <w:p w14:paraId="705A21FC">
            <w:pPr>
              <w:spacing w:line="360" w:lineRule="auto"/>
              <w:outlineLvl w:val="9"/>
              <w:rPr>
                <w:rFonts w:ascii="Arial"/>
                <w:sz w:val="21"/>
              </w:rPr>
            </w:pPr>
          </w:p>
        </w:tc>
        <w:tc>
          <w:tcPr>
            <w:tcW w:w="1078" w:type="dxa"/>
            <w:vAlign w:val="top"/>
          </w:tcPr>
          <w:p w14:paraId="0DB9E1A4">
            <w:pPr>
              <w:spacing w:line="360" w:lineRule="auto"/>
              <w:outlineLvl w:val="9"/>
              <w:rPr>
                <w:rFonts w:ascii="Arial"/>
                <w:sz w:val="21"/>
              </w:rPr>
            </w:pPr>
          </w:p>
        </w:tc>
      </w:tr>
      <w:tr w14:paraId="08CDE0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0797F989">
            <w:pPr>
              <w:spacing w:line="360" w:lineRule="auto"/>
              <w:outlineLvl w:val="9"/>
              <w:rPr>
                <w:rFonts w:ascii="Arial"/>
                <w:sz w:val="21"/>
              </w:rPr>
            </w:pPr>
          </w:p>
        </w:tc>
        <w:tc>
          <w:tcPr>
            <w:tcW w:w="2928" w:type="dxa"/>
            <w:vAlign w:val="top"/>
          </w:tcPr>
          <w:p w14:paraId="68A966DA">
            <w:pPr>
              <w:spacing w:line="360" w:lineRule="auto"/>
              <w:outlineLvl w:val="9"/>
              <w:rPr>
                <w:rFonts w:ascii="Arial"/>
                <w:sz w:val="21"/>
              </w:rPr>
            </w:pPr>
          </w:p>
        </w:tc>
        <w:tc>
          <w:tcPr>
            <w:tcW w:w="3227" w:type="dxa"/>
            <w:vAlign w:val="top"/>
          </w:tcPr>
          <w:p w14:paraId="3A00B726">
            <w:pPr>
              <w:spacing w:line="360" w:lineRule="auto"/>
              <w:outlineLvl w:val="9"/>
              <w:rPr>
                <w:rFonts w:ascii="Arial"/>
                <w:sz w:val="21"/>
              </w:rPr>
            </w:pPr>
          </w:p>
        </w:tc>
        <w:tc>
          <w:tcPr>
            <w:tcW w:w="806" w:type="dxa"/>
            <w:vAlign w:val="top"/>
          </w:tcPr>
          <w:p w14:paraId="1B3C20DC">
            <w:pPr>
              <w:spacing w:line="360" w:lineRule="auto"/>
              <w:outlineLvl w:val="9"/>
              <w:rPr>
                <w:rFonts w:ascii="Arial"/>
                <w:sz w:val="21"/>
              </w:rPr>
            </w:pPr>
          </w:p>
        </w:tc>
        <w:tc>
          <w:tcPr>
            <w:tcW w:w="1078" w:type="dxa"/>
            <w:vAlign w:val="top"/>
          </w:tcPr>
          <w:p w14:paraId="77E5238D">
            <w:pPr>
              <w:spacing w:line="360" w:lineRule="auto"/>
              <w:outlineLvl w:val="9"/>
              <w:rPr>
                <w:rFonts w:ascii="Arial"/>
                <w:sz w:val="21"/>
              </w:rPr>
            </w:pPr>
          </w:p>
        </w:tc>
      </w:tr>
      <w:tr w14:paraId="0B12A2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09EFDE21">
            <w:pPr>
              <w:spacing w:line="360" w:lineRule="auto"/>
              <w:outlineLvl w:val="9"/>
              <w:rPr>
                <w:rFonts w:ascii="Arial"/>
                <w:sz w:val="21"/>
              </w:rPr>
            </w:pPr>
          </w:p>
        </w:tc>
        <w:tc>
          <w:tcPr>
            <w:tcW w:w="2928" w:type="dxa"/>
            <w:vAlign w:val="top"/>
          </w:tcPr>
          <w:p w14:paraId="34B6B42D">
            <w:pPr>
              <w:spacing w:line="360" w:lineRule="auto"/>
              <w:outlineLvl w:val="9"/>
              <w:rPr>
                <w:rFonts w:ascii="Arial"/>
                <w:sz w:val="21"/>
              </w:rPr>
            </w:pPr>
          </w:p>
        </w:tc>
        <w:tc>
          <w:tcPr>
            <w:tcW w:w="3227" w:type="dxa"/>
            <w:vAlign w:val="top"/>
          </w:tcPr>
          <w:p w14:paraId="25FF2678">
            <w:pPr>
              <w:spacing w:line="360" w:lineRule="auto"/>
              <w:outlineLvl w:val="9"/>
              <w:rPr>
                <w:rFonts w:ascii="Arial"/>
                <w:sz w:val="21"/>
              </w:rPr>
            </w:pPr>
          </w:p>
        </w:tc>
        <w:tc>
          <w:tcPr>
            <w:tcW w:w="806" w:type="dxa"/>
            <w:vAlign w:val="top"/>
          </w:tcPr>
          <w:p w14:paraId="405FDE7C">
            <w:pPr>
              <w:spacing w:line="360" w:lineRule="auto"/>
              <w:outlineLvl w:val="9"/>
              <w:rPr>
                <w:rFonts w:ascii="Arial"/>
                <w:sz w:val="21"/>
              </w:rPr>
            </w:pPr>
          </w:p>
        </w:tc>
        <w:tc>
          <w:tcPr>
            <w:tcW w:w="1078" w:type="dxa"/>
            <w:vAlign w:val="top"/>
          </w:tcPr>
          <w:p w14:paraId="19EA0769">
            <w:pPr>
              <w:spacing w:line="360" w:lineRule="auto"/>
              <w:outlineLvl w:val="9"/>
              <w:rPr>
                <w:rFonts w:ascii="Arial"/>
                <w:sz w:val="21"/>
              </w:rPr>
            </w:pPr>
          </w:p>
        </w:tc>
      </w:tr>
    </w:tbl>
    <w:p w14:paraId="176D2482">
      <w:pPr>
        <w:spacing w:before="115" w:line="360" w:lineRule="auto"/>
        <w:ind w:left="262"/>
        <w:outlineLvl w:val="9"/>
        <w:rPr>
          <w:rFonts w:ascii="宋体" w:hAnsi="宋体" w:eastAsia="宋体" w:cs="宋体"/>
          <w:sz w:val="24"/>
          <w:szCs w:val="24"/>
        </w:rPr>
      </w:pPr>
      <w:r>
        <w:rPr>
          <w:rFonts w:ascii="宋体" w:hAnsi="宋体" w:eastAsia="宋体" w:cs="宋体"/>
          <w:spacing w:val="-5"/>
          <w:sz w:val="24"/>
          <w:szCs w:val="24"/>
        </w:rPr>
        <w:t>说明：</w:t>
      </w:r>
    </w:p>
    <w:p w14:paraId="022E4D59">
      <w:pPr>
        <w:spacing w:before="183" w:line="360" w:lineRule="auto"/>
        <w:ind w:left="757"/>
        <w:outlineLvl w:val="9"/>
        <w:rPr>
          <w:rFonts w:ascii="宋体" w:hAnsi="宋体" w:eastAsia="宋体" w:cs="宋体"/>
          <w:sz w:val="24"/>
          <w:szCs w:val="24"/>
        </w:rPr>
      </w:pPr>
      <w:r>
        <w:rPr>
          <w:rFonts w:ascii="宋体" w:hAnsi="宋体" w:eastAsia="宋体" w:cs="宋体"/>
          <w:spacing w:val="-2"/>
          <w:sz w:val="24"/>
          <w:szCs w:val="24"/>
        </w:rPr>
        <w:t>1、谈判响应文件根据第</w:t>
      </w:r>
      <w:r>
        <w:rPr>
          <w:rFonts w:hint="eastAsia" w:ascii="宋体" w:hAnsi="宋体" w:eastAsia="宋体" w:cs="宋体"/>
          <w:spacing w:val="-2"/>
          <w:sz w:val="24"/>
          <w:szCs w:val="24"/>
          <w:lang w:val="en-US" w:eastAsia="zh-CN"/>
        </w:rPr>
        <w:t>四</w:t>
      </w:r>
      <w:r>
        <w:rPr>
          <w:rFonts w:ascii="宋体" w:hAnsi="宋体" w:eastAsia="宋体" w:cs="宋体"/>
          <w:spacing w:val="-2"/>
          <w:sz w:val="24"/>
          <w:szCs w:val="24"/>
        </w:rPr>
        <w:t>部分商务要求如实填写；</w:t>
      </w:r>
    </w:p>
    <w:p w14:paraId="2B519914">
      <w:pPr>
        <w:spacing w:before="183" w:line="360" w:lineRule="auto"/>
        <w:ind w:left="742"/>
        <w:outlineLvl w:val="9"/>
        <w:rPr>
          <w:rFonts w:ascii="宋体" w:hAnsi="宋体" w:eastAsia="宋体" w:cs="宋体"/>
          <w:sz w:val="24"/>
          <w:szCs w:val="24"/>
        </w:rPr>
      </w:pPr>
      <w:r>
        <w:rPr>
          <w:rFonts w:ascii="宋体" w:hAnsi="宋体" w:eastAsia="宋体" w:cs="宋体"/>
          <w:spacing w:val="-1"/>
          <w:sz w:val="24"/>
          <w:szCs w:val="24"/>
        </w:rPr>
        <w:t>2、偏离填写：优于、相同、低于；</w:t>
      </w:r>
    </w:p>
    <w:p w14:paraId="48EEB92A">
      <w:pPr>
        <w:spacing w:before="184" w:line="360" w:lineRule="auto"/>
        <w:ind w:left="744"/>
        <w:outlineLvl w:val="9"/>
        <w:rPr>
          <w:rFonts w:ascii="宋体" w:hAnsi="宋体" w:eastAsia="宋体" w:cs="宋体"/>
          <w:sz w:val="24"/>
          <w:szCs w:val="24"/>
        </w:rPr>
      </w:pPr>
      <w:r>
        <w:rPr>
          <w:rFonts w:ascii="宋体" w:hAnsi="宋体" w:eastAsia="宋体" w:cs="宋体"/>
          <w:spacing w:val="-1"/>
          <w:sz w:val="24"/>
          <w:szCs w:val="24"/>
        </w:rPr>
        <w:t>3、响应说明填写：对偏离做出详细的说明。</w:t>
      </w:r>
    </w:p>
    <w:p w14:paraId="3DBBF1D3">
      <w:pPr>
        <w:pStyle w:val="4"/>
        <w:spacing w:line="360" w:lineRule="auto"/>
        <w:outlineLvl w:val="9"/>
      </w:pPr>
    </w:p>
    <w:p w14:paraId="03B3D0B1">
      <w:pPr>
        <w:pStyle w:val="4"/>
        <w:spacing w:line="360" w:lineRule="auto"/>
        <w:outlineLvl w:val="9"/>
      </w:pPr>
    </w:p>
    <w:p w14:paraId="4BB5C3A8">
      <w:pPr>
        <w:spacing w:before="78" w:line="360" w:lineRule="auto"/>
        <w:ind w:left="2900"/>
        <w:outlineLvl w:val="9"/>
        <w:rPr>
          <w:rFonts w:hint="eastAsia" w:ascii="宋体" w:hAnsi="宋体" w:eastAsia="宋体" w:cs="宋体"/>
          <w:sz w:val="24"/>
          <w:szCs w:val="24"/>
          <w:lang w:eastAsia="zh-CN"/>
        </w:rPr>
      </w:pPr>
      <w:r>
        <w:rPr>
          <w:rFonts w:ascii="宋体" w:hAnsi="宋体" w:eastAsia="宋体" w:cs="宋体"/>
          <w:spacing w:val="-1"/>
          <w:sz w:val="24"/>
          <w:szCs w:val="24"/>
        </w:rPr>
        <w:t>法定代表人/负责人或被授权代表</w:t>
      </w:r>
      <w:r>
        <w:rPr>
          <w:rFonts w:ascii="宋体" w:hAnsi="宋体" w:eastAsia="宋体" w:cs="宋体"/>
          <w:spacing w:val="-56"/>
          <w:sz w:val="24"/>
          <w:szCs w:val="24"/>
        </w:rPr>
        <w:t>：</w:t>
      </w:r>
    </w:p>
    <w:p w14:paraId="2EC86A6E">
      <w:pPr>
        <w:pStyle w:val="4"/>
        <w:spacing w:line="360" w:lineRule="auto"/>
        <w:outlineLvl w:val="9"/>
      </w:pPr>
    </w:p>
    <w:p w14:paraId="00BD6E37">
      <w:pPr>
        <w:spacing w:before="79" w:line="360" w:lineRule="auto"/>
        <w:ind w:left="2899"/>
        <w:outlineLvl w:val="9"/>
        <w:rPr>
          <w:rFonts w:hint="eastAsia" w:ascii="宋体" w:hAnsi="宋体" w:eastAsia="宋体" w:cs="宋体"/>
          <w:sz w:val="24"/>
          <w:szCs w:val="24"/>
          <w:lang w:eastAsia="zh-CN"/>
        </w:rPr>
      </w:pPr>
      <w:r>
        <w:rPr>
          <w:rFonts w:ascii="宋体" w:hAnsi="宋体" w:eastAsia="宋体" w:cs="宋体"/>
          <w:spacing w:val="-2"/>
          <w:sz w:val="24"/>
          <w:szCs w:val="24"/>
        </w:rPr>
        <w:t>供应商名称公章：</w:t>
      </w:r>
    </w:p>
    <w:p w14:paraId="7A046608">
      <w:pPr>
        <w:pStyle w:val="4"/>
        <w:spacing w:line="360" w:lineRule="auto"/>
        <w:outlineLvl w:val="9"/>
      </w:pPr>
    </w:p>
    <w:p w14:paraId="7E779311">
      <w:pPr>
        <w:spacing w:before="78" w:line="360" w:lineRule="auto"/>
        <w:ind w:left="2940"/>
        <w:outlineLvl w:val="9"/>
        <w:rPr>
          <w:rFonts w:hint="eastAsia" w:ascii="宋体" w:hAnsi="宋体" w:eastAsia="宋体" w:cs="宋体"/>
          <w:sz w:val="24"/>
          <w:szCs w:val="24"/>
          <w:lang w:eastAsia="zh-CN"/>
        </w:rPr>
      </w:pPr>
      <w:r>
        <w:rPr>
          <w:rFonts w:ascii="宋体" w:hAnsi="宋体" w:eastAsia="宋体" w:cs="宋体"/>
          <w:spacing w:val="-17"/>
          <w:sz w:val="24"/>
          <w:szCs w:val="24"/>
        </w:rPr>
        <w:t>日期：</w:t>
      </w:r>
    </w:p>
    <w:p w14:paraId="7183EEBB">
      <w:pPr>
        <w:spacing w:line="360" w:lineRule="auto"/>
        <w:outlineLvl w:val="9"/>
        <w:rPr>
          <w:rFonts w:ascii="宋体" w:hAnsi="宋体" w:eastAsia="宋体" w:cs="宋体"/>
          <w:sz w:val="24"/>
          <w:szCs w:val="24"/>
        </w:rPr>
        <w:sectPr>
          <w:footerReference r:id="rId25" w:type="default"/>
          <w:pgSz w:w="11906" w:h="16838"/>
          <w:pgMar w:top="1429" w:right="1786" w:bottom="1372" w:left="1786" w:header="0" w:footer="1208" w:gutter="0"/>
          <w:pgNumType w:fmt="decimal"/>
          <w:cols w:space="0" w:num="1"/>
          <w:rtlGutter w:val="0"/>
          <w:docGrid w:linePitch="0" w:charSpace="0"/>
        </w:sectPr>
      </w:pPr>
    </w:p>
    <w:p w14:paraId="46C7AAD7">
      <w:pPr>
        <w:spacing w:before="162" w:line="360" w:lineRule="auto"/>
        <w:ind w:left="3665"/>
        <w:outlineLvl w:val="9"/>
        <w:rPr>
          <w:rFonts w:ascii="宋体" w:hAnsi="宋体" w:eastAsia="宋体" w:cs="宋体"/>
          <w:sz w:val="31"/>
          <w:szCs w:val="31"/>
        </w:rPr>
      </w:pPr>
      <w:r>
        <w:rPr>
          <w:rFonts w:hint="eastAsia" w:ascii="宋体" w:hAnsi="宋体" w:eastAsia="宋体" w:cs="宋体"/>
          <w:b/>
          <w:bCs/>
          <w:spacing w:val="5"/>
          <w:sz w:val="31"/>
          <w:szCs w:val="31"/>
          <w:lang w:val="en-US" w:eastAsia="zh-CN"/>
        </w:rPr>
        <w:t>七</w:t>
      </w:r>
      <w:r>
        <w:rPr>
          <w:rFonts w:ascii="宋体" w:hAnsi="宋体" w:eastAsia="宋体" w:cs="宋体"/>
          <w:b/>
          <w:bCs/>
          <w:spacing w:val="5"/>
          <w:sz w:val="31"/>
          <w:szCs w:val="31"/>
        </w:rPr>
        <w:t>、供应商概况</w:t>
      </w:r>
    </w:p>
    <w:p w14:paraId="4002AF69">
      <w:pPr>
        <w:spacing w:before="145" w:line="360" w:lineRule="auto"/>
        <w:ind w:left="3386"/>
        <w:outlineLvl w:val="9"/>
        <w:rPr>
          <w:rFonts w:ascii="宋体" w:hAnsi="宋体" w:eastAsia="宋体" w:cs="宋体"/>
          <w:sz w:val="20"/>
          <w:szCs w:val="20"/>
        </w:rPr>
      </w:pPr>
      <w:r>
        <w:rPr>
          <w:rFonts w:hint="eastAsia" w:ascii="宋体" w:hAnsi="宋体" w:eastAsia="宋体" w:cs="宋体"/>
          <w:b/>
          <w:bCs/>
          <w:spacing w:val="5"/>
          <w:sz w:val="20"/>
          <w:szCs w:val="20"/>
          <w:lang w:val="en-US" w:eastAsia="zh-CN"/>
        </w:rPr>
        <w:t>7</w:t>
      </w:r>
      <w:r>
        <w:rPr>
          <w:rFonts w:ascii="宋体" w:hAnsi="宋体" w:eastAsia="宋体" w:cs="宋体"/>
          <w:b/>
          <w:bCs/>
          <w:spacing w:val="5"/>
          <w:sz w:val="20"/>
          <w:szCs w:val="20"/>
        </w:rPr>
        <w:t>.1法定代表人/负责人证明书</w:t>
      </w:r>
    </w:p>
    <w:p w14:paraId="693B7D1A">
      <w:pPr>
        <w:spacing w:line="360" w:lineRule="auto"/>
        <w:outlineLvl w:val="9"/>
      </w:pPr>
    </w:p>
    <w:tbl>
      <w:tblPr>
        <w:tblStyle w:val="13"/>
        <w:tblW w:w="954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83"/>
        <w:gridCol w:w="2206"/>
        <w:gridCol w:w="2204"/>
        <w:gridCol w:w="186"/>
        <w:gridCol w:w="2202"/>
        <w:gridCol w:w="2163"/>
      </w:tblGrid>
      <w:tr w14:paraId="6F14D1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2" w:hRule="atLeast"/>
        </w:trPr>
        <w:tc>
          <w:tcPr>
            <w:tcW w:w="9544" w:type="dxa"/>
            <w:gridSpan w:val="6"/>
            <w:vAlign w:val="top"/>
          </w:tcPr>
          <w:p w14:paraId="04773B5E">
            <w:pPr>
              <w:pStyle w:val="14"/>
              <w:spacing w:before="287" w:line="360" w:lineRule="auto"/>
              <w:ind w:left="117"/>
              <w:outlineLvl w:val="9"/>
              <w:rPr>
                <w:rFonts w:hint="eastAsia" w:eastAsia="宋体"/>
                <w:lang w:eastAsia="zh-CN"/>
              </w:rPr>
            </w:pPr>
            <w:r>
              <w:rPr>
                <w:spacing w:val="-1"/>
              </w:rPr>
              <w:t>致：</w:t>
            </w:r>
            <w:r>
              <w:rPr>
                <w:rFonts w:hint="eastAsia"/>
                <w:spacing w:val="-1"/>
                <w:lang w:eastAsia="zh-CN"/>
              </w:rPr>
              <w:t>陕西鸿茂鑫晟建设项目管理有限公司</w:t>
            </w:r>
          </w:p>
        </w:tc>
      </w:tr>
      <w:tr w14:paraId="2D3299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6" w:hRule="atLeast"/>
        </w:trPr>
        <w:tc>
          <w:tcPr>
            <w:tcW w:w="583" w:type="dxa"/>
            <w:vMerge w:val="restart"/>
            <w:tcBorders>
              <w:bottom w:val="nil"/>
            </w:tcBorders>
            <w:textDirection w:val="tbRlV"/>
            <w:vAlign w:val="top"/>
          </w:tcPr>
          <w:p w14:paraId="44DC285E">
            <w:pPr>
              <w:pStyle w:val="14"/>
              <w:spacing w:before="170" w:line="360" w:lineRule="auto"/>
              <w:ind w:left="629"/>
              <w:outlineLvl w:val="9"/>
            </w:pPr>
            <w:r>
              <w:rPr>
                <w:spacing w:val="-1"/>
              </w:rPr>
              <w:t>企业法人</w:t>
            </w:r>
          </w:p>
        </w:tc>
        <w:tc>
          <w:tcPr>
            <w:tcW w:w="2206" w:type="dxa"/>
            <w:vAlign w:val="top"/>
          </w:tcPr>
          <w:p w14:paraId="0483085E">
            <w:pPr>
              <w:pStyle w:val="14"/>
              <w:spacing w:before="272" w:line="360" w:lineRule="auto"/>
              <w:ind w:left="632"/>
              <w:outlineLvl w:val="9"/>
            </w:pPr>
            <w:r>
              <w:rPr>
                <w:spacing w:val="-4"/>
              </w:rPr>
              <w:t>企业名称</w:t>
            </w:r>
          </w:p>
        </w:tc>
        <w:tc>
          <w:tcPr>
            <w:tcW w:w="6755" w:type="dxa"/>
            <w:gridSpan w:val="4"/>
            <w:vAlign w:val="top"/>
          </w:tcPr>
          <w:p w14:paraId="19E15122">
            <w:pPr>
              <w:spacing w:line="360" w:lineRule="auto"/>
              <w:outlineLvl w:val="9"/>
              <w:rPr>
                <w:rFonts w:ascii="Arial"/>
                <w:sz w:val="21"/>
              </w:rPr>
            </w:pPr>
          </w:p>
        </w:tc>
      </w:tr>
      <w:tr w14:paraId="7D120D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6" w:hRule="atLeast"/>
        </w:trPr>
        <w:tc>
          <w:tcPr>
            <w:tcW w:w="583" w:type="dxa"/>
            <w:vMerge w:val="continue"/>
            <w:tcBorders>
              <w:top w:val="nil"/>
              <w:bottom w:val="nil"/>
            </w:tcBorders>
            <w:textDirection w:val="tbRlV"/>
            <w:vAlign w:val="top"/>
          </w:tcPr>
          <w:p w14:paraId="12EBA6DE">
            <w:pPr>
              <w:spacing w:line="360" w:lineRule="auto"/>
              <w:outlineLvl w:val="9"/>
              <w:rPr>
                <w:rFonts w:ascii="Arial"/>
                <w:sz w:val="21"/>
              </w:rPr>
            </w:pPr>
          </w:p>
        </w:tc>
        <w:tc>
          <w:tcPr>
            <w:tcW w:w="2206" w:type="dxa"/>
            <w:vAlign w:val="top"/>
          </w:tcPr>
          <w:p w14:paraId="235B0E7C">
            <w:pPr>
              <w:pStyle w:val="14"/>
              <w:spacing w:before="271" w:line="360" w:lineRule="auto"/>
              <w:ind w:left="629"/>
              <w:outlineLvl w:val="9"/>
            </w:pPr>
            <w:r>
              <w:rPr>
                <w:spacing w:val="-3"/>
              </w:rPr>
              <w:t>法定地址</w:t>
            </w:r>
          </w:p>
        </w:tc>
        <w:tc>
          <w:tcPr>
            <w:tcW w:w="6755" w:type="dxa"/>
            <w:gridSpan w:val="4"/>
            <w:vAlign w:val="top"/>
          </w:tcPr>
          <w:p w14:paraId="3B8913CF">
            <w:pPr>
              <w:spacing w:line="360" w:lineRule="auto"/>
              <w:outlineLvl w:val="9"/>
              <w:rPr>
                <w:rFonts w:ascii="Arial"/>
                <w:sz w:val="21"/>
              </w:rPr>
            </w:pPr>
          </w:p>
        </w:tc>
      </w:tr>
      <w:tr w14:paraId="053512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5" w:hRule="atLeast"/>
        </w:trPr>
        <w:tc>
          <w:tcPr>
            <w:tcW w:w="583" w:type="dxa"/>
            <w:vMerge w:val="continue"/>
            <w:tcBorders>
              <w:top w:val="nil"/>
              <w:bottom w:val="nil"/>
            </w:tcBorders>
            <w:textDirection w:val="tbRlV"/>
            <w:vAlign w:val="top"/>
          </w:tcPr>
          <w:p w14:paraId="1281A310">
            <w:pPr>
              <w:spacing w:line="360" w:lineRule="auto"/>
              <w:outlineLvl w:val="9"/>
              <w:rPr>
                <w:rFonts w:ascii="Arial"/>
                <w:sz w:val="21"/>
              </w:rPr>
            </w:pPr>
          </w:p>
        </w:tc>
        <w:tc>
          <w:tcPr>
            <w:tcW w:w="2206" w:type="dxa"/>
            <w:vAlign w:val="top"/>
          </w:tcPr>
          <w:p w14:paraId="213BD4AE">
            <w:pPr>
              <w:pStyle w:val="14"/>
              <w:spacing w:before="271" w:line="360" w:lineRule="auto"/>
              <w:ind w:left="646"/>
              <w:outlineLvl w:val="9"/>
            </w:pPr>
            <w:r>
              <w:rPr>
                <w:spacing w:val="-7"/>
              </w:rPr>
              <w:t>邮政编码</w:t>
            </w:r>
          </w:p>
        </w:tc>
        <w:tc>
          <w:tcPr>
            <w:tcW w:w="6755" w:type="dxa"/>
            <w:gridSpan w:val="4"/>
            <w:vAlign w:val="top"/>
          </w:tcPr>
          <w:p w14:paraId="3D4702E9">
            <w:pPr>
              <w:spacing w:line="360" w:lineRule="auto"/>
              <w:outlineLvl w:val="9"/>
              <w:rPr>
                <w:rFonts w:ascii="Arial"/>
                <w:sz w:val="21"/>
              </w:rPr>
            </w:pPr>
          </w:p>
        </w:tc>
      </w:tr>
      <w:tr w14:paraId="06B8CE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90" w:hRule="atLeast"/>
        </w:trPr>
        <w:tc>
          <w:tcPr>
            <w:tcW w:w="583" w:type="dxa"/>
            <w:vMerge w:val="continue"/>
            <w:tcBorders>
              <w:top w:val="nil"/>
            </w:tcBorders>
            <w:textDirection w:val="tbRlV"/>
            <w:vAlign w:val="top"/>
          </w:tcPr>
          <w:p w14:paraId="6F9D7630">
            <w:pPr>
              <w:spacing w:line="360" w:lineRule="auto"/>
              <w:outlineLvl w:val="9"/>
              <w:rPr>
                <w:rFonts w:ascii="Arial"/>
                <w:sz w:val="21"/>
              </w:rPr>
            </w:pPr>
          </w:p>
        </w:tc>
        <w:tc>
          <w:tcPr>
            <w:tcW w:w="2206" w:type="dxa"/>
            <w:vAlign w:val="top"/>
          </w:tcPr>
          <w:p w14:paraId="22F028D0">
            <w:pPr>
              <w:spacing w:line="360" w:lineRule="auto"/>
              <w:outlineLvl w:val="9"/>
              <w:rPr>
                <w:rFonts w:ascii="Arial"/>
                <w:sz w:val="21"/>
              </w:rPr>
            </w:pPr>
          </w:p>
          <w:p w14:paraId="728719AF">
            <w:pPr>
              <w:pStyle w:val="14"/>
              <w:spacing w:before="78" w:line="360" w:lineRule="auto"/>
              <w:ind w:left="154"/>
              <w:outlineLvl w:val="9"/>
            </w:pPr>
            <w:r>
              <w:rPr>
                <w:spacing w:val="-2"/>
              </w:rPr>
              <w:t>统一社会信用代码</w:t>
            </w:r>
          </w:p>
        </w:tc>
        <w:tc>
          <w:tcPr>
            <w:tcW w:w="6755" w:type="dxa"/>
            <w:gridSpan w:val="4"/>
            <w:vAlign w:val="top"/>
          </w:tcPr>
          <w:p w14:paraId="71845067">
            <w:pPr>
              <w:spacing w:line="360" w:lineRule="auto"/>
              <w:outlineLvl w:val="9"/>
              <w:rPr>
                <w:rFonts w:ascii="Arial"/>
                <w:sz w:val="21"/>
              </w:rPr>
            </w:pPr>
          </w:p>
        </w:tc>
      </w:tr>
      <w:tr w14:paraId="47FCAA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6" w:hRule="atLeast"/>
        </w:trPr>
        <w:tc>
          <w:tcPr>
            <w:tcW w:w="583" w:type="dxa"/>
            <w:vMerge w:val="restart"/>
            <w:tcBorders>
              <w:bottom w:val="nil"/>
            </w:tcBorders>
            <w:textDirection w:val="tbRlV"/>
            <w:vAlign w:val="top"/>
          </w:tcPr>
          <w:p w14:paraId="49807170">
            <w:pPr>
              <w:pStyle w:val="14"/>
              <w:spacing w:before="169" w:line="360" w:lineRule="auto"/>
              <w:ind w:left="405"/>
              <w:outlineLvl w:val="9"/>
            </w:pPr>
            <w:r>
              <w:rPr>
                <w:spacing w:val="-1"/>
              </w:rPr>
              <w:t>法定代表人</w:t>
            </w:r>
          </w:p>
        </w:tc>
        <w:tc>
          <w:tcPr>
            <w:tcW w:w="2206" w:type="dxa"/>
            <w:vAlign w:val="top"/>
          </w:tcPr>
          <w:p w14:paraId="19F25B2B">
            <w:pPr>
              <w:pStyle w:val="14"/>
              <w:spacing w:before="273" w:line="360" w:lineRule="auto"/>
              <w:ind w:left="868"/>
              <w:outlineLvl w:val="9"/>
            </w:pPr>
            <w:r>
              <w:rPr>
                <w:spacing w:val="-5"/>
              </w:rPr>
              <w:t>姓名</w:t>
            </w:r>
          </w:p>
        </w:tc>
        <w:tc>
          <w:tcPr>
            <w:tcW w:w="2390" w:type="dxa"/>
            <w:gridSpan w:val="2"/>
            <w:vAlign w:val="top"/>
          </w:tcPr>
          <w:p w14:paraId="406F1D6B">
            <w:pPr>
              <w:spacing w:line="360" w:lineRule="auto"/>
              <w:outlineLvl w:val="9"/>
              <w:rPr>
                <w:rFonts w:ascii="Arial"/>
                <w:sz w:val="21"/>
              </w:rPr>
            </w:pPr>
          </w:p>
        </w:tc>
        <w:tc>
          <w:tcPr>
            <w:tcW w:w="2202" w:type="dxa"/>
            <w:vAlign w:val="top"/>
          </w:tcPr>
          <w:p w14:paraId="6D30D83D">
            <w:pPr>
              <w:pStyle w:val="14"/>
              <w:spacing w:before="273" w:line="360" w:lineRule="auto"/>
              <w:ind w:left="871"/>
              <w:outlineLvl w:val="9"/>
            </w:pPr>
            <w:r>
              <w:rPr>
                <w:spacing w:val="-7"/>
              </w:rPr>
              <w:t>性别</w:t>
            </w:r>
          </w:p>
        </w:tc>
        <w:tc>
          <w:tcPr>
            <w:tcW w:w="2163" w:type="dxa"/>
            <w:vAlign w:val="top"/>
          </w:tcPr>
          <w:p w14:paraId="0E1DDC80">
            <w:pPr>
              <w:spacing w:line="360" w:lineRule="auto"/>
              <w:outlineLvl w:val="9"/>
              <w:rPr>
                <w:rFonts w:ascii="Arial"/>
                <w:sz w:val="21"/>
              </w:rPr>
            </w:pPr>
          </w:p>
        </w:tc>
      </w:tr>
      <w:tr w14:paraId="4003AE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6" w:hRule="atLeast"/>
        </w:trPr>
        <w:tc>
          <w:tcPr>
            <w:tcW w:w="583" w:type="dxa"/>
            <w:vMerge w:val="continue"/>
            <w:tcBorders>
              <w:top w:val="nil"/>
              <w:bottom w:val="nil"/>
            </w:tcBorders>
            <w:textDirection w:val="tbRlV"/>
            <w:vAlign w:val="top"/>
          </w:tcPr>
          <w:p w14:paraId="4234F559">
            <w:pPr>
              <w:spacing w:line="360" w:lineRule="auto"/>
              <w:outlineLvl w:val="9"/>
              <w:rPr>
                <w:rFonts w:ascii="Arial"/>
                <w:sz w:val="21"/>
              </w:rPr>
            </w:pPr>
          </w:p>
        </w:tc>
        <w:tc>
          <w:tcPr>
            <w:tcW w:w="2206" w:type="dxa"/>
            <w:vAlign w:val="top"/>
          </w:tcPr>
          <w:p w14:paraId="6494AE9D">
            <w:pPr>
              <w:pStyle w:val="14"/>
              <w:spacing w:before="275" w:line="360" w:lineRule="auto"/>
              <w:ind w:left="869"/>
              <w:outlineLvl w:val="9"/>
            </w:pPr>
            <w:r>
              <w:rPr>
                <w:spacing w:val="-6"/>
              </w:rPr>
              <w:t>职务</w:t>
            </w:r>
          </w:p>
        </w:tc>
        <w:tc>
          <w:tcPr>
            <w:tcW w:w="2390" w:type="dxa"/>
            <w:gridSpan w:val="2"/>
            <w:vAlign w:val="top"/>
          </w:tcPr>
          <w:p w14:paraId="3DFA12BE">
            <w:pPr>
              <w:spacing w:line="360" w:lineRule="auto"/>
              <w:outlineLvl w:val="9"/>
              <w:rPr>
                <w:rFonts w:ascii="Arial"/>
                <w:sz w:val="21"/>
              </w:rPr>
            </w:pPr>
          </w:p>
        </w:tc>
        <w:tc>
          <w:tcPr>
            <w:tcW w:w="2202" w:type="dxa"/>
            <w:vAlign w:val="top"/>
          </w:tcPr>
          <w:p w14:paraId="0B69E4B3">
            <w:pPr>
              <w:pStyle w:val="14"/>
              <w:spacing w:before="275" w:line="360" w:lineRule="auto"/>
              <w:ind w:left="629"/>
              <w:outlineLvl w:val="9"/>
            </w:pPr>
            <w:r>
              <w:rPr>
                <w:spacing w:val="-3"/>
              </w:rPr>
              <w:t>联系电话</w:t>
            </w:r>
          </w:p>
        </w:tc>
        <w:tc>
          <w:tcPr>
            <w:tcW w:w="2163" w:type="dxa"/>
            <w:vAlign w:val="top"/>
          </w:tcPr>
          <w:p w14:paraId="5747D57B">
            <w:pPr>
              <w:spacing w:line="360" w:lineRule="auto"/>
              <w:outlineLvl w:val="9"/>
              <w:rPr>
                <w:rFonts w:ascii="Arial"/>
                <w:sz w:val="21"/>
              </w:rPr>
            </w:pPr>
          </w:p>
        </w:tc>
      </w:tr>
      <w:tr w14:paraId="3DA078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7" w:hRule="atLeast"/>
        </w:trPr>
        <w:tc>
          <w:tcPr>
            <w:tcW w:w="583" w:type="dxa"/>
            <w:vMerge w:val="continue"/>
            <w:tcBorders>
              <w:top w:val="nil"/>
            </w:tcBorders>
            <w:textDirection w:val="tbRlV"/>
            <w:vAlign w:val="top"/>
          </w:tcPr>
          <w:p w14:paraId="07229684">
            <w:pPr>
              <w:spacing w:line="360" w:lineRule="auto"/>
              <w:outlineLvl w:val="9"/>
              <w:rPr>
                <w:rFonts w:ascii="Arial"/>
                <w:sz w:val="21"/>
              </w:rPr>
            </w:pPr>
          </w:p>
        </w:tc>
        <w:tc>
          <w:tcPr>
            <w:tcW w:w="2206" w:type="dxa"/>
            <w:vAlign w:val="top"/>
          </w:tcPr>
          <w:p w14:paraId="3DB7737F">
            <w:pPr>
              <w:pStyle w:val="14"/>
              <w:spacing w:before="273" w:line="360" w:lineRule="auto"/>
              <w:ind w:left="866"/>
              <w:outlineLvl w:val="9"/>
            </w:pPr>
            <w:r>
              <w:rPr>
                <w:spacing w:val="-4"/>
              </w:rPr>
              <w:t>传真</w:t>
            </w:r>
          </w:p>
        </w:tc>
        <w:tc>
          <w:tcPr>
            <w:tcW w:w="6755" w:type="dxa"/>
            <w:gridSpan w:val="4"/>
            <w:vAlign w:val="top"/>
          </w:tcPr>
          <w:p w14:paraId="16FBD7A9">
            <w:pPr>
              <w:spacing w:line="360" w:lineRule="auto"/>
              <w:outlineLvl w:val="9"/>
              <w:rPr>
                <w:rFonts w:ascii="Arial"/>
                <w:sz w:val="21"/>
              </w:rPr>
            </w:pPr>
          </w:p>
        </w:tc>
      </w:tr>
      <w:tr w14:paraId="133F3D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1" w:hRule="atLeast"/>
        </w:trPr>
        <w:tc>
          <w:tcPr>
            <w:tcW w:w="4993" w:type="dxa"/>
            <w:gridSpan w:val="3"/>
            <w:vMerge w:val="restart"/>
            <w:tcBorders>
              <w:bottom w:val="nil"/>
            </w:tcBorders>
            <w:vAlign w:val="top"/>
          </w:tcPr>
          <w:p w14:paraId="3E3D3A80">
            <w:pPr>
              <w:spacing w:line="360" w:lineRule="auto"/>
              <w:outlineLvl w:val="9"/>
              <w:rPr>
                <w:rFonts w:ascii="Arial"/>
                <w:sz w:val="21"/>
              </w:rPr>
            </w:pPr>
          </w:p>
          <w:p w14:paraId="0178AF9F">
            <w:pPr>
              <w:spacing w:line="360" w:lineRule="auto"/>
              <w:outlineLvl w:val="9"/>
              <w:rPr>
                <w:rFonts w:ascii="Arial"/>
                <w:sz w:val="21"/>
              </w:rPr>
            </w:pPr>
          </w:p>
          <w:p w14:paraId="4DE11344">
            <w:pPr>
              <w:spacing w:line="360" w:lineRule="auto"/>
              <w:outlineLvl w:val="9"/>
              <w:rPr>
                <w:rFonts w:ascii="Arial"/>
                <w:sz w:val="21"/>
              </w:rPr>
            </w:pPr>
          </w:p>
          <w:p w14:paraId="77822090">
            <w:pPr>
              <w:spacing w:line="360" w:lineRule="auto"/>
              <w:outlineLvl w:val="9"/>
              <w:rPr>
                <w:rFonts w:ascii="Arial"/>
                <w:sz w:val="21"/>
              </w:rPr>
            </w:pPr>
          </w:p>
          <w:p w14:paraId="78350DB1">
            <w:pPr>
              <w:spacing w:line="360" w:lineRule="auto"/>
              <w:outlineLvl w:val="9"/>
              <w:rPr>
                <w:rFonts w:ascii="Arial"/>
                <w:sz w:val="21"/>
              </w:rPr>
            </w:pPr>
          </w:p>
          <w:p w14:paraId="53FD9E28">
            <w:pPr>
              <w:spacing w:line="360" w:lineRule="auto"/>
              <w:outlineLvl w:val="9"/>
              <w:rPr>
                <w:rFonts w:ascii="Arial"/>
                <w:sz w:val="21"/>
              </w:rPr>
            </w:pPr>
          </w:p>
          <w:p w14:paraId="2478ECEA">
            <w:pPr>
              <w:spacing w:line="360" w:lineRule="auto"/>
              <w:outlineLvl w:val="9"/>
              <w:rPr>
                <w:rFonts w:ascii="Arial"/>
                <w:sz w:val="21"/>
              </w:rPr>
            </w:pPr>
          </w:p>
          <w:p w14:paraId="7AAE2B63">
            <w:pPr>
              <w:spacing w:line="360" w:lineRule="auto"/>
              <w:outlineLvl w:val="9"/>
              <w:rPr>
                <w:rFonts w:ascii="Arial"/>
                <w:sz w:val="21"/>
              </w:rPr>
            </w:pPr>
          </w:p>
          <w:p w14:paraId="07572064">
            <w:pPr>
              <w:spacing w:line="360" w:lineRule="auto"/>
              <w:outlineLvl w:val="9"/>
              <w:rPr>
                <w:rFonts w:ascii="Arial"/>
                <w:sz w:val="21"/>
              </w:rPr>
            </w:pPr>
          </w:p>
          <w:p w14:paraId="63499C0D">
            <w:pPr>
              <w:pStyle w:val="14"/>
              <w:spacing w:before="78" w:line="360" w:lineRule="auto"/>
              <w:ind w:left="583"/>
              <w:outlineLvl w:val="9"/>
            </w:pPr>
            <w:r>
              <w:rPr>
                <w:spacing w:val="-1"/>
              </w:rPr>
              <w:t>法定代表人身份证（正反面）复印件</w:t>
            </w:r>
          </w:p>
        </w:tc>
        <w:tc>
          <w:tcPr>
            <w:tcW w:w="4551" w:type="dxa"/>
            <w:gridSpan w:val="3"/>
            <w:vAlign w:val="top"/>
          </w:tcPr>
          <w:p w14:paraId="12EFAC09">
            <w:pPr>
              <w:spacing w:line="360" w:lineRule="auto"/>
              <w:outlineLvl w:val="9"/>
              <w:rPr>
                <w:rFonts w:ascii="Arial"/>
                <w:sz w:val="21"/>
              </w:rPr>
            </w:pPr>
          </w:p>
          <w:p w14:paraId="4D8DF5EC">
            <w:pPr>
              <w:spacing w:line="360" w:lineRule="auto"/>
              <w:outlineLvl w:val="9"/>
              <w:rPr>
                <w:rFonts w:ascii="Arial"/>
                <w:sz w:val="21"/>
              </w:rPr>
            </w:pPr>
          </w:p>
          <w:p w14:paraId="3EF19029">
            <w:pPr>
              <w:spacing w:line="360" w:lineRule="auto"/>
              <w:outlineLvl w:val="9"/>
              <w:rPr>
                <w:rFonts w:ascii="Arial"/>
                <w:sz w:val="21"/>
              </w:rPr>
            </w:pPr>
          </w:p>
          <w:p w14:paraId="37AF1463">
            <w:pPr>
              <w:spacing w:line="360" w:lineRule="auto"/>
              <w:outlineLvl w:val="9"/>
              <w:rPr>
                <w:rFonts w:ascii="Arial"/>
                <w:sz w:val="21"/>
              </w:rPr>
            </w:pPr>
          </w:p>
          <w:p w14:paraId="47C213AD">
            <w:pPr>
              <w:pStyle w:val="14"/>
              <w:spacing w:before="78" w:line="360" w:lineRule="auto"/>
              <w:ind w:left="662"/>
              <w:outlineLvl w:val="9"/>
            </w:pPr>
            <w:r>
              <w:rPr>
                <w:spacing w:val="-1"/>
              </w:rPr>
              <w:t>法定代表人/负责人签字或盖章</w:t>
            </w:r>
          </w:p>
        </w:tc>
      </w:tr>
      <w:tr w14:paraId="179954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70" w:hRule="atLeast"/>
        </w:trPr>
        <w:tc>
          <w:tcPr>
            <w:tcW w:w="4993" w:type="dxa"/>
            <w:gridSpan w:val="3"/>
            <w:vMerge w:val="continue"/>
            <w:tcBorders>
              <w:top w:val="nil"/>
            </w:tcBorders>
            <w:vAlign w:val="top"/>
          </w:tcPr>
          <w:p w14:paraId="36E4F908">
            <w:pPr>
              <w:spacing w:line="360" w:lineRule="auto"/>
              <w:outlineLvl w:val="9"/>
              <w:rPr>
                <w:rFonts w:ascii="Arial"/>
                <w:sz w:val="21"/>
              </w:rPr>
            </w:pPr>
          </w:p>
        </w:tc>
        <w:tc>
          <w:tcPr>
            <w:tcW w:w="4551" w:type="dxa"/>
            <w:gridSpan w:val="3"/>
            <w:vAlign w:val="top"/>
          </w:tcPr>
          <w:p w14:paraId="228156E7">
            <w:pPr>
              <w:spacing w:line="360" w:lineRule="auto"/>
              <w:outlineLvl w:val="9"/>
              <w:rPr>
                <w:rFonts w:ascii="Arial"/>
                <w:sz w:val="21"/>
              </w:rPr>
            </w:pPr>
          </w:p>
          <w:p w14:paraId="48B09439">
            <w:pPr>
              <w:spacing w:line="360" w:lineRule="auto"/>
              <w:outlineLvl w:val="9"/>
              <w:rPr>
                <w:rFonts w:ascii="Arial"/>
                <w:sz w:val="21"/>
              </w:rPr>
            </w:pPr>
          </w:p>
          <w:p w14:paraId="1BDD8D07">
            <w:pPr>
              <w:spacing w:line="360" w:lineRule="auto"/>
              <w:outlineLvl w:val="9"/>
              <w:rPr>
                <w:rFonts w:ascii="Arial"/>
                <w:sz w:val="21"/>
              </w:rPr>
            </w:pPr>
          </w:p>
          <w:p w14:paraId="4750506A">
            <w:pPr>
              <w:spacing w:line="360" w:lineRule="auto"/>
              <w:outlineLvl w:val="9"/>
              <w:rPr>
                <w:rFonts w:ascii="Arial"/>
                <w:sz w:val="21"/>
              </w:rPr>
            </w:pPr>
          </w:p>
          <w:p w14:paraId="6BB58EEF">
            <w:pPr>
              <w:pStyle w:val="14"/>
              <w:spacing w:before="78" w:line="360" w:lineRule="auto"/>
              <w:ind w:left="1812"/>
              <w:outlineLvl w:val="9"/>
            </w:pPr>
            <w:r>
              <w:rPr>
                <w:spacing w:val="-6"/>
              </w:rPr>
              <w:t>（公章）</w:t>
            </w:r>
          </w:p>
          <w:p w14:paraId="3CA55D14">
            <w:pPr>
              <w:spacing w:line="360" w:lineRule="auto"/>
              <w:outlineLvl w:val="9"/>
              <w:rPr>
                <w:rFonts w:ascii="Arial"/>
                <w:sz w:val="21"/>
              </w:rPr>
            </w:pPr>
          </w:p>
          <w:p w14:paraId="31D4CE6B">
            <w:pPr>
              <w:spacing w:line="360" w:lineRule="auto"/>
              <w:outlineLvl w:val="9"/>
              <w:rPr>
                <w:rFonts w:ascii="Arial"/>
                <w:sz w:val="21"/>
              </w:rPr>
            </w:pPr>
          </w:p>
          <w:p w14:paraId="50D7B991">
            <w:pPr>
              <w:spacing w:line="360" w:lineRule="auto"/>
              <w:outlineLvl w:val="9"/>
              <w:rPr>
                <w:rFonts w:ascii="Arial"/>
                <w:sz w:val="21"/>
              </w:rPr>
            </w:pPr>
          </w:p>
          <w:p w14:paraId="7C4A6CED">
            <w:pPr>
              <w:pStyle w:val="14"/>
              <w:spacing w:before="78" w:line="360" w:lineRule="auto"/>
              <w:ind w:left="3249"/>
              <w:outlineLvl w:val="9"/>
            </w:pPr>
            <w:r>
              <w:rPr>
                <w:spacing w:val="-9"/>
              </w:rPr>
              <w:t>年月日</w:t>
            </w:r>
          </w:p>
        </w:tc>
      </w:tr>
    </w:tbl>
    <w:p w14:paraId="27B36371">
      <w:pPr>
        <w:spacing w:before="60" w:line="360" w:lineRule="auto"/>
        <w:ind w:left="2765"/>
        <w:outlineLvl w:val="9"/>
        <w:rPr>
          <w:rFonts w:ascii="宋体" w:hAnsi="宋体" w:eastAsia="宋体" w:cs="宋体"/>
          <w:sz w:val="20"/>
          <w:szCs w:val="20"/>
        </w:rPr>
      </w:pPr>
      <w:r>
        <w:rPr>
          <w:rFonts w:hint="eastAsia" w:ascii="宋体" w:hAnsi="宋体" w:eastAsia="宋体" w:cs="宋体"/>
          <w:b/>
          <w:bCs/>
          <w:spacing w:val="6"/>
          <w:sz w:val="20"/>
          <w:szCs w:val="20"/>
          <w:lang w:val="en-US" w:eastAsia="zh-CN"/>
        </w:rPr>
        <w:t>7</w:t>
      </w:r>
      <w:r>
        <w:rPr>
          <w:rFonts w:ascii="宋体" w:hAnsi="宋体" w:eastAsia="宋体" w:cs="宋体"/>
          <w:b/>
          <w:bCs/>
          <w:spacing w:val="6"/>
          <w:sz w:val="20"/>
          <w:szCs w:val="20"/>
        </w:rPr>
        <w:t>.2法定代表人/负责人授权委托书</w:t>
      </w:r>
    </w:p>
    <w:p w14:paraId="11D2D225">
      <w:pPr>
        <w:spacing w:before="207" w:line="360" w:lineRule="auto"/>
        <w:ind w:left="219" w:right="210" w:firstLine="571"/>
        <w:jc w:val="both"/>
        <w:outlineLvl w:val="9"/>
        <w:rPr>
          <w:rFonts w:ascii="宋体" w:hAnsi="宋体" w:eastAsia="宋体" w:cs="宋体"/>
          <w:sz w:val="24"/>
          <w:szCs w:val="24"/>
        </w:rPr>
      </w:pPr>
      <w:r>
        <w:rPr>
          <w:rFonts w:ascii="宋体" w:hAnsi="宋体" w:eastAsia="宋体" w:cs="宋体"/>
          <w:spacing w:val="-2"/>
          <w:sz w:val="24"/>
          <w:szCs w:val="24"/>
        </w:rPr>
        <w:t>本授权委托书声明：我</w:t>
      </w:r>
      <w:r>
        <w:rPr>
          <w:rFonts w:ascii="宋体" w:hAnsi="宋体" w:eastAsia="宋体" w:cs="宋体"/>
          <w:spacing w:val="-2"/>
          <w:sz w:val="24"/>
          <w:szCs w:val="24"/>
          <w:u w:val="single" w:color="auto"/>
        </w:rPr>
        <w:t>（法定代表人/负责人姓名）</w:t>
      </w:r>
      <w:r>
        <w:rPr>
          <w:rFonts w:ascii="宋体" w:hAnsi="宋体" w:eastAsia="宋体" w:cs="宋体"/>
          <w:spacing w:val="-2"/>
          <w:sz w:val="24"/>
          <w:szCs w:val="24"/>
        </w:rPr>
        <w:t>系注册于</w:t>
      </w:r>
      <w:r>
        <w:rPr>
          <w:rFonts w:ascii="宋体" w:hAnsi="宋体" w:eastAsia="宋体" w:cs="宋体"/>
          <w:spacing w:val="-2"/>
          <w:sz w:val="24"/>
          <w:szCs w:val="24"/>
          <w:u w:val="single" w:color="auto"/>
        </w:rPr>
        <w:t>（供应商地</w:t>
      </w:r>
      <w:r>
        <w:rPr>
          <w:rFonts w:ascii="宋体" w:hAnsi="宋体" w:eastAsia="宋体" w:cs="宋体"/>
          <w:spacing w:val="-4"/>
          <w:sz w:val="24"/>
          <w:szCs w:val="24"/>
          <w:u w:val="single" w:color="auto"/>
        </w:rPr>
        <w:t>址）</w:t>
      </w:r>
      <w:r>
        <w:rPr>
          <w:rFonts w:ascii="宋体" w:hAnsi="宋体" w:eastAsia="宋体" w:cs="宋体"/>
          <w:spacing w:val="-4"/>
          <w:sz w:val="24"/>
          <w:szCs w:val="24"/>
        </w:rPr>
        <w:t>的</w:t>
      </w:r>
      <w:r>
        <w:rPr>
          <w:rFonts w:ascii="宋体" w:hAnsi="宋体" w:eastAsia="宋体" w:cs="宋体"/>
          <w:spacing w:val="-4"/>
          <w:sz w:val="24"/>
          <w:szCs w:val="24"/>
          <w:u w:val="single" w:color="auto"/>
        </w:rPr>
        <w:t>（供应商名称）</w:t>
      </w:r>
      <w:r>
        <w:rPr>
          <w:rFonts w:ascii="宋体" w:hAnsi="宋体" w:eastAsia="宋体" w:cs="宋体"/>
          <w:spacing w:val="-4"/>
          <w:sz w:val="24"/>
          <w:szCs w:val="24"/>
        </w:rPr>
        <w:t>的法定代表人/负责人，现代表公司授权下</w:t>
      </w:r>
      <w:r>
        <w:rPr>
          <w:rFonts w:ascii="宋体" w:hAnsi="宋体" w:eastAsia="宋体" w:cs="宋体"/>
          <w:spacing w:val="-8"/>
          <w:sz w:val="24"/>
          <w:szCs w:val="24"/>
        </w:rPr>
        <w:t>面签字的</w:t>
      </w:r>
      <w:r>
        <w:rPr>
          <w:rFonts w:ascii="宋体" w:hAnsi="宋体" w:eastAsia="宋体" w:cs="宋体"/>
          <w:spacing w:val="-8"/>
          <w:sz w:val="24"/>
          <w:szCs w:val="24"/>
          <w:u w:val="single" w:color="auto"/>
        </w:rPr>
        <w:t>（被授权人的姓名、职务）</w:t>
      </w:r>
      <w:r>
        <w:rPr>
          <w:rFonts w:ascii="宋体" w:hAnsi="宋体" w:eastAsia="宋体" w:cs="宋体"/>
          <w:spacing w:val="-8"/>
          <w:sz w:val="24"/>
          <w:szCs w:val="24"/>
        </w:rPr>
        <w:t>为我公司合法代理人，代表</w:t>
      </w:r>
      <w:r>
        <w:rPr>
          <w:rFonts w:ascii="宋体" w:hAnsi="宋体" w:eastAsia="宋体" w:cs="宋体"/>
          <w:spacing w:val="-9"/>
          <w:sz w:val="24"/>
          <w:szCs w:val="24"/>
        </w:rPr>
        <w:t>本公司参加</w:t>
      </w:r>
      <w:r>
        <w:rPr>
          <w:rFonts w:ascii="宋体" w:hAnsi="宋体" w:eastAsia="宋体" w:cs="宋体"/>
          <w:spacing w:val="-9"/>
          <w:sz w:val="24"/>
          <w:szCs w:val="24"/>
          <w:u w:val="single" w:color="auto"/>
        </w:rPr>
        <w:t>（采</w:t>
      </w:r>
      <w:r>
        <w:rPr>
          <w:rFonts w:ascii="宋体" w:hAnsi="宋体" w:eastAsia="宋体" w:cs="宋体"/>
          <w:spacing w:val="-2"/>
          <w:sz w:val="24"/>
          <w:szCs w:val="24"/>
          <w:u w:val="single" w:color="auto"/>
        </w:rPr>
        <w:t>购项目名称）(</w:t>
      </w:r>
      <w:r>
        <w:rPr>
          <w:rFonts w:ascii="宋体" w:hAnsi="宋体" w:eastAsia="宋体" w:cs="宋体"/>
          <w:spacing w:val="-2"/>
          <w:sz w:val="24"/>
          <w:szCs w:val="24"/>
        </w:rPr>
        <w:t>采购项目编号)为的谈判活动。代理人在本次谈</w:t>
      </w:r>
      <w:r>
        <w:rPr>
          <w:rFonts w:ascii="宋体" w:hAnsi="宋体" w:eastAsia="宋体" w:cs="宋体"/>
          <w:sz w:val="24"/>
          <w:szCs w:val="24"/>
        </w:rPr>
        <w:t>判中所签署的一切文件和处理的一切有关事物</w:t>
      </w:r>
      <w:r>
        <w:rPr>
          <w:rFonts w:ascii="宋体" w:hAnsi="宋体" w:eastAsia="宋体" w:cs="宋体"/>
          <w:spacing w:val="-1"/>
          <w:sz w:val="24"/>
          <w:szCs w:val="24"/>
        </w:rPr>
        <w:t>，我公司均予承认。</w:t>
      </w:r>
    </w:p>
    <w:p w14:paraId="7A48D902">
      <w:pPr>
        <w:spacing w:before="1" w:line="360" w:lineRule="auto"/>
        <w:ind w:left="225" w:right="212" w:firstLine="476"/>
        <w:outlineLvl w:val="9"/>
        <w:rPr>
          <w:rFonts w:ascii="宋体" w:hAnsi="宋体" w:eastAsia="宋体" w:cs="宋体"/>
          <w:sz w:val="24"/>
          <w:szCs w:val="24"/>
        </w:rPr>
      </w:pPr>
      <w:r>
        <w:rPr>
          <w:rFonts w:ascii="宋体" w:hAnsi="宋体" w:eastAsia="宋体" w:cs="宋体"/>
          <w:spacing w:val="-5"/>
          <w:sz w:val="24"/>
          <w:szCs w:val="24"/>
        </w:rPr>
        <w:t>本授权书于年月日签字（盖章）生效，有效期自谈判之日起</w:t>
      </w:r>
      <w:r>
        <w:rPr>
          <w:rFonts w:ascii="宋体" w:hAnsi="宋体" w:eastAsia="宋体" w:cs="宋体"/>
          <w:spacing w:val="-2"/>
          <w:sz w:val="24"/>
          <w:szCs w:val="24"/>
        </w:rPr>
        <w:t>天（等同于投标有效期</w:t>
      </w:r>
      <w:r>
        <w:rPr>
          <w:rFonts w:ascii="宋体" w:hAnsi="宋体" w:eastAsia="宋体" w:cs="宋体"/>
          <w:spacing w:val="-53"/>
          <w:sz w:val="24"/>
          <w:szCs w:val="24"/>
        </w:rPr>
        <w:t>），</w:t>
      </w:r>
      <w:r>
        <w:rPr>
          <w:rFonts w:ascii="宋体" w:hAnsi="宋体" w:eastAsia="宋体" w:cs="宋体"/>
          <w:spacing w:val="-2"/>
          <w:sz w:val="24"/>
          <w:szCs w:val="24"/>
        </w:rPr>
        <w:t>特此声明。</w:t>
      </w:r>
    </w:p>
    <w:p w14:paraId="21E800B8">
      <w:pPr>
        <w:spacing w:line="360" w:lineRule="auto"/>
        <w:ind w:left="224" w:right="210" w:firstLine="495"/>
        <w:outlineLvl w:val="9"/>
        <w:rPr>
          <w:rFonts w:ascii="宋体" w:hAnsi="宋体" w:eastAsia="宋体" w:cs="宋体"/>
          <w:sz w:val="24"/>
          <w:szCs w:val="24"/>
        </w:rPr>
      </w:pPr>
      <w:r>
        <w:rPr>
          <w:rFonts w:ascii="宋体" w:hAnsi="宋体" w:eastAsia="宋体" w:cs="宋体"/>
          <w:spacing w:val="-7"/>
          <w:sz w:val="24"/>
          <w:szCs w:val="24"/>
        </w:rPr>
        <w:t>附：法定代表人/负责人、被授权人身份证复印件。（注：此授权书的有效</w:t>
      </w:r>
      <w:r>
        <w:rPr>
          <w:rFonts w:ascii="宋体" w:hAnsi="宋体" w:eastAsia="宋体" w:cs="宋体"/>
          <w:spacing w:val="-3"/>
          <w:sz w:val="24"/>
          <w:szCs w:val="24"/>
        </w:rPr>
        <w:t>期应与投标文件有效期一致。身份证正反面复印件必须依次加盖单位鲜章。）</w:t>
      </w:r>
    </w:p>
    <w:tbl>
      <w:tblPr>
        <w:tblStyle w:val="13"/>
        <w:tblW w:w="872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324"/>
        <w:gridCol w:w="4399"/>
      </w:tblGrid>
      <w:tr w14:paraId="21D0A4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2750" w:hRule="atLeast"/>
        </w:trPr>
        <w:tc>
          <w:tcPr>
            <w:tcW w:w="4324" w:type="dxa"/>
            <w:vAlign w:val="top"/>
          </w:tcPr>
          <w:p w14:paraId="0356D177">
            <w:pPr>
              <w:spacing w:line="360" w:lineRule="auto"/>
              <w:outlineLvl w:val="9"/>
              <w:rPr>
                <w:rFonts w:ascii="Arial"/>
                <w:sz w:val="21"/>
              </w:rPr>
            </w:pPr>
          </w:p>
          <w:p w14:paraId="3C05FA51">
            <w:pPr>
              <w:spacing w:line="360" w:lineRule="auto"/>
              <w:outlineLvl w:val="9"/>
              <w:rPr>
                <w:rFonts w:ascii="Arial"/>
                <w:sz w:val="21"/>
              </w:rPr>
            </w:pPr>
          </w:p>
          <w:p w14:paraId="5B37C48E">
            <w:pPr>
              <w:spacing w:line="360" w:lineRule="auto"/>
              <w:outlineLvl w:val="9"/>
              <w:rPr>
                <w:rFonts w:ascii="Arial"/>
                <w:sz w:val="21"/>
              </w:rPr>
            </w:pPr>
          </w:p>
          <w:p w14:paraId="1C5AA446">
            <w:pPr>
              <w:spacing w:line="360" w:lineRule="auto"/>
              <w:outlineLvl w:val="9"/>
              <w:rPr>
                <w:rFonts w:ascii="Arial"/>
                <w:sz w:val="21"/>
              </w:rPr>
            </w:pPr>
          </w:p>
          <w:p w14:paraId="4EB4223A">
            <w:pPr>
              <w:pStyle w:val="14"/>
              <w:spacing w:before="78" w:line="360" w:lineRule="auto"/>
              <w:ind w:left="430"/>
              <w:outlineLvl w:val="9"/>
            </w:pPr>
            <w:r>
              <w:rPr>
                <w:spacing w:val="-1"/>
              </w:rPr>
              <w:t>法定代表人/负责人身份证复印件</w:t>
            </w:r>
          </w:p>
        </w:tc>
        <w:tc>
          <w:tcPr>
            <w:tcW w:w="4399" w:type="dxa"/>
            <w:vAlign w:val="top"/>
          </w:tcPr>
          <w:p w14:paraId="21B43F5A">
            <w:pPr>
              <w:spacing w:line="360" w:lineRule="auto"/>
              <w:outlineLvl w:val="9"/>
              <w:rPr>
                <w:rFonts w:ascii="Arial"/>
                <w:sz w:val="21"/>
              </w:rPr>
            </w:pPr>
          </w:p>
          <w:p w14:paraId="3CEE3CEF">
            <w:pPr>
              <w:spacing w:line="360" w:lineRule="auto"/>
              <w:outlineLvl w:val="9"/>
              <w:rPr>
                <w:rFonts w:ascii="Arial"/>
                <w:sz w:val="21"/>
              </w:rPr>
            </w:pPr>
          </w:p>
          <w:p w14:paraId="6CD93FA5">
            <w:pPr>
              <w:spacing w:line="360" w:lineRule="auto"/>
              <w:outlineLvl w:val="9"/>
              <w:rPr>
                <w:rFonts w:ascii="Arial"/>
                <w:sz w:val="21"/>
              </w:rPr>
            </w:pPr>
          </w:p>
          <w:p w14:paraId="39D4181E">
            <w:pPr>
              <w:spacing w:line="360" w:lineRule="auto"/>
              <w:outlineLvl w:val="9"/>
              <w:rPr>
                <w:rFonts w:ascii="Arial"/>
                <w:sz w:val="21"/>
              </w:rPr>
            </w:pPr>
          </w:p>
          <w:p w14:paraId="20F18065">
            <w:pPr>
              <w:pStyle w:val="14"/>
              <w:spacing w:before="78" w:line="360" w:lineRule="auto"/>
              <w:ind w:left="1004"/>
              <w:outlineLvl w:val="9"/>
            </w:pPr>
            <w:r>
              <w:rPr>
                <w:spacing w:val="-1"/>
              </w:rPr>
              <w:t>被授权人身份证复印件</w:t>
            </w:r>
          </w:p>
        </w:tc>
      </w:tr>
      <w:tr w14:paraId="2A27C2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22" w:hRule="atLeast"/>
        </w:trPr>
        <w:tc>
          <w:tcPr>
            <w:tcW w:w="4324" w:type="dxa"/>
            <w:vAlign w:val="top"/>
          </w:tcPr>
          <w:p w14:paraId="487CECB3">
            <w:pPr>
              <w:spacing w:line="360" w:lineRule="auto"/>
              <w:outlineLvl w:val="9"/>
              <w:rPr>
                <w:rFonts w:ascii="Arial"/>
                <w:sz w:val="21"/>
              </w:rPr>
            </w:pPr>
          </w:p>
          <w:p w14:paraId="707771FE">
            <w:pPr>
              <w:spacing w:line="360" w:lineRule="auto"/>
              <w:outlineLvl w:val="9"/>
              <w:rPr>
                <w:rFonts w:ascii="Arial"/>
                <w:sz w:val="21"/>
              </w:rPr>
            </w:pPr>
          </w:p>
          <w:p w14:paraId="25D46BD8">
            <w:pPr>
              <w:spacing w:line="360" w:lineRule="auto"/>
              <w:outlineLvl w:val="9"/>
              <w:rPr>
                <w:rFonts w:ascii="Arial"/>
                <w:sz w:val="21"/>
              </w:rPr>
            </w:pPr>
          </w:p>
          <w:p w14:paraId="416D9FAA">
            <w:pPr>
              <w:pStyle w:val="14"/>
              <w:spacing w:before="78" w:line="360" w:lineRule="auto"/>
              <w:ind w:left="430"/>
              <w:outlineLvl w:val="9"/>
            </w:pPr>
            <w:r>
              <w:rPr>
                <w:spacing w:val="-1"/>
              </w:rPr>
              <w:t>法定代表人/负责人身份证复印件</w:t>
            </w:r>
          </w:p>
        </w:tc>
        <w:tc>
          <w:tcPr>
            <w:tcW w:w="4399" w:type="dxa"/>
            <w:vAlign w:val="top"/>
          </w:tcPr>
          <w:p w14:paraId="516DEE6D">
            <w:pPr>
              <w:spacing w:line="360" w:lineRule="auto"/>
              <w:outlineLvl w:val="9"/>
              <w:rPr>
                <w:rFonts w:ascii="Arial"/>
                <w:sz w:val="21"/>
              </w:rPr>
            </w:pPr>
          </w:p>
          <w:p w14:paraId="31590664">
            <w:pPr>
              <w:spacing w:line="360" w:lineRule="auto"/>
              <w:outlineLvl w:val="9"/>
              <w:rPr>
                <w:rFonts w:ascii="Arial"/>
                <w:sz w:val="21"/>
              </w:rPr>
            </w:pPr>
          </w:p>
          <w:p w14:paraId="3D24E8E5">
            <w:pPr>
              <w:spacing w:line="360" w:lineRule="auto"/>
              <w:outlineLvl w:val="9"/>
              <w:rPr>
                <w:rFonts w:ascii="Arial"/>
                <w:sz w:val="21"/>
              </w:rPr>
            </w:pPr>
          </w:p>
          <w:p w14:paraId="4DC836E2">
            <w:pPr>
              <w:pStyle w:val="14"/>
              <w:spacing w:before="78" w:line="360" w:lineRule="auto"/>
              <w:ind w:left="1004"/>
              <w:outlineLvl w:val="9"/>
            </w:pPr>
            <w:r>
              <w:rPr>
                <w:spacing w:val="-1"/>
              </w:rPr>
              <w:t>被授权人身份证复印件</w:t>
            </w:r>
          </w:p>
        </w:tc>
      </w:tr>
    </w:tbl>
    <w:p w14:paraId="6CFB771A">
      <w:pPr>
        <w:pStyle w:val="4"/>
        <w:spacing w:line="360" w:lineRule="auto"/>
        <w:outlineLvl w:val="9"/>
      </w:pPr>
    </w:p>
    <w:p w14:paraId="6876087D">
      <w:pPr>
        <w:pStyle w:val="4"/>
        <w:spacing w:line="360" w:lineRule="auto"/>
        <w:outlineLvl w:val="9"/>
      </w:pPr>
    </w:p>
    <w:p w14:paraId="639BA48A">
      <w:pPr>
        <w:pStyle w:val="4"/>
        <w:spacing w:line="360" w:lineRule="auto"/>
        <w:outlineLvl w:val="9"/>
      </w:pPr>
    </w:p>
    <w:p w14:paraId="4081BDD0">
      <w:pPr>
        <w:pStyle w:val="4"/>
        <w:spacing w:line="360" w:lineRule="auto"/>
        <w:outlineLvl w:val="9"/>
      </w:pPr>
    </w:p>
    <w:p w14:paraId="3A3348CA">
      <w:pPr>
        <w:spacing w:before="78" w:line="360" w:lineRule="auto"/>
        <w:ind w:left="3581"/>
        <w:outlineLvl w:val="9"/>
        <w:rPr>
          <w:rFonts w:ascii="宋体" w:hAnsi="宋体" w:eastAsia="宋体" w:cs="宋体"/>
          <w:sz w:val="24"/>
          <w:szCs w:val="24"/>
        </w:rPr>
      </w:pPr>
      <w:r>
        <w:rPr>
          <w:rFonts w:ascii="宋体" w:hAnsi="宋体" w:eastAsia="宋体" w:cs="宋体"/>
          <w:spacing w:val="4"/>
          <w:sz w:val="24"/>
          <w:szCs w:val="24"/>
        </w:rPr>
        <w:t>供应商</w:t>
      </w:r>
      <w:r>
        <w:rPr>
          <w:rFonts w:ascii="宋体" w:hAnsi="宋体" w:eastAsia="宋体" w:cs="宋体"/>
          <w:spacing w:val="-42"/>
          <w:w w:val="65"/>
          <w:sz w:val="24"/>
          <w:szCs w:val="24"/>
        </w:rPr>
        <w:t>：（</w:t>
      </w:r>
      <w:r>
        <w:rPr>
          <w:rFonts w:ascii="宋体" w:hAnsi="宋体" w:eastAsia="宋体" w:cs="宋体"/>
          <w:spacing w:val="4"/>
          <w:sz w:val="24"/>
          <w:szCs w:val="24"/>
        </w:rPr>
        <w:t>公章）</w:t>
      </w:r>
    </w:p>
    <w:p w14:paraId="1B509EFA">
      <w:pPr>
        <w:spacing w:before="184" w:line="360" w:lineRule="auto"/>
        <w:ind w:left="3582"/>
        <w:outlineLvl w:val="9"/>
        <w:rPr>
          <w:rFonts w:hint="eastAsia" w:ascii="宋体" w:hAnsi="宋体" w:eastAsia="宋体" w:cs="宋体"/>
          <w:sz w:val="24"/>
          <w:szCs w:val="24"/>
          <w:lang w:eastAsia="zh-CN"/>
        </w:rPr>
      </w:pPr>
      <w:r>
        <w:rPr>
          <w:rFonts w:ascii="宋体" w:hAnsi="宋体" w:eastAsia="宋体" w:cs="宋体"/>
          <w:spacing w:val="-1"/>
          <w:sz w:val="24"/>
          <w:szCs w:val="24"/>
        </w:rPr>
        <w:t>法定代表人/负责人</w:t>
      </w:r>
      <w:r>
        <w:rPr>
          <w:rFonts w:ascii="宋体" w:hAnsi="宋体" w:eastAsia="宋体" w:cs="宋体"/>
          <w:spacing w:val="-59"/>
          <w:sz w:val="24"/>
          <w:szCs w:val="24"/>
        </w:rPr>
        <w:t>：</w:t>
      </w:r>
    </w:p>
    <w:p w14:paraId="7EFA657B">
      <w:pPr>
        <w:spacing w:before="184" w:line="360" w:lineRule="auto"/>
        <w:ind w:left="3581"/>
        <w:outlineLvl w:val="9"/>
        <w:rPr>
          <w:rFonts w:hint="eastAsia" w:ascii="宋体" w:hAnsi="宋体" w:eastAsia="宋体" w:cs="宋体"/>
          <w:sz w:val="24"/>
          <w:szCs w:val="24"/>
          <w:lang w:eastAsia="zh-CN"/>
        </w:rPr>
      </w:pPr>
      <w:r>
        <w:rPr>
          <w:rFonts w:ascii="宋体" w:hAnsi="宋体" w:eastAsia="宋体" w:cs="宋体"/>
          <w:spacing w:val="-2"/>
          <w:sz w:val="24"/>
          <w:szCs w:val="24"/>
        </w:rPr>
        <w:t>被授权代表（签字</w:t>
      </w:r>
      <w:r>
        <w:rPr>
          <w:rFonts w:ascii="宋体" w:hAnsi="宋体" w:eastAsia="宋体" w:cs="宋体"/>
          <w:spacing w:val="-63"/>
          <w:w w:val="99"/>
          <w:sz w:val="24"/>
          <w:szCs w:val="24"/>
        </w:rPr>
        <w:t>）：</w:t>
      </w:r>
    </w:p>
    <w:p w14:paraId="77503202">
      <w:pPr>
        <w:spacing w:line="360" w:lineRule="auto"/>
        <w:outlineLvl w:val="9"/>
        <w:rPr>
          <w:rFonts w:ascii="宋体" w:hAnsi="宋体" w:eastAsia="宋体" w:cs="宋体"/>
          <w:sz w:val="24"/>
          <w:szCs w:val="24"/>
        </w:rPr>
        <w:sectPr>
          <w:footerReference r:id="rId26" w:type="default"/>
          <w:pgSz w:w="11906" w:h="16838"/>
          <w:pgMar w:top="1429" w:right="1786" w:bottom="1372" w:left="1786" w:header="0" w:footer="1208" w:gutter="0"/>
          <w:pgNumType w:fmt="decimal"/>
          <w:cols w:space="0" w:num="1"/>
          <w:rtlGutter w:val="0"/>
          <w:docGrid w:linePitch="0" w:charSpace="0"/>
        </w:sectPr>
      </w:pPr>
    </w:p>
    <w:p w14:paraId="1EB66398">
      <w:pPr>
        <w:spacing w:before="162" w:line="360" w:lineRule="auto"/>
        <w:ind w:left="1609"/>
        <w:outlineLvl w:val="9"/>
        <w:rPr>
          <w:rFonts w:ascii="宋体" w:hAnsi="宋体" w:eastAsia="宋体" w:cs="宋体"/>
          <w:sz w:val="31"/>
          <w:szCs w:val="31"/>
        </w:rPr>
      </w:pPr>
      <w:r>
        <w:rPr>
          <w:rFonts w:hint="eastAsia" w:ascii="宋体" w:hAnsi="宋体" w:eastAsia="宋体" w:cs="宋体"/>
          <w:b/>
          <w:bCs/>
          <w:spacing w:val="7"/>
          <w:sz w:val="31"/>
          <w:szCs w:val="31"/>
          <w:lang w:val="en-US" w:eastAsia="zh-CN"/>
        </w:rPr>
        <w:t>八</w:t>
      </w:r>
      <w:r>
        <w:rPr>
          <w:rFonts w:ascii="宋体" w:hAnsi="宋体" w:eastAsia="宋体" w:cs="宋体"/>
          <w:b/>
          <w:bCs/>
          <w:spacing w:val="7"/>
          <w:sz w:val="31"/>
          <w:szCs w:val="31"/>
        </w:rPr>
        <w:t>、供应商参加政府采购活动承诺书</w:t>
      </w:r>
    </w:p>
    <w:p w14:paraId="29186BD3">
      <w:pPr>
        <w:pStyle w:val="4"/>
        <w:spacing w:line="360" w:lineRule="auto"/>
        <w:outlineLvl w:val="9"/>
      </w:pPr>
    </w:p>
    <w:p w14:paraId="5B391212">
      <w:pPr>
        <w:spacing w:before="75" w:line="360" w:lineRule="auto"/>
        <w:ind w:left="2878" w:leftChars="0"/>
        <w:outlineLvl w:val="9"/>
        <w:rPr>
          <w:rFonts w:hint="eastAsia" w:ascii="宋体" w:hAnsi="宋体" w:eastAsia="宋体" w:cs="宋体"/>
          <w:b/>
          <w:bCs/>
          <w:color w:val="auto"/>
          <w:sz w:val="28"/>
          <w:szCs w:val="28"/>
        </w:rPr>
      </w:pPr>
      <w:bookmarkStart w:id="16" w:name="_Toc31012"/>
      <w:r>
        <w:rPr>
          <w:rFonts w:hint="eastAsia" w:ascii="宋体" w:hAnsi="宋体" w:eastAsia="宋体" w:cs="宋体"/>
          <w:b/>
          <w:bCs/>
          <w:color w:val="auto"/>
          <w:spacing w:val="11"/>
          <w:sz w:val="28"/>
          <w:szCs w:val="28"/>
        </w:rPr>
        <w:t>中</w:t>
      </w:r>
      <w:r>
        <w:rPr>
          <w:rFonts w:hint="eastAsia" w:ascii="宋体" w:hAnsi="宋体" w:eastAsia="宋体" w:cs="宋体"/>
          <w:b/>
          <w:bCs/>
          <w:color w:val="auto"/>
          <w:spacing w:val="6"/>
          <w:sz w:val="28"/>
          <w:szCs w:val="28"/>
        </w:rPr>
        <w:t>小企业声明函(</w:t>
      </w:r>
      <w:r>
        <w:rPr>
          <w:rFonts w:hint="eastAsia" w:ascii="宋体" w:hAnsi="宋体" w:eastAsia="宋体" w:cs="宋体"/>
          <w:b/>
          <w:bCs/>
          <w:color w:val="auto"/>
          <w:spacing w:val="6"/>
          <w:sz w:val="28"/>
          <w:szCs w:val="28"/>
          <w:lang w:val="en-US" w:eastAsia="zh-CN"/>
        </w:rPr>
        <w:t>服务</w:t>
      </w:r>
      <w:r>
        <w:rPr>
          <w:rFonts w:hint="eastAsia" w:ascii="宋体" w:hAnsi="宋体" w:eastAsia="宋体" w:cs="宋体"/>
          <w:b/>
          <w:bCs/>
          <w:color w:val="auto"/>
          <w:spacing w:val="6"/>
          <w:sz w:val="28"/>
          <w:szCs w:val="28"/>
        </w:rPr>
        <w:t>)</w:t>
      </w:r>
      <w:bookmarkEnd w:id="16"/>
    </w:p>
    <w:p w14:paraId="38A8B2D5">
      <w:pPr>
        <w:spacing w:line="360" w:lineRule="auto"/>
        <w:rPr>
          <w:rFonts w:hint="eastAsia" w:ascii="宋体" w:hAnsi="宋体" w:eastAsia="宋体" w:cs="宋体"/>
          <w:color w:val="auto"/>
          <w:sz w:val="21"/>
        </w:rPr>
      </w:pPr>
    </w:p>
    <w:p w14:paraId="0BA51405">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本公司(联合体)郑重声明，根据《政府采购促进中小企业发展管理办法》(财库﹝2020﹞46号)的规定，本公司(联合体)参加(单位名称)的(项目名称)采购活动，提供的</w:t>
      </w:r>
      <w:r>
        <w:rPr>
          <w:rFonts w:hint="eastAsia" w:ascii="宋体" w:hAnsi="宋体" w:eastAsia="宋体" w:cs="宋体"/>
          <w:color w:val="auto"/>
          <w:sz w:val="24"/>
          <w:lang w:val="en-US" w:eastAsia="zh-CN"/>
        </w:rPr>
        <w:t>服务</w:t>
      </w:r>
      <w:r>
        <w:rPr>
          <w:rFonts w:hint="eastAsia" w:ascii="宋体" w:hAnsi="宋体" w:eastAsia="宋体" w:cs="宋体"/>
          <w:color w:val="auto"/>
          <w:sz w:val="24"/>
        </w:rPr>
        <w:t>全部由符合政策要求的中小企业</w:t>
      </w:r>
      <w:r>
        <w:rPr>
          <w:rFonts w:hint="eastAsia" w:ascii="宋体" w:hAnsi="宋体" w:eastAsia="宋体" w:cs="宋体"/>
          <w:color w:val="auto"/>
          <w:sz w:val="24"/>
          <w:lang w:val="en-US" w:eastAsia="zh-CN"/>
        </w:rPr>
        <w:t>承接</w:t>
      </w:r>
      <w:r>
        <w:rPr>
          <w:rFonts w:hint="eastAsia" w:ascii="宋体" w:hAnsi="宋体" w:eastAsia="宋体" w:cs="宋体"/>
          <w:color w:val="auto"/>
          <w:sz w:val="24"/>
        </w:rPr>
        <w:t>。相关企业(含联合体中的中小企业、签订分包意向协议的中小企业)的具体情况如下：</w:t>
      </w:r>
    </w:p>
    <w:p w14:paraId="42830DFC">
      <w:pPr>
        <w:spacing w:before="86" w:line="360" w:lineRule="auto"/>
        <w:ind w:left="233" w:right="175" w:firstLine="672"/>
        <w:rPr>
          <w:rFonts w:hint="eastAsia" w:ascii="宋体" w:hAnsi="宋体" w:eastAsia="宋体" w:cs="宋体"/>
          <w:color w:val="auto"/>
          <w:sz w:val="24"/>
          <w:szCs w:val="24"/>
        </w:rPr>
      </w:pPr>
      <w:r>
        <w:rPr>
          <w:rFonts w:hint="eastAsia" w:ascii="宋体" w:hAnsi="宋体" w:eastAsia="宋体" w:cs="宋体"/>
          <w:color w:val="auto"/>
          <w:spacing w:val="-42"/>
          <w:sz w:val="24"/>
          <w:szCs w:val="24"/>
        </w:rPr>
        <w:t>1</w:t>
      </w:r>
      <w:r>
        <w:rPr>
          <w:rFonts w:hint="eastAsia" w:ascii="宋体" w:hAnsi="宋体" w:eastAsia="宋体" w:cs="宋体"/>
          <w:color w:val="auto"/>
          <w:spacing w:val="-39"/>
          <w:sz w:val="24"/>
          <w:szCs w:val="24"/>
        </w:rPr>
        <w:t>.</w:t>
      </w:r>
      <w:r>
        <w:rPr>
          <w:rFonts w:hint="eastAsia" w:ascii="宋体" w:hAnsi="宋体" w:eastAsia="宋体" w:cs="宋体"/>
          <w:color w:val="auto"/>
          <w:spacing w:val="-21"/>
          <w:sz w:val="24"/>
          <w:szCs w:val="24"/>
          <w:u w:val="single" w:color="auto"/>
        </w:rPr>
        <w:t>(标的名称)</w:t>
      </w:r>
      <w:r>
        <w:rPr>
          <w:rFonts w:hint="eastAsia" w:ascii="宋体" w:hAnsi="宋体" w:eastAsia="宋体" w:cs="宋体"/>
          <w:color w:val="auto"/>
          <w:spacing w:val="-21"/>
          <w:sz w:val="24"/>
          <w:szCs w:val="24"/>
        </w:rPr>
        <w:t>，属于</w:t>
      </w:r>
      <w:r>
        <w:rPr>
          <w:rFonts w:hint="eastAsia" w:ascii="宋体" w:hAnsi="宋体" w:eastAsia="宋体" w:cs="宋体"/>
          <w:color w:val="auto"/>
          <w:spacing w:val="-21"/>
          <w:sz w:val="24"/>
          <w:szCs w:val="24"/>
          <w:u w:val="single" w:color="auto"/>
        </w:rPr>
        <w:t>(采购文件中明确的所属行业)</w:t>
      </w:r>
      <w:r>
        <w:rPr>
          <w:rFonts w:hint="eastAsia" w:ascii="宋体" w:hAnsi="宋体" w:eastAsia="宋体" w:cs="宋体"/>
          <w:color w:val="auto"/>
          <w:sz w:val="24"/>
          <w:szCs w:val="24"/>
        </w:rPr>
        <w:t>行业；</w:t>
      </w:r>
      <w:r>
        <w:rPr>
          <w:rFonts w:hint="eastAsia" w:ascii="宋体" w:hAnsi="宋体" w:eastAsia="宋体" w:cs="宋体"/>
          <w:color w:val="auto"/>
          <w:sz w:val="24"/>
          <w:szCs w:val="24"/>
          <w:lang w:val="en-US" w:eastAsia="zh-CN"/>
        </w:rPr>
        <w:t>承接企业</w:t>
      </w:r>
      <w:r>
        <w:rPr>
          <w:rFonts w:hint="eastAsia" w:ascii="宋体" w:hAnsi="宋体" w:eastAsia="宋体" w:cs="宋体"/>
          <w:color w:val="auto"/>
          <w:sz w:val="24"/>
          <w:szCs w:val="24"/>
        </w:rPr>
        <w:t>为</w:t>
      </w:r>
      <w:r>
        <w:rPr>
          <w:rFonts w:hint="eastAsia" w:ascii="宋体" w:hAnsi="宋体" w:eastAsia="宋体" w:cs="宋体"/>
          <w:color w:val="auto"/>
          <w:spacing w:val="-16"/>
          <w:sz w:val="24"/>
          <w:szCs w:val="24"/>
          <w:u w:val="single" w:color="auto"/>
        </w:rPr>
        <w:t>(</w:t>
      </w:r>
      <w:r>
        <w:rPr>
          <w:rFonts w:hint="eastAsia" w:ascii="宋体" w:hAnsi="宋体" w:eastAsia="宋体" w:cs="宋体"/>
          <w:color w:val="auto"/>
          <w:spacing w:val="-21"/>
          <w:sz w:val="24"/>
          <w:szCs w:val="24"/>
          <w:u w:val="single" w:color="auto"/>
        </w:rPr>
        <w:t>企业名称</w:t>
      </w:r>
      <w:r>
        <w:rPr>
          <w:rFonts w:hint="eastAsia" w:ascii="宋体" w:hAnsi="宋体" w:eastAsia="宋体" w:cs="宋体"/>
          <w:color w:val="auto"/>
          <w:spacing w:val="-16"/>
          <w:sz w:val="24"/>
          <w:szCs w:val="24"/>
          <w:u w:val="single" w:color="auto"/>
        </w:rPr>
        <w:t>)</w:t>
      </w:r>
      <w:r>
        <w:rPr>
          <w:rFonts w:hint="eastAsia" w:ascii="宋体" w:hAnsi="宋体" w:eastAsia="宋体" w:cs="宋体"/>
          <w:color w:val="auto"/>
          <w:spacing w:val="-16"/>
          <w:sz w:val="24"/>
          <w:szCs w:val="24"/>
        </w:rPr>
        <w:t>，</w:t>
      </w:r>
      <w:r>
        <w:rPr>
          <w:rFonts w:hint="eastAsia" w:ascii="宋体" w:hAnsi="宋体" w:eastAsia="宋体" w:cs="宋体"/>
          <w:color w:val="auto"/>
          <w:sz w:val="24"/>
          <w:szCs w:val="24"/>
        </w:rPr>
        <w:t>从业人员</w:t>
      </w:r>
      <w:r>
        <w:rPr>
          <w:rFonts w:hint="eastAsia" w:ascii="宋体" w:hAnsi="宋体" w:eastAsia="宋体" w:cs="宋体"/>
          <w:color w:val="auto"/>
          <w:spacing w:val="-16"/>
          <w:sz w:val="24"/>
          <w:szCs w:val="24"/>
        </w:rPr>
        <w:t>人，</w:t>
      </w:r>
      <w:r>
        <w:rPr>
          <w:rFonts w:hint="eastAsia" w:ascii="宋体" w:hAnsi="宋体" w:eastAsia="宋体" w:cs="宋体"/>
          <w:color w:val="auto"/>
          <w:sz w:val="24"/>
          <w:szCs w:val="24"/>
        </w:rPr>
        <w:t>营业收入为</w:t>
      </w:r>
      <w:r>
        <w:rPr>
          <w:rFonts w:hint="eastAsia" w:ascii="宋体" w:hAnsi="宋体" w:eastAsia="宋体" w:cs="宋体"/>
          <w:color w:val="auto"/>
          <w:spacing w:val="-16"/>
          <w:sz w:val="24"/>
          <w:szCs w:val="24"/>
        </w:rPr>
        <w:t>万元，</w:t>
      </w:r>
      <w:r>
        <w:rPr>
          <w:rFonts w:hint="eastAsia" w:ascii="宋体" w:hAnsi="宋体" w:eastAsia="宋体" w:cs="宋体"/>
          <w:color w:val="auto"/>
          <w:sz w:val="24"/>
          <w:szCs w:val="24"/>
        </w:rPr>
        <w:t>资产总额为万元，</w:t>
      </w:r>
      <w:r>
        <w:rPr>
          <w:rFonts w:hint="eastAsia" w:ascii="宋体" w:hAnsi="宋体" w:eastAsia="宋体" w:cs="宋体"/>
          <w:color w:val="auto"/>
          <w:spacing w:val="-20"/>
          <w:sz w:val="24"/>
          <w:szCs w:val="24"/>
        </w:rPr>
        <w:t>属于</w:t>
      </w:r>
      <w:r>
        <w:rPr>
          <w:rFonts w:hint="eastAsia" w:ascii="宋体" w:hAnsi="宋体" w:eastAsia="宋体" w:cs="宋体"/>
          <w:color w:val="auto"/>
          <w:spacing w:val="-20"/>
          <w:sz w:val="24"/>
          <w:szCs w:val="24"/>
          <w:u w:val="single" w:color="auto"/>
        </w:rPr>
        <w:t>(中型企业、小型企业、微型企业)</w:t>
      </w:r>
      <w:r>
        <w:rPr>
          <w:rFonts w:hint="eastAsia" w:ascii="宋体" w:hAnsi="宋体" w:eastAsia="宋体" w:cs="宋体"/>
          <w:color w:val="auto"/>
          <w:spacing w:val="-16"/>
          <w:sz w:val="24"/>
          <w:szCs w:val="24"/>
          <w:u w:val="single" w:color="auto"/>
        </w:rPr>
        <w:t>；</w:t>
      </w:r>
    </w:p>
    <w:p w14:paraId="1FE80D8B">
      <w:pPr>
        <w:spacing w:before="86" w:line="360" w:lineRule="auto"/>
        <w:ind w:left="233" w:right="175" w:firstLine="672"/>
        <w:rPr>
          <w:rFonts w:hint="eastAsia" w:ascii="宋体" w:hAnsi="宋体" w:eastAsia="宋体" w:cs="宋体"/>
          <w:color w:val="auto"/>
          <w:sz w:val="24"/>
          <w:szCs w:val="24"/>
        </w:rPr>
      </w:pPr>
      <w:r>
        <w:rPr>
          <w:rFonts w:hint="eastAsia" w:ascii="宋体" w:hAnsi="宋体" w:eastAsia="宋体" w:cs="宋体"/>
          <w:color w:val="auto"/>
          <w:spacing w:val="-42"/>
          <w:sz w:val="24"/>
          <w:szCs w:val="24"/>
          <w:lang w:val="en-US" w:eastAsia="zh-CN"/>
        </w:rPr>
        <w:t>2</w:t>
      </w:r>
      <w:r>
        <w:rPr>
          <w:rFonts w:hint="eastAsia" w:ascii="宋体" w:hAnsi="宋体" w:eastAsia="宋体" w:cs="宋体"/>
          <w:color w:val="auto"/>
          <w:spacing w:val="-39"/>
          <w:sz w:val="24"/>
          <w:szCs w:val="24"/>
        </w:rPr>
        <w:t>.</w:t>
      </w:r>
      <w:r>
        <w:rPr>
          <w:rFonts w:hint="eastAsia" w:ascii="宋体" w:hAnsi="宋体" w:eastAsia="宋体" w:cs="宋体"/>
          <w:color w:val="auto"/>
          <w:spacing w:val="-21"/>
          <w:sz w:val="24"/>
          <w:szCs w:val="24"/>
          <w:u w:val="single" w:color="auto"/>
        </w:rPr>
        <w:t>(标的名称)</w:t>
      </w:r>
      <w:r>
        <w:rPr>
          <w:rFonts w:hint="eastAsia" w:ascii="宋体" w:hAnsi="宋体" w:eastAsia="宋体" w:cs="宋体"/>
          <w:color w:val="auto"/>
          <w:spacing w:val="-21"/>
          <w:sz w:val="24"/>
          <w:szCs w:val="24"/>
        </w:rPr>
        <w:t>，属于</w:t>
      </w:r>
      <w:r>
        <w:rPr>
          <w:rFonts w:hint="eastAsia" w:ascii="宋体" w:hAnsi="宋体" w:eastAsia="宋体" w:cs="宋体"/>
          <w:color w:val="auto"/>
          <w:spacing w:val="-21"/>
          <w:sz w:val="24"/>
          <w:szCs w:val="24"/>
          <w:u w:val="single" w:color="auto"/>
        </w:rPr>
        <w:t>(采购文件中明确的所属行业)</w:t>
      </w:r>
      <w:r>
        <w:rPr>
          <w:rFonts w:hint="eastAsia" w:ascii="宋体" w:hAnsi="宋体" w:eastAsia="宋体" w:cs="宋体"/>
          <w:color w:val="auto"/>
          <w:sz w:val="24"/>
          <w:szCs w:val="24"/>
        </w:rPr>
        <w:t>行业；</w:t>
      </w:r>
      <w:r>
        <w:rPr>
          <w:rFonts w:hint="eastAsia" w:ascii="宋体" w:hAnsi="宋体" w:eastAsia="宋体" w:cs="宋体"/>
          <w:color w:val="auto"/>
          <w:sz w:val="24"/>
          <w:szCs w:val="24"/>
          <w:lang w:val="en-US" w:eastAsia="zh-CN"/>
        </w:rPr>
        <w:t>承接企业</w:t>
      </w:r>
      <w:r>
        <w:rPr>
          <w:rFonts w:hint="eastAsia" w:ascii="宋体" w:hAnsi="宋体" w:eastAsia="宋体" w:cs="宋体"/>
          <w:color w:val="auto"/>
          <w:spacing w:val="-16"/>
          <w:sz w:val="24"/>
          <w:szCs w:val="24"/>
          <w:u w:val="single" w:color="auto"/>
        </w:rPr>
        <w:t>(</w:t>
      </w:r>
      <w:r>
        <w:rPr>
          <w:rFonts w:hint="eastAsia" w:ascii="宋体" w:hAnsi="宋体" w:eastAsia="宋体" w:cs="宋体"/>
          <w:color w:val="auto"/>
          <w:spacing w:val="-21"/>
          <w:sz w:val="24"/>
          <w:szCs w:val="24"/>
          <w:u w:val="single" w:color="auto"/>
        </w:rPr>
        <w:t>企业名称</w:t>
      </w:r>
      <w:r>
        <w:rPr>
          <w:rFonts w:hint="eastAsia" w:ascii="宋体" w:hAnsi="宋体" w:eastAsia="宋体" w:cs="宋体"/>
          <w:color w:val="auto"/>
          <w:spacing w:val="-16"/>
          <w:sz w:val="24"/>
          <w:szCs w:val="24"/>
          <w:u w:val="single" w:color="auto"/>
        </w:rPr>
        <w:t>)</w:t>
      </w:r>
      <w:r>
        <w:rPr>
          <w:rFonts w:hint="eastAsia" w:ascii="宋体" w:hAnsi="宋体" w:eastAsia="宋体" w:cs="宋体"/>
          <w:color w:val="auto"/>
          <w:spacing w:val="-16"/>
          <w:sz w:val="24"/>
          <w:szCs w:val="24"/>
        </w:rPr>
        <w:t>，</w:t>
      </w:r>
      <w:r>
        <w:rPr>
          <w:rFonts w:hint="eastAsia" w:ascii="宋体" w:hAnsi="宋体" w:eastAsia="宋体" w:cs="宋体"/>
          <w:color w:val="auto"/>
          <w:sz w:val="24"/>
          <w:szCs w:val="24"/>
        </w:rPr>
        <w:t>从业人员</w:t>
      </w:r>
      <w:r>
        <w:rPr>
          <w:rFonts w:hint="eastAsia" w:ascii="宋体" w:hAnsi="宋体" w:eastAsia="宋体" w:cs="宋体"/>
          <w:color w:val="auto"/>
          <w:spacing w:val="-16"/>
          <w:sz w:val="24"/>
          <w:szCs w:val="24"/>
        </w:rPr>
        <w:t>人，</w:t>
      </w:r>
      <w:r>
        <w:rPr>
          <w:rFonts w:hint="eastAsia" w:ascii="宋体" w:hAnsi="宋体" w:eastAsia="宋体" w:cs="宋体"/>
          <w:color w:val="auto"/>
          <w:sz w:val="24"/>
          <w:szCs w:val="24"/>
        </w:rPr>
        <w:t>营业收入为</w:t>
      </w:r>
      <w:r>
        <w:rPr>
          <w:rFonts w:hint="eastAsia" w:ascii="宋体" w:hAnsi="宋体" w:eastAsia="宋体" w:cs="宋体"/>
          <w:color w:val="auto"/>
          <w:spacing w:val="-16"/>
          <w:sz w:val="24"/>
          <w:szCs w:val="24"/>
        </w:rPr>
        <w:t>万元，</w:t>
      </w:r>
      <w:r>
        <w:rPr>
          <w:rFonts w:hint="eastAsia" w:ascii="宋体" w:hAnsi="宋体" w:eastAsia="宋体" w:cs="宋体"/>
          <w:color w:val="auto"/>
          <w:sz w:val="24"/>
          <w:szCs w:val="24"/>
        </w:rPr>
        <w:t>资产总额为万元，</w:t>
      </w:r>
      <w:r>
        <w:rPr>
          <w:rFonts w:hint="eastAsia" w:ascii="宋体" w:hAnsi="宋体" w:eastAsia="宋体" w:cs="宋体"/>
          <w:color w:val="auto"/>
          <w:spacing w:val="-20"/>
          <w:sz w:val="24"/>
          <w:szCs w:val="24"/>
        </w:rPr>
        <w:t>属于</w:t>
      </w:r>
      <w:r>
        <w:rPr>
          <w:rFonts w:hint="eastAsia" w:ascii="宋体" w:hAnsi="宋体" w:eastAsia="宋体" w:cs="宋体"/>
          <w:color w:val="auto"/>
          <w:spacing w:val="-20"/>
          <w:sz w:val="24"/>
          <w:szCs w:val="24"/>
          <w:u w:val="single" w:color="auto"/>
        </w:rPr>
        <w:t>(中型企业、小型企业、微型企业)</w:t>
      </w:r>
      <w:r>
        <w:rPr>
          <w:rFonts w:hint="eastAsia" w:ascii="宋体" w:hAnsi="宋体" w:eastAsia="宋体" w:cs="宋体"/>
          <w:color w:val="auto"/>
          <w:spacing w:val="-16"/>
          <w:sz w:val="24"/>
          <w:szCs w:val="24"/>
          <w:u w:val="single" w:color="auto"/>
        </w:rPr>
        <w:t>；</w:t>
      </w:r>
    </w:p>
    <w:p w14:paraId="6CD4E635">
      <w:pPr>
        <w:spacing w:before="126" w:line="360" w:lineRule="auto"/>
        <w:ind w:left="887"/>
        <w:rPr>
          <w:rFonts w:hint="eastAsia" w:ascii="宋体" w:hAnsi="宋体" w:eastAsia="宋体" w:cs="宋体"/>
          <w:color w:val="auto"/>
          <w:sz w:val="24"/>
          <w:szCs w:val="24"/>
        </w:rPr>
      </w:pPr>
      <w:r>
        <w:rPr>
          <w:rFonts w:hint="eastAsia" w:ascii="宋体" w:hAnsi="宋体" w:eastAsia="宋体" w:cs="宋体"/>
          <w:b/>
          <w:bCs/>
          <w:color w:val="auto"/>
          <w:spacing w:val="-16"/>
          <w:position w:val="1"/>
          <w:sz w:val="24"/>
          <w:szCs w:val="24"/>
        </w:rPr>
        <w:t>…</w:t>
      </w:r>
      <w:r>
        <w:rPr>
          <w:rFonts w:hint="eastAsia" w:ascii="宋体" w:hAnsi="宋体" w:eastAsia="宋体" w:cs="宋体"/>
          <w:b/>
          <w:bCs/>
          <w:color w:val="auto"/>
          <w:spacing w:val="-15"/>
          <w:position w:val="1"/>
          <w:sz w:val="24"/>
          <w:szCs w:val="24"/>
        </w:rPr>
        <w:t>…</w:t>
      </w:r>
    </w:p>
    <w:p w14:paraId="1EA0AF08">
      <w:pPr>
        <w:spacing w:before="310" w:line="360" w:lineRule="auto"/>
        <w:ind w:left="37" w:right="378" w:firstLine="662"/>
        <w:rPr>
          <w:rFonts w:hint="eastAsia" w:ascii="宋体" w:hAnsi="宋体" w:eastAsia="宋体" w:cs="宋体"/>
          <w:color w:val="auto"/>
          <w:sz w:val="24"/>
          <w:szCs w:val="24"/>
        </w:rPr>
      </w:pPr>
      <w:r>
        <w:rPr>
          <w:rFonts w:hint="eastAsia" w:ascii="宋体" w:hAnsi="宋体" w:eastAsia="宋体" w:cs="宋体"/>
          <w:color w:val="auto"/>
          <w:spacing w:val="-4"/>
          <w:sz w:val="24"/>
          <w:szCs w:val="24"/>
        </w:rPr>
        <w:t>以上企业，不属于大企业的</w:t>
      </w:r>
      <w:r>
        <w:rPr>
          <w:rFonts w:hint="eastAsia" w:ascii="宋体" w:hAnsi="宋体" w:eastAsia="宋体" w:cs="宋体"/>
          <w:color w:val="auto"/>
          <w:spacing w:val="-2"/>
          <w:sz w:val="24"/>
          <w:szCs w:val="24"/>
        </w:rPr>
        <w:t>分支机构，不存在控股股东为大企业的情形，</w:t>
      </w:r>
      <w:r>
        <w:rPr>
          <w:rFonts w:hint="eastAsia" w:ascii="宋体" w:hAnsi="宋体" w:eastAsia="宋体" w:cs="宋体"/>
          <w:color w:val="auto"/>
          <w:spacing w:val="-1"/>
          <w:sz w:val="24"/>
          <w:szCs w:val="24"/>
        </w:rPr>
        <w:t>也不存在与大企业的负责人为同</w:t>
      </w:r>
      <w:r>
        <w:rPr>
          <w:rFonts w:hint="eastAsia" w:ascii="宋体" w:hAnsi="宋体" w:eastAsia="宋体" w:cs="宋体"/>
          <w:color w:val="auto"/>
          <w:sz w:val="24"/>
          <w:szCs w:val="24"/>
        </w:rPr>
        <w:t>一人的情形。</w:t>
      </w:r>
    </w:p>
    <w:p w14:paraId="64F44242">
      <w:pPr>
        <w:spacing w:before="2" w:line="360" w:lineRule="auto"/>
        <w:ind w:left="29" w:right="403" w:firstLine="646"/>
        <w:rPr>
          <w:rFonts w:hint="eastAsia" w:ascii="宋体" w:hAnsi="宋体" w:eastAsia="宋体" w:cs="宋体"/>
          <w:color w:val="auto"/>
          <w:sz w:val="24"/>
          <w:szCs w:val="24"/>
        </w:rPr>
      </w:pPr>
      <w:r>
        <w:rPr>
          <w:rFonts w:hint="eastAsia" w:ascii="宋体" w:hAnsi="宋体" w:eastAsia="宋体" w:cs="宋体"/>
          <w:color w:val="auto"/>
          <w:spacing w:val="23"/>
          <w:sz w:val="24"/>
          <w:szCs w:val="24"/>
        </w:rPr>
        <w:t>本</w:t>
      </w:r>
      <w:r>
        <w:rPr>
          <w:rFonts w:hint="eastAsia" w:ascii="宋体" w:hAnsi="宋体" w:eastAsia="宋体" w:cs="宋体"/>
          <w:color w:val="auto"/>
          <w:spacing w:val="12"/>
          <w:sz w:val="24"/>
          <w:szCs w:val="24"/>
        </w:rPr>
        <w:t>企业对上述声明内容的真实性负责。如有虚假，将依法承担相应责</w:t>
      </w:r>
      <w:r>
        <w:rPr>
          <w:rFonts w:hint="eastAsia" w:ascii="宋体" w:hAnsi="宋体" w:eastAsia="宋体" w:cs="宋体"/>
          <w:color w:val="auto"/>
          <w:spacing w:val="-3"/>
          <w:sz w:val="24"/>
          <w:szCs w:val="24"/>
        </w:rPr>
        <w:t>任。</w:t>
      </w:r>
    </w:p>
    <w:p w14:paraId="73F3BCB5">
      <w:pPr>
        <w:spacing w:line="360" w:lineRule="auto"/>
        <w:rPr>
          <w:rFonts w:hint="eastAsia" w:ascii="宋体" w:hAnsi="宋体" w:eastAsia="宋体" w:cs="宋体"/>
          <w:color w:val="auto"/>
          <w:sz w:val="22"/>
          <w:szCs w:val="28"/>
        </w:rPr>
      </w:pPr>
    </w:p>
    <w:p w14:paraId="2A77CCCE">
      <w:pPr>
        <w:spacing w:before="183" w:line="360" w:lineRule="auto"/>
        <w:ind w:left="3147"/>
        <w:outlineLvl w:val="9"/>
        <w:rPr>
          <w:rFonts w:hint="eastAsia" w:ascii="宋体" w:hAnsi="宋体" w:eastAsia="宋体" w:cs="宋体"/>
          <w:sz w:val="24"/>
          <w:szCs w:val="24"/>
          <w:lang w:eastAsia="zh-CN"/>
        </w:rPr>
      </w:pPr>
      <w:r>
        <w:rPr>
          <w:rFonts w:ascii="宋体" w:hAnsi="宋体" w:eastAsia="宋体" w:cs="宋体"/>
          <w:spacing w:val="-2"/>
          <w:sz w:val="24"/>
          <w:szCs w:val="24"/>
        </w:rPr>
        <w:t>企业名称（盖章</w:t>
      </w:r>
      <w:r>
        <w:rPr>
          <w:rFonts w:ascii="宋体" w:hAnsi="宋体" w:eastAsia="宋体" w:cs="宋体"/>
          <w:sz w:val="24"/>
          <w:szCs w:val="24"/>
        </w:rPr>
        <w:t>）：</w:t>
      </w:r>
    </w:p>
    <w:p w14:paraId="1FE999FB">
      <w:pPr>
        <w:spacing w:before="184" w:line="360" w:lineRule="auto"/>
        <w:ind w:left="3184"/>
        <w:outlineLvl w:val="9"/>
        <w:rPr>
          <w:rFonts w:hint="eastAsia" w:ascii="宋体" w:hAnsi="宋体" w:eastAsia="宋体" w:cs="宋体"/>
          <w:sz w:val="24"/>
          <w:szCs w:val="24"/>
          <w:lang w:eastAsia="zh-CN"/>
        </w:rPr>
      </w:pPr>
      <w:r>
        <w:rPr>
          <w:rFonts w:ascii="宋体" w:hAnsi="宋体" w:eastAsia="宋体" w:cs="宋体"/>
          <w:spacing w:val="-31"/>
          <w:sz w:val="24"/>
          <w:szCs w:val="24"/>
        </w:rPr>
        <w:t>日期：</w:t>
      </w:r>
    </w:p>
    <w:p w14:paraId="05F0142B">
      <w:pPr>
        <w:spacing w:before="182" w:line="360" w:lineRule="auto"/>
        <w:ind w:left="23" w:right="13"/>
        <w:outlineLvl w:val="9"/>
        <w:rPr>
          <w:rFonts w:ascii="宋体" w:hAnsi="宋体" w:eastAsia="宋体" w:cs="宋体"/>
          <w:spacing w:val="-3"/>
          <w:sz w:val="24"/>
          <w:szCs w:val="24"/>
        </w:rPr>
      </w:pPr>
    </w:p>
    <w:p w14:paraId="1BBC81CD">
      <w:pPr>
        <w:spacing w:before="182" w:line="360" w:lineRule="auto"/>
        <w:ind w:left="23" w:right="13"/>
        <w:outlineLvl w:val="9"/>
        <w:rPr>
          <w:rFonts w:ascii="宋体" w:hAnsi="宋体" w:eastAsia="宋体" w:cs="宋体"/>
          <w:sz w:val="24"/>
          <w:szCs w:val="24"/>
        </w:rPr>
      </w:pPr>
      <w:r>
        <w:rPr>
          <w:rFonts w:ascii="宋体" w:hAnsi="宋体" w:eastAsia="宋体" w:cs="宋体"/>
          <w:spacing w:val="-3"/>
          <w:sz w:val="24"/>
          <w:szCs w:val="24"/>
        </w:rPr>
        <w:t>注：从业人员、营业收入、资产总额填报上一年度数据，无上一年度数据的新成</w:t>
      </w:r>
      <w:r>
        <w:rPr>
          <w:rFonts w:ascii="宋体" w:hAnsi="宋体" w:eastAsia="宋体" w:cs="宋体"/>
          <w:spacing w:val="-2"/>
          <w:sz w:val="24"/>
          <w:szCs w:val="24"/>
        </w:rPr>
        <w:t>立企业可不填报。</w:t>
      </w:r>
    </w:p>
    <w:p w14:paraId="1648C5A9">
      <w:pPr>
        <w:spacing w:line="360" w:lineRule="auto"/>
        <w:outlineLvl w:val="9"/>
        <w:rPr>
          <w:rFonts w:ascii="宋体" w:hAnsi="宋体" w:eastAsia="宋体" w:cs="宋体"/>
          <w:sz w:val="24"/>
          <w:szCs w:val="24"/>
        </w:rPr>
        <w:sectPr>
          <w:footerReference r:id="rId27" w:type="default"/>
          <w:pgSz w:w="11906" w:h="16838"/>
          <w:pgMar w:top="1429" w:right="1786" w:bottom="1372" w:left="1786" w:header="0" w:footer="1208" w:gutter="0"/>
          <w:pgNumType w:fmt="decimal"/>
          <w:cols w:space="0" w:num="1"/>
          <w:rtlGutter w:val="0"/>
          <w:docGrid w:linePitch="0" w:charSpace="0"/>
        </w:sectPr>
      </w:pPr>
    </w:p>
    <w:p w14:paraId="362BBC30">
      <w:pPr>
        <w:spacing w:before="91" w:line="360" w:lineRule="auto"/>
        <w:ind w:left="144"/>
        <w:jc w:val="left"/>
        <w:rPr>
          <w:rFonts w:hint="eastAsia" w:ascii="宋体" w:hAnsi="宋体" w:eastAsia="宋体" w:cs="宋体"/>
          <w:color w:val="000000"/>
          <w:sz w:val="28"/>
          <w:szCs w:val="28"/>
        </w:rPr>
      </w:pPr>
      <w:r>
        <w:rPr>
          <w:rFonts w:hint="eastAsia" w:ascii="宋体" w:hAnsi="宋体" w:eastAsia="宋体" w:cs="宋体"/>
          <w:color w:val="000000"/>
          <w:spacing w:val="-4"/>
          <w:sz w:val="28"/>
          <w:szCs w:val="28"/>
        </w:rPr>
        <w:t>附</w:t>
      </w:r>
      <w:r>
        <w:rPr>
          <w:rFonts w:hint="eastAsia" w:ascii="宋体" w:hAnsi="宋体" w:eastAsia="宋体" w:cs="宋体"/>
          <w:color w:val="000000"/>
          <w:spacing w:val="-3"/>
          <w:sz w:val="28"/>
          <w:szCs w:val="28"/>
        </w:rPr>
        <w:t>：</w:t>
      </w:r>
      <w:r>
        <w:rPr>
          <w:rFonts w:hint="eastAsia" w:ascii="宋体" w:hAnsi="宋体" w:eastAsia="宋体" w:cs="宋体"/>
          <w:color w:val="000000"/>
          <w:spacing w:val="-2"/>
          <w:sz w:val="28"/>
          <w:szCs w:val="28"/>
        </w:rPr>
        <w:t>中小企业划型标准</w:t>
      </w:r>
      <w:r>
        <w:rPr>
          <w:rFonts w:hint="eastAsia" w:ascii="宋体" w:hAnsi="宋体" w:eastAsia="宋体" w:cs="宋体"/>
          <w:b/>
          <w:bCs/>
          <w:sz w:val="28"/>
          <w:szCs w:val="28"/>
          <w:lang w:eastAsia="zh-CN"/>
        </w:rPr>
        <w:drawing>
          <wp:inline distT="0" distB="0" distL="114300" distR="114300">
            <wp:extent cx="5753735" cy="8141970"/>
            <wp:effectExtent l="0" t="0" r="6985" b="11430"/>
            <wp:docPr id="9" name="图片 9" descr="关于印发中小企业划型标准规定的通知（工信部联企业〔2011〕300号）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关于印发中小企业划型标准规定的通知（工信部联企业〔2011〕300号）_00"/>
                    <pic:cNvPicPr>
                      <a:picLocks noChangeAspect="1"/>
                    </pic:cNvPicPr>
                  </pic:nvPicPr>
                  <pic:blipFill>
                    <a:blip r:embed="rId49"/>
                    <a:stretch>
                      <a:fillRect/>
                    </a:stretch>
                  </pic:blipFill>
                  <pic:spPr>
                    <a:xfrm>
                      <a:off x="0" y="0"/>
                      <a:ext cx="5753735" cy="8141970"/>
                    </a:xfrm>
                    <a:prstGeom prst="rect">
                      <a:avLst/>
                    </a:prstGeom>
                  </pic:spPr>
                </pic:pic>
              </a:graphicData>
            </a:graphic>
          </wp:inline>
        </w:drawing>
      </w:r>
    </w:p>
    <w:p w14:paraId="595B6289">
      <w:pPr>
        <w:pStyle w:val="4"/>
        <w:spacing w:line="360" w:lineRule="auto"/>
        <w:outlineLvl w:val="9"/>
      </w:pPr>
      <w:r>
        <w:rPr>
          <w:rFonts w:hint="eastAsia" w:ascii="宋体" w:hAnsi="宋体" w:eastAsia="宋体" w:cs="宋体"/>
          <w:b/>
          <w:bCs/>
          <w:sz w:val="28"/>
          <w:szCs w:val="28"/>
          <w:lang w:eastAsia="zh-CN"/>
        </w:rPr>
        <w:drawing>
          <wp:inline distT="0" distB="0" distL="114300" distR="114300">
            <wp:extent cx="5925820" cy="8385810"/>
            <wp:effectExtent l="0" t="0" r="2540" b="11430"/>
            <wp:docPr id="23" name="图片 23" descr="关于印发中小企业划型标准规定的通知（工信部联企业〔2011〕300号）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关于印发中小企业划型标准规定的通知（工信部联企业〔2011〕300号）_01"/>
                    <pic:cNvPicPr>
                      <a:picLocks noChangeAspect="1"/>
                    </pic:cNvPicPr>
                  </pic:nvPicPr>
                  <pic:blipFill>
                    <a:blip r:embed="rId50"/>
                    <a:stretch>
                      <a:fillRect/>
                    </a:stretch>
                  </pic:blipFill>
                  <pic:spPr>
                    <a:xfrm>
                      <a:off x="0" y="0"/>
                      <a:ext cx="5925820" cy="8385810"/>
                    </a:xfrm>
                    <a:prstGeom prst="rect">
                      <a:avLst/>
                    </a:prstGeom>
                  </pic:spPr>
                </pic:pic>
              </a:graphicData>
            </a:graphic>
          </wp:inline>
        </w:drawing>
      </w:r>
      <w:r>
        <w:rPr>
          <w:rFonts w:hint="eastAsia" w:ascii="宋体" w:hAnsi="宋体" w:eastAsia="宋体" w:cs="宋体"/>
          <w:b/>
          <w:bCs/>
          <w:sz w:val="28"/>
          <w:szCs w:val="28"/>
          <w:lang w:eastAsia="zh-CN"/>
        </w:rPr>
        <w:drawing>
          <wp:inline distT="0" distB="0" distL="114300" distR="114300">
            <wp:extent cx="6022340" cy="8521700"/>
            <wp:effectExtent l="0" t="0" r="12700" b="12700"/>
            <wp:docPr id="19" name="图片 19" descr="关于印发中小企业划型标准规定的通知（工信部联企业〔2011〕300号）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关于印发中小企业划型标准规定的通知（工信部联企业〔2011〕300号）_02"/>
                    <pic:cNvPicPr>
                      <a:picLocks noChangeAspect="1"/>
                    </pic:cNvPicPr>
                  </pic:nvPicPr>
                  <pic:blipFill>
                    <a:blip r:embed="rId51"/>
                    <a:stretch>
                      <a:fillRect/>
                    </a:stretch>
                  </pic:blipFill>
                  <pic:spPr>
                    <a:xfrm>
                      <a:off x="0" y="0"/>
                      <a:ext cx="6022340" cy="8521700"/>
                    </a:xfrm>
                    <a:prstGeom prst="rect">
                      <a:avLst/>
                    </a:prstGeom>
                  </pic:spPr>
                </pic:pic>
              </a:graphicData>
            </a:graphic>
          </wp:inline>
        </w:drawing>
      </w:r>
      <w:r>
        <w:rPr>
          <w:rFonts w:hint="eastAsia" w:ascii="宋体" w:hAnsi="宋体" w:eastAsia="宋体" w:cs="宋体"/>
          <w:b/>
          <w:bCs/>
          <w:sz w:val="28"/>
          <w:szCs w:val="28"/>
          <w:lang w:eastAsia="zh-CN"/>
        </w:rPr>
        <w:drawing>
          <wp:inline distT="0" distB="0" distL="114300" distR="114300">
            <wp:extent cx="5949315" cy="8418830"/>
            <wp:effectExtent l="0" t="0" r="9525" b="8890"/>
            <wp:docPr id="11" name="图片 11" descr="关于印发中小企业划型标准规定的通知（工信部联企业〔2011〕300号）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关于印发中小企业划型标准规定的通知（工信部联企业〔2011〕300号）_03"/>
                    <pic:cNvPicPr>
                      <a:picLocks noChangeAspect="1"/>
                    </pic:cNvPicPr>
                  </pic:nvPicPr>
                  <pic:blipFill>
                    <a:blip r:embed="rId52"/>
                    <a:stretch>
                      <a:fillRect/>
                    </a:stretch>
                  </pic:blipFill>
                  <pic:spPr>
                    <a:xfrm>
                      <a:off x="0" y="0"/>
                      <a:ext cx="5949315" cy="8418830"/>
                    </a:xfrm>
                    <a:prstGeom prst="rect">
                      <a:avLst/>
                    </a:prstGeom>
                  </pic:spPr>
                </pic:pic>
              </a:graphicData>
            </a:graphic>
          </wp:inline>
        </w:drawing>
      </w:r>
    </w:p>
    <w:p w14:paraId="557C3C61">
      <w:pPr>
        <w:spacing w:line="360" w:lineRule="auto"/>
        <w:outlineLvl w:val="9"/>
        <w:sectPr>
          <w:footerReference r:id="rId28" w:type="default"/>
          <w:pgSz w:w="11906" w:h="16838"/>
          <w:pgMar w:top="1429" w:right="1786" w:bottom="1372" w:left="1786" w:header="0" w:footer="1208" w:gutter="0"/>
          <w:pgNumType w:fmt="decimal"/>
          <w:cols w:space="0" w:num="1"/>
          <w:rtlGutter w:val="0"/>
          <w:docGrid w:linePitch="0" w:charSpace="0"/>
        </w:sectPr>
      </w:pPr>
    </w:p>
    <w:p w14:paraId="6BEBED62">
      <w:pPr>
        <w:pStyle w:val="4"/>
        <w:spacing w:line="360" w:lineRule="auto"/>
        <w:outlineLvl w:val="9"/>
      </w:pPr>
    </w:p>
    <w:p w14:paraId="224E947A">
      <w:pPr>
        <w:pStyle w:val="4"/>
        <w:spacing w:line="360" w:lineRule="auto"/>
        <w:outlineLvl w:val="9"/>
      </w:pPr>
    </w:p>
    <w:p w14:paraId="35EC6F98">
      <w:pPr>
        <w:pStyle w:val="4"/>
        <w:spacing w:line="360" w:lineRule="auto"/>
        <w:outlineLvl w:val="9"/>
      </w:pPr>
    </w:p>
    <w:p w14:paraId="15F4A706">
      <w:pPr>
        <w:spacing w:before="101" w:line="360" w:lineRule="auto"/>
        <w:ind w:left="986"/>
        <w:outlineLvl w:val="9"/>
        <w:rPr>
          <w:rFonts w:ascii="宋体" w:hAnsi="宋体" w:eastAsia="宋体" w:cs="宋体"/>
          <w:sz w:val="31"/>
          <w:szCs w:val="31"/>
        </w:rPr>
      </w:pPr>
      <w:r>
        <w:rPr>
          <w:rFonts w:ascii="宋体" w:hAnsi="宋体" w:eastAsia="宋体" w:cs="宋体"/>
          <w:b/>
          <w:bCs/>
          <w:spacing w:val="6"/>
          <w:sz w:val="31"/>
          <w:szCs w:val="31"/>
        </w:rPr>
        <w:t>残疾人福利性单位声明函（如用，不用可删除）</w:t>
      </w:r>
    </w:p>
    <w:p w14:paraId="09DC5E66">
      <w:pPr>
        <w:pStyle w:val="4"/>
        <w:spacing w:line="360" w:lineRule="auto"/>
        <w:outlineLvl w:val="9"/>
      </w:pPr>
    </w:p>
    <w:p w14:paraId="211D396B">
      <w:pPr>
        <w:pStyle w:val="4"/>
        <w:spacing w:line="360" w:lineRule="auto"/>
        <w:outlineLvl w:val="9"/>
      </w:pPr>
    </w:p>
    <w:p w14:paraId="22BB82AA">
      <w:pPr>
        <w:pStyle w:val="4"/>
        <w:spacing w:line="360" w:lineRule="auto"/>
        <w:outlineLvl w:val="9"/>
      </w:pPr>
    </w:p>
    <w:p w14:paraId="7899E706">
      <w:pPr>
        <w:spacing w:before="78" w:line="360" w:lineRule="auto"/>
        <w:ind w:left="22" w:right="80" w:firstLine="481"/>
        <w:jc w:val="both"/>
        <w:outlineLvl w:val="9"/>
        <w:rPr>
          <w:rFonts w:ascii="宋体" w:hAnsi="宋体" w:eastAsia="宋体" w:cs="宋体"/>
          <w:sz w:val="24"/>
          <w:szCs w:val="24"/>
        </w:rPr>
      </w:pPr>
      <w:r>
        <w:rPr>
          <w:rFonts w:ascii="宋体" w:hAnsi="宋体" w:eastAsia="宋体" w:cs="宋体"/>
          <w:spacing w:val="-5"/>
          <w:sz w:val="24"/>
          <w:szCs w:val="24"/>
        </w:rPr>
        <w:t>本单位郑重声明，根据《财政部民政部中国残疾人</w:t>
      </w:r>
      <w:r>
        <w:rPr>
          <w:rFonts w:ascii="宋体" w:hAnsi="宋体" w:eastAsia="宋体" w:cs="宋体"/>
          <w:spacing w:val="-6"/>
          <w:sz w:val="24"/>
          <w:szCs w:val="24"/>
        </w:rPr>
        <w:t>联合会关于促进残疾人</w:t>
      </w:r>
      <w:r>
        <w:rPr>
          <w:rFonts w:ascii="宋体" w:hAnsi="宋体" w:eastAsia="宋体" w:cs="宋体"/>
          <w:spacing w:val="-5"/>
          <w:sz w:val="24"/>
          <w:szCs w:val="24"/>
        </w:rPr>
        <w:t>就业政府采购政策的通知》（财库〔2017〕141号）的规定，本单位为符合条件</w:t>
      </w:r>
      <w:r>
        <w:rPr>
          <w:rFonts w:ascii="宋体" w:hAnsi="宋体" w:eastAsia="宋体" w:cs="宋体"/>
          <w:spacing w:val="-3"/>
          <w:sz w:val="24"/>
          <w:szCs w:val="24"/>
        </w:rPr>
        <w:t>的残疾人福利性单位，且本单位参加的项目采购活动提供本单位制</w:t>
      </w:r>
      <w:r>
        <w:rPr>
          <w:rFonts w:ascii="宋体" w:hAnsi="宋体" w:eastAsia="宋体" w:cs="宋体"/>
          <w:spacing w:val="-2"/>
          <w:sz w:val="24"/>
          <w:szCs w:val="24"/>
        </w:rPr>
        <w:t>造的货物（由本单位承担工程/提供服务</w:t>
      </w:r>
      <w:r>
        <w:rPr>
          <w:rFonts w:ascii="宋体" w:hAnsi="宋体" w:eastAsia="宋体" w:cs="宋体"/>
          <w:spacing w:val="-57"/>
          <w:w w:val="91"/>
          <w:sz w:val="24"/>
          <w:szCs w:val="24"/>
        </w:rPr>
        <w:t>），</w:t>
      </w:r>
      <w:r>
        <w:rPr>
          <w:rFonts w:ascii="宋体" w:hAnsi="宋体" w:eastAsia="宋体" w:cs="宋体"/>
          <w:spacing w:val="-2"/>
          <w:sz w:val="24"/>
          <w:szCs w:val="24"/>
        </w:rPr>
        <w:t>或者提供其他残疾人福利性单位</w:t>
      </w:r>
      <w:r>
        <w:rPr>
          <w:rFonts w:ascii="宋体" w:hAnsi="宋体" w:eastAsia="宋体" w:cs="宋体"/>
          <w:spacing w:val="-3"/>
          <w:sz w:val="24"/>
          <w:szCs w:val="24"/>
        </w:rPr>
        <w:t>制造</w:t>
      </w:r>
      <w:r>
        <w:rPr>
          <w:rFonts w:ascii="宋体" w:hAnsi="宋体" w:eastAsia="宋体" w:cs="宋体"/>
          <w:spacing w:val="-4"/>
          <w:sz w:val="24"/>
          <w:szCs w:val="24"/>
        </w:rPr>
        <w:t>的货物（不包括使用非残疾人福利性单位注册商标的货物）。</w:t>
      </w:r>
    </w:p>
    <w:p w14:paraId="42521B09">
      <w:pPr>
        <w:spacing w:line="360" w:lineRule="auto"/>
        <w:ind w:left="504"/>
        <w:outlineLvl w:val="9"/>
        <w:rPr>
          <w:rFonts w:ascii="宋体" w:hAnsi="宋体" w:eastAsia="宋体" w:cs="宋体"/>
          <w:sz w:val="24"/>
          <w:szCs w:val="24"/>
        </w:rPr>
      </w:pPr>
      <w:r>
        <w:rPr>
          <w:rFonts w:ascii="宋体" w:hAnsi="宋体" w:eastAsia="宋体" w:cs="宋体"/>
          <w:spacing w:val="-1"/>
          <w:sz w:val="24"/>
          <w:szCs w:val="24"/>
        </w:rPr>
        <w:t>本单位对上述声明的真实性负责。如有虚假，将依法承担相应责任。</w:t>
      </w:r>
    </w:p>
    <w:p w14:paraId="4FB670FC">
      <w:pPr>
        <w:pStyle w:val="4"/>
        <w:spacing w:line="360" w:lineRule="auto"/>
        <w:outlineLvl w:val="9"/>
      </w:pPr>
    </w:p>
    <w:p w14:paraId="1BD67EC1">
      <w:pPr>
        <w:pStyle w:val="4"/>
        <w:spacing w:line="360" w:lineRule="auto"/>
        <w:outlineLvl w:val="9"/>
      </w:pPr>
    </w:p>
    <w:p w14:paraId="223A7864">
      <w:pPr>
        <w:pStyle w:val="4"/>
        <w:spacing w:line="360" w:lineRule="auto"/>
        <w:outlineLvl w:val="9"/>
      </w:pPr>
    </w:p>
    <w:p w14:paraId="4F167B2D">
      <w:pPr>
        <w:pStyle w:val="4"/>
        <w:spacing w:line="360" w:lineRule="auto"/>
        <w:outlineLvl w:val="9"/>
      </w:pPr>
    </w:p>
    <w:p w14:paraId="0B6B204E">
      <w:pPr>
        <w:spacing w:before="78" w:line="360" w:lineRule="auto"/>
        <w:ind w:left="3329"/>
        <w:outlineLvl w:val="9"/>
        <w:rPr>
          <w:rFonts w:hint="eastAsia" w:ascii="宋体" w:hAnsi="宋体" w:eastAsia="宋体" w:cs="宋体"/>
          <w:sz w:val="24"/>
          <w:szCs w:val="24"/>
          <w:lang w:eastAsia="zh-CN"/>
        </w:rPr>
      </w:pPr>
      <w:r>
        <w:rPr>
          <w:rFonts w:ascii="宋体" w:hAnsi="宋体" w:eastAsia="宋体" w:cs="宋体"/>
          <w:spacing w:val="-2"/>
          <w:sz w:val="24"/>
          <w:szCs w:val="24"/>
        </w:rPr>
        <w:t>企业名称（盖章</w:t>
      </w:r>
      <w:r>
        <w:rPr>
          <w:rFonts w:ascii="宋体" w:hAnsi="宋体" w:eastAsia="宋体" w:cs="宋体"/>
          <w:spacing w:val="-61"/>
          <w:sz w:val="24"/>
          <w:szCs w:val="24"/>
        </w:rPr>
        <w:t>）：</w:t>
      </w:r>
    </w:p>
    <w:p w14:paraId="4BA0813B">
      <w:pPr>
        <w:pStyle w:val="4"/>
        <w:spacing w:line="360" w:lineRule="auto"/>
        <w:outlineLvl w:val="9"/>
      </w:pPr>
    </w:p>
    <w:p w14:paraId="442DF9AD">
      <w:pPr>
        <w:pStyle w:val="4"/>
        <w:spacing w:line="360" w:lineRule="auto"/>
        <w:outlineLvl w:val="9"/>
      </w:pPr>
    </w:p>
    <w:p w14:paraId="098FDB7B">
      <w:pPr>
        <w:spacing w:before="79" w:line="360" w:lineRule="auto"/>
        <w:ind w:left="3316"/>
        <w:outlineLvl w:val="9"/>
        <w:rPr>
          <w:rFonts w:ascii="宋体" w:hAnsi="宋体" w:eastAsia="宋体" w:cs="宋体"/>
          <w:sz w:val="24"/>
          <w:szCs w:val="24"/>
        </w:rPr>
      </w:pPr>
      <w:r>
        <w:rPr>
          <w:rFonts w:ascii="宋体" w:hAnsi="宋体" w:eastAsia="宋体" w:cs="宋体"/>
          <w:spacing w:val="-15"/>
          <w:sz w:val="24"/>
          <w:szCs w:val="24"/>
        </w:rPr>
        <w:t>日期：年月日</w:t>
      </w:r>
    </w:p>
    <w:p w14:paraId="351A4C77">
      <w:pPr>
        <w:pStyle w:val="4"/>
        <w:spacing w:line="360" w:lineRule="auto"/>
        <w:outlineLvl w:val="9"/>
      </w:pPr>
    </w:p>
    <w:p w14:paraId="0C339617">
      <w:pPr>
        <w:pStyle w:val="4"/>
        <w:spacing w:line="360" w:lineRule="auto"/>
        <w:outlineLvl w:val="9"/>
      </w:pPr>
    </w:p>
    <w:p w14:paraId="63C30B3E">
      <w:pPr>
        <w:pStyle w:val="4"/>
        <w:spacing w:line="360" w:lineRule="auto"/>
        <w:outlineLvl w:val="9"/>
      </w:pPr>
    </w:p>
    <w:p w14:paraId="1DF83AF3">
      <w:pPr>
        <w:spacing w:before="79" w:line="360" w:lineRule="auto"/>
        <w:ind w:left="21" w:right="80" w:firstLine="484"/>
        <w:outlineLvl w:val="9"/>
        <w:rPr>
          <w:rFonts w:ascii="宋体" w:hAnsi="宋体" w:eastAsia="宋体" w:cs="宋体"/>
          <w:sz w:val="24"/>
          <w:szCs w:val="24"/>
        </w:rPr>
      </w:pPr>
      <w:r>
        <w:rPr>
          <w:rFonts w:ascii="宋体" w:hAnsi="宋体" w:eastAsia="宋体" w:cs="宋体"/>
          <w:spacing w:val="-3"/>
          <w:sz w:val="24"/>
          <w:szCs w:val="24"/>
        </w:rPr>
        <w:t>备注：供应商提供的《残疾人福利性单位声明函》必须真</w:t>
      </w:r>
      <w:r>
        <w:rPr>
          <w:rFonts w:ascii="宋体" w:hAnsi="宋体" w:eastAsia="宋体" w:cs="宋体"/>
          <w:spacing w:val="-4"/>
          <w:sz w:val="24"/>
          <w:szCs w:val="24"/>
        </w:rPr>
        <w:t>实有效，如果被举</w:t>
      </w:r>
      <w:r>
        <w:rPr>
          <w:rFonts w:ascii="宋体" w:hAnsi="宋体" w:eastAsia="宋体" w:cs="宋体"/>
          <w:sz w:val="24"/>
          <w:szCs w:val="24"/>
        </w:rPr>
        <w:t>报经查实出具虚假声明函的，将被取消投标资格，并按</w:t>
      </w:r>
      <w:r>
        <w:rPr>
          <w:rFonts w:ascii="宋体" w:hAnsi="宋体" w:eastAsia="宋体" w:cs="宋体"/>
          <w:spacing w:val="-1"/>
          <w:sz w:val="24"/>
          <w:szCs w:val="24"/>
        </w:rPr>
        <w:t>有关规定予以处理。</w:t>
      </w:r>
    </w:p>
    <w:p w14:paraId="7C4D49F5">
      <w:pPr>
        <w:spacing w:line="360" w:lineRule="auto"/>
        <w:ind w:left="25" w:right="82" w:firstLine="564"/>
        <w:outlineLvl w:val="9"/>
        <w:rPr>
          <w:rFonts w:ascii="宋体" w:hAnsi="宋体" w:eastAsia="宋体" w:cs="宋体"/>
          <w:sz w:val="24"/>
          <w:szCs w:val="24"/>
        </w:rPr>
      </w:pPr>
      <w:r>
        <w:rPr>
          <w:rFonts w:ascii="宋体" w:hAnsi="宋体" w:eastAsia="宋体" w:cs="宋体"/>
          <w:spacing w:val="-1"/>
          <w:sz w:val="24"/>
          <w:szCs w:val="24"/>
        </w:rPr>
        <w:t>根据《财政部民政部中国残疾人联合会关于促进残疾人就业政府采购政</w:t>
      </w:r>
      <w:r>
        <w:rPr>
          <w:rFonts w:ascii="宋体" w:hAnsi="宋体" w:eastAsia="宋体" w:cs="宋体"/>
          <w:spacing w:val="-7"/>
          <w:sz w:val="24"/>
          <w:szCs w:val="24"/>
        </w:rPr>
        <w:t>策的通知》（财库〔2017〕141号）的规定：</w:t>
      </w:r>
    </w:p>
    <w:p w14:paraId="4EBDC236">
      <w:pPr>
        <w:spacing w:line="360" w:lineRule="auto"/>
        <w:ind w:left="507"/>
        <w:outlineLvl w:val="9"/>
        <w:rPr>
          <w:rFonts w:ascii="宋体" w:hAnsi="宋体" w:eastAsia="宋体" w:cs="宋体"/>
          <w:sz w:val="24"/>
          <w:szCs w:val="24"/>
        </w:rPr>
      </w:pPr>
      <w:r>
        <w:rPr>
          <w:rFonts w:ascii="宋体" w:hAnsi="宋体" w:eastAsia="宋体" w:cs="宋体"/>
          <w:spacing w:val="-1"/>
          <w:sz w:val="24"/>
          <w:szCs w:val="24"/>
        </w:rPr>
        <w:t>一、享受政府采购支持政策的残疾人福利性单位应当同时满足以下条件：</w:t>
      </w:r>
    </w:p>
    <w:p w14:paraId="03221B4C">
      <w:pPr>
        <w:spacing w:before="183" w:line="360" w:lineRule="auto"/>
        <w:ind w:left="29" w:right="138" w:firstLine="572"/>
        <w:outlineLvl w:val="9"/>
        <w:rPr>
          <w:rFonts w:ascii="宋体" w:hAnsi="宋体" w:eastAsia="宋体" w:cs="宋体"/>
          <w:sz w:val="24"/>
          <w:szCs w:val="24"/>
        </w:rPr>
      </w:pPr>
      <w:r>
        <w:rPr>
          <w:rFonts w:ascii="宋体" w:hAnsi="宋体" w:eastAsia="宋体" w:cs="宋体"/>
          <w:sz w:val="24"/>
          <w:szCs w:val="24"/>
        </w:rPr>
        <w:t>（一）安置的残疾人占本单位在职职工人数的比例不低于25%（含25%</w:t>
      </w:r>
      <w:r>
        <w:rPr>
          <w:rFonts w:ascii="宋体" w:hAnsi="宋体" w:eastAsia="宋体" w:cs="宋体"/>
          <w:spacing w:val="-55"/>
          <w:w w:val="87"/>
          <w:sz w:val="24"/>
          <w:szCs w:val="24"/>
        </w:rPr>
        <w:t>），</w:t>
      </w:r>
      <w:r>
        <w:rPr>
          <w:rFonts w:ascii="宋体" w:hAnsi="宋体" w:eastAsia="宋体" w:cs="宋体"/>
          <w:spacing w:val="-5"/>
          <w:sz w:val="24"/>
          <w:szCs w:val="24"/>
        </w:rPr>
        <w:t>并且安置的残疾人人数不少于10人（含10人</w:t>
      </w:r>
      <w:r>
        <w:rPr>
          <w:rFonts w:ascii="宋体" w:hAnsi="宋体" w:eastAsia="宋体" w:cs="宋体"/>
          <w:spacing w:val="-62"/>
          <w:sz w:val="24"/>
          <w:szCs w:val="24"/>
        </w:rPr>
        <w:t>）；</w:t>
      </w:r>
    </w:p>
    <w:p w14:paraId="5C3DFC2F">
      <w:pPr>
        <w:spacing w:before="182" w:line="360" w:lineRule="auto"/>
        <w:ind w:left="23" w:right="80" w:firstLine="577"/>
        <w:outlineLvl w:val="9"/>
        <w:rPr>
          <w:rFonts w:ascii="宋体" w:hAnsi="宋体" w:eastAsia="宋体" w:cs="宋体"/>
          <w:sz w:val="24"/>
          <w:szCs w:val="24"/>
        </w:rPr>
      </w:pPr>
      <w:r>
        <w:rPr>
          <w:rFonts w:ascii="宋体" w:hAnsi="宋体" w:eastAsia="宋体" w:cs="宋体"/>
          <w:spacing w:val="1"/>
          <w:sz w:val="24"/>
          <w:szCs w:val="24"/>
        </w:rPr>
        <w:t>（二）依法与安置的每位残疾人签订了一年以上（含一年）的劳动合同或</w:t>
      </w:r>
      <w:r>
        <w:rPr>
          <w:rFonts w:ascii="宋体" w:hAnsi="宋体" w:eastAsia="宋体" w:cs="宋体"/>
          <w:spacing w:val="-2"/>
          <w:sz w:val="24"/>
          <w:szCs w:val="24"/>
        </w:rPr>
        <w:t>服务协议；</w:t>
      </w:r>
    </w:p>
    <w:p w14:paraId="589629C0">
      <w:pPr>
        <w:spacing w:before="184" w:line="360" w:lineRule="auto"/>
        <w:ind w:left="29" w:firstLine="572"/>
        <w:outlineLvl w:val="9"/>
        <w:rPr>
          <w:rFonts w:ascii="宋体" w:hAnsi="宋体" w:eastAsia="宋体" w:cs="宋体"/>
          <w:sz w:val="24"/>
          <w:szCs w:val="24"/>
        </w:rPr>
      </w:pPr>
      <w:r>
        <w:rPr>
          <w:rFonts w:ascii="宋体" w:hAnsi="宋体" w:eastAsia="宋体" w:cs="宋体"/>
          <w:spacing w:val="-4"/>
          <w:sz w:val="24"/>
          <w:szCs w:val="24"/>
        </w:rPr>
        <w:t>（三）为安置的每位残疾人按月足额缴纳了基本养老保险、基本医疗保险、</w:t>
      </w:r>
      <w:r>
        <w:rPr>
          <w:rFonts w:ascii="宋体" w:hAnsi="宋体" w:eastAsia="宋体" w:cs="宋体"/>
          <w:spacing w:val="-1"/>
          <w:sz w:val="24"/>
          <w:szCs w:val="24"/>
        </w:rPr>
        <w:t>失业保险、工伤保险和生育保险等社会保险费；</w:t>
      </w:r>
    </w:p>
    <w:p w14:paraId="2AEB6578">
      <w:pPr>
        <w:spacing w:before="183" w:line="360" w:lineRule="auto"/>
        <w:ind w:left="601"/>
        <w:outlineLvl w:val="9"/>
        <w:rPr>
          <w:rFonts w:ascii="宋体" w:hAnsi="宋体" w:eastAsia="宋体" w:cs="宋体"/>
          <w:sz w:val="24"/>
          <w:szCs w:val="24"/>
        </w:rPr>
      </w:pPr>
      <w:r>
        <w:rPr>
          <w:rFonts w:ascii="宋体" w:hAnsi="宋体" w:eastAsia="宋体" w:cs="宋体"/>
          <w:spacing w:val="1"/>
          <w:sz w:val="24"/>
          <w:szCs w:val="24"/>
        </w:rPr>
        <w:t>（四）通过银行等金融机构向安置的每位残疾人，按月支付了不低于单位</w:t>
      </w:r>
    </w:p>
    <w:p w14:paraId="7D4304B3">
      <w:pPr>
        <w:spacing w:line="360" w:lineRule="auto"/>
        <w:outlineLvl w:val="9"/>
        <w:rPr>
          <w:rFonts w:ascii="宋体" w:hAnsi="宋体" w:eastAsia="宋体" w:cs="宋体"/>
          <w:sz w:val="24"/>
          <w:szCs w:val="24"/>
        </w:rPr>
        <w:sectPr>
          <w:footerReference r:id="rId29" w:type="default"/>
          <w:pgSz w:w="11906" w:h="16838"/>
          <w:pgMar w:top="1429" w:right="1786" w:bottom="1372" w:left="1786" w:header="0" w:footer="1208" w:gutter="0"/>
          <w:pgNumType w:fmt="decimal"/>
          <w:cols w:space="0" w:num="1"/>
          <w:rtlGutter w:val="0"/>
          <w:docGrid w:linePitch="0" w:charSpace="0"/>
        </w:sectPr>
      </w:pPr>
    </w:p>
    <w:p w14:paraId="29A38D46">
      <w:pPr>
        <w:spacing w:before="122" w:line="360" w:lineRule="auto"/>
        <w:ind w:left="23"/>
        <w:outlineLvl w:val="9"/>
        <w:rPr>
          <w:rFonts w:ascii="宋体" w:hAnsi="宋体" w:eastAsia="宋体" w:cs="宋体"/>
          <w:sz w:val="24"/>
          <w:szCs w:val="24"/>
        </w:rPr>
      </w:pPr>
      <w:r>
        <w:rPr>
          <w:rFonts w:ascii="宋体" w:hAnsi="宋体" w:eastAsia="宋体" w:cs="宋体"/>
          <w:spacing w:val="-1"/>
          <w:sz w:val="24"/>
          <w:szCs w:val="24"/>
        </w:rPr>
        <w:t>所在区县适用的经省级人民政府批准的月最低工资标准的工资；</w:t>
      </w:r>
    </w:p>
    <w:p w14:paraId="3459942A">
      <w:pPr>
        <w:spacing w:before="183" w:line="360" w:lineRule="auto"/>
        <w:ind w:left="26" w:right="13" w:firstLine="575"/>
        <w:outlineLvl w:val="9"/>
        <w:rPr>
          <w:rFonts w:ascii="宋体" w:hAnsi="宋体" w:eastAsia="宋体" w:cs="宋体"/>
          <w:sz w:val="24"/>
          <w:szCs w:val="24"/>
        </w:rPr>
      </w:pPr>
      <w:r>
        <w:rPr>
          <w:rFonts w:ascii="宋体" w:hAnsi="宋体" w:eastAsia="宋体" w:cs="宋体"/>
          <w:spacing w:val="-3"/>
          <w:sz w:val="24"/>
          <w:szCs w:val="24"/>
        </w:rPr>
        <w:t>（五）提供本单位承担的服务（以下简称产品</w:t>
      </w:r>
      <w:r>
        <w:rPr>
          <w:rFonts w:ascii="宋体" w:hAnsi="宋体" w:eastAsia="宋体" w:cs="宋体"/>
          <w:spacing w:val="-55"/>
          <w:sz w:val="24"/>
          <w:szCs w:val="24"/>
        </w:rPr>
        <w:t>），</w:t>
      </w:r>
      <w:r>
        <w:rPr>
          <w:rFonts w:ascii="宋体" w:hAnsi="宋体" w:eastAsia="宋体" w:cs="宋体"/>
          <w:spacing w:val="-3"/>
          <w:sz w:val="24"/>
          <w:szCs w:val="24"/>
        </w:rPr>
        <w:t>或者提供其他残疾人福利</w:t>
      </w:r>
      <w:r>
        <w:rPr>
          <w:rFonts w:ascii="宋体" w:hAnsi="宋体" w:eastAsia="宋体" w:cs="宋体"/>
          <w:spacing w:val="-2"/>
          <w:sz w:val="24"/>
          <w:szCs w:val="24"/>
        </w:rPr>
        <w:t>性单位提供的服。</w:t>
      </w:r>
    </w:p>
    <w:p w14:paraId="2FC42274">
      <w:pPr>
        <w:spacing w:line="360" w:lineRule="auto"/>
        <w:ind w:left="24" w:right="13" w:firstLine="569"/>
        <w:jc w:val="both"/>
        <w:outlineLvl w:val="9"/>
        <w:rPr>
          <w:rFonts w:ascii="宋体" w:hAnsi="宋体" w:eastAsia="宋体" w:cs="宋体"/>
          <w:sz w:val="24"/>
          <w:szCs w:val="24"/>
        </w:rPr>
      </w:pPr>
      <w:r>
        <w:rPr>
          <w:rFonts w:ascii="宋体" w:hAnsi="宋体" w:eastAsia="宋体" w:cs="宋体"/>
          <w:spacing w:val="1"/>
          <w:sz w:val="24"/>
          <w:szCs w:val="24"/>
        </w:rPr>
        <w:t>前款所称残疾人是指法定劳动年龄内，持有《中华人民共和国残疾人证》</w:t>
      </w:r>
      <w:r>
        <w:rPr>
          <w:rFonts w:ascii="宋体" w:hAnsi="宋体" w:eastAsia="宋体" w:cs="宋体"/>
          <w:spacing w:val="-2"/>
          <w:sz w:val="24"/>
          <w:szCs w:val="24"/>
        </w:rPr>
        <w:t>或者《中华人民共和国残疾军人证（1至8级）》的自然人，包括具有劳动条件</w:t>
      </w:r>
      <w:r>
        <w:rPr>
          <w:rFonts w:ascii="宋体" w:hAnsi="宋体" w:eastAsia="宋体" w:cs="宋体"/>
          <w:spacing w:val="-3"/>
          <w:sz w:val="24"/>
          <w:szCs w:val="24"/>
        </w:rPr>
        <w:t>和劳动意愿的精神残疾人。在职职工人数是指与残疾人福利性单位建立劳动关系</w:t>
      </w:r>
      <w:r>
        <w:rPr>
          <w:rFonts w:ascii="宋体" w:hAnsi="宋体" w:eastAsia="宋体" w:cs="宋体"/>
          <w:spacing w:val="-1"/>
          <w:sz w:val="24"/>
          <w:szCs w:val="24"/>
        </w:rPr>
        <w:t>并依法签订劳动合同或者服务协议的雇员人数。</w:t>
      </w:r>
    </w:p>
    <w:p w14:paraId="10A1F347">
      <w:pPr>
        <w:spacing w:line="360" w:lineRule="auto"/>
        <w:ind w:left="22" w:right="13" w:firstLine="484"/>
        <w:jc w:val="both"/>
        <w:outlineLvl w:val="9"/>
        <w:rPr>
          <w:rFonts w:ascii="宋体" w:hAnsi="宋体" w:eastAsia="宋体" w:cs="宋体"/>
          <w:sz w:val="24"/>
          <w:szCs w:val="24"/>
        </w:rPr>
      </w:pPr>
      <w:r>
        <w:rPr>
          <w:rFonts w:ascii="宋体" w:hAnsi="宋体" w:eastAsia="宋体" w:cs="宋体"/>
          <w:spacing w:val="-3"/>
          <w:sz w:val="24"/>
          <w:szCs w:val="24"/>
        </w:rPr>
        <w:t>二、中标、成交供应商为残疾人福利性单位的，采购人</w:t>
      </w:r>
      <w:r>
        <w:rPr>
          <w:rFonts w:ascii="宋体" w:hAnsi="宋体" w:eastAsia="宋体" w:cs="宋体"/>
          <w:spacing w:val="-4"/>
          <w:sz w:val="24"/>
          <w:szCs w:val="24"/>
        </w:rPr>
        <w:t>或者其委托的采购代</w:t>
      </w:r>
      <w:r>
        <w:rPr>
          <w:rFonts w:ascii="宋体" w:hAnsi="宋体" w:eastAsia="宋体" w:cs="宋体"/>
          <w:spacing w:val="-3"/>
          <w:sz w:val="24"/>
          <w:szCs w:val="24"/>
        </w:rPr>
        <w:t>理机构应当随中标、成交结果同时公告其《残疾人福利性单位声明函》，接受社会监督。</w:t>
      </w:r>
    </w:p>
    <w:p w14:paraId="515DED06">
      <w:pPr>
        <w:spacing w:before="53" w:line="360" w:lineRule="auto"/>
        <w:ind w:left="3105"/>
        <w:outlineLvl w:val="9"/>
        <w:rPr>
          <w:rFonts w:ascii="宋体" w:hAnsi="宋体" w:eastAsia="宋体" w:cs="宋体"/>
          <w:sz w:val="28"/>
          <w:szCs w:val="28"/>
        </w:rPr>
      </w:pPr>
      <w:r>
        <w:rPr>
          <w:rFonts w:ascii="宋体" w:hAnsi="宋体" w:eastAsia="宋体" w:cs="宋体"/>
          <w:b/>
          <w:bCs/>
          <w:spacing w:val="-4"/>
          <w:sz w:val="28"/>
          <w:szCs w:val="28"/>
        </w:rPr>
        <w:t>监狱企业证明函</w:t>
      </w:r>
    </w:p>
    <w:p w14:paraId="18A8ABE5">
      <w:pPr>
        <w:pStyle w:val="4"/>
        <w:spacing w:line="360" w:lineRule="auto"/>
        <w:outlineLvl w:val="9"/>
      </w:pPr>
    </w:p>
    <w:p w14:paraId="6B47A4FE">
      <w:pPr>
        <w:pStyle w:val="4"/>
        <w:spacing w:line="360" w:lineRule="auto"/>
        <w:outlineLvl w:val="9"/>
      </w:pPr>
    </w:p>
    <w:p w14:paraId="24018020">
      <w:pPr>
        <w:spacing w:before="79" w:line="360" w:lineRule="auto"/>
        <w:ind w:left="25" w:right="13" w:firstLine="479"/>
        <w:jc w:val="both"/>
        <w:outlineLvl w:val="9"/>
        <w:rPr>
          <w:rFonts w:ascii="宋体" w:hAnsi="宋体" w:eastAsia="宋体" w:cs="宋体"/>
          <w:sz w:val="24"/>
          <w:szCs w:val="24"/>
        </w:rPr>
      </w:pPr>
      <w:r>
        <w:rPr>
          <w:rFonts w:ascii="宋体" w:hAnsi="宋体" w:eastAsia="宋体" w:cs="宋体"/>
          <w:spacing w:val="-3"/>
          <w:sz w:val="24"/>
          <w:szCs w:val="24"/>
        </w:rPr>
        <w:t>监狱企业参加政府采购活动，要求享受相关优惠政策的，应当</w:t>
      </w:r>
      <w:r>
        <w:rPr>
          <w:rFonts w:ascii="宋体" w:hAnsi="宋体" w:eastAsia="宋体" w:cs="宋体"/>
          <w:spacing w:val="-4"/>
          <w:sz w:val="24"/>
          <w:szCs w:val="24"/>
        </w:rPr>
        <w:t>提供由省级以</w:t>
      </w:r>
      <w:r>
        <w:rPr>
          <w:rFonts w:ascii="宋体" w:hAnsi="宋体" w:eastAsia="宋体" w:cs="宋体"/>
          <w:spacing w:val="-3"/>
          <w:sz w:val="24"/>
          <w:szCs w:val="24"/>
        </w:rPr>
        <w:t>上监狱管理局、戒毒管理局（含新疆生产建设兵团）出具的属于监狱企业的证明</w:t>
      </w:r>
      <w:r>
        <w:rPr>
          <w:rFonts w:ascii="宋体" w:hAnsi="宋体" w:eastAsia="宋体" w:cs="宋体"/>
          <w:spacing w:val="-4"/>
          <w:sz w:val="24"/>
          <w:szCs w:val="24"/>
        </w:rPr>
        <w:t>文件。</w:t>
      </w:r>
    </w:p>
    <w:p w14:paraId="5D811B8F">
      <w:pPr>
        <w:spacing w:before="127" w:line="360" w:lineRule="auto"/>
        <w:ind w:left="23" w:right="13" w:firstLine="2"/>
        <w:jc w:val="both"/>
        <w:outlineLvl w:val="9"/>
        <w:rPr>
          <w:rFonts w:ascii="宋体" w:hAnsi="宋体" w:eastAsia="宋体" w:cs="宋体"/>
          <w:sz w:val="24"/>
          <w:szCs w:val="24"/>
        </w:rPr>
      </w:pPr>
      <w:r>
        <w:rPr>
          <w:rFonts w:ascii="宋体" w:hAnsi="宋体" w:eastAsia="宋体" w:cs="宋体"/>
          <w:spacing w:val="-6"/>
          <w:sz w:val="24"/>
          <w:szCs w:val="24"/>
        </w:rPr>
        <w:t>备注：财政部司法部《关于政府采购支持监狱企业发展</w:t>
      </w:r>
      <w:r>
        <w:rPr>
          <w:rFonts w:ascii="宋体" w:hAnsi="宋体" w:eastAsia="宋体" w:cs="宋体"/>
          <w:spacing w:val="-7"/>
          <w:sz w:val="24"/>
          <w:szCs w:val="24"/>
        </w:rPr>
        <w:t>有关问题的通知》（财库</w:t>
      </w:r>
      <w:r>
        <w:rPr>
          <w:rFonts w:ascii="宋体" w:hAnsi="宋体" w:eastAsia="宋体" w:cs="宋体"/>
          <w:spacing w:val="-1"/>
          <w:sz w:val="24"/>
          <w:szCs w:val="24"/>
        </w:rPr>
        <w:t>〔</w:t>
      </w:r>
      <w:r>
        <w:rPr>
          <w:rFonts w:ascii="Calibri" w:hAnsi="Calibri" w:eastAsia="Calibri" w:cs="Calibri"/>
          <w:spacing w:val="-1"/>
          <w:sz w:val="24"/>
          <w:szCs w:val="24"/>
        </w:rPr>
        <w:t>2014</w:t>
      </w:r>
      <w:r>
        <w:rPr>
          <w:rFonts w:ascii="宋体" w:hAnsi="宋体" w:eastAsia="宋体" w:cs="宋体"/>
          <w:spacing w:val="-1"/>
          <w:sz w:val="24"/>
          <w:szCs w:val="24"/>
        </w:rPr>
        <w:t>〕</w:t>
      </w:r>
      <w:r>
        <w:rPr>
          <w:rFonts w:ascii="Calibri" w:hAnsi="Calibri" w:eastAsia="Calibri" w:cs="Calibri"/>
          <w:spacing w:val="-1"/>
          <w:sz w:val="24"/>
          <w:szCs w:val="24"/>
        </w:rPr>
        <w:t>68</w:t>
      </w:r>
      <w:r>
        <w:rPr>
          <w:rFonts w:ascii="宋体" w:hAnsi="宋体" w:eastAsia="宋体" w:cs="宋体"/>
          <w:spacing w:val="-1"/>
          <w:sz w:val="24"/>
          <w:szCs w:val="24"/>
        </w:rPr>
        <w:t>号）规定，监狱企业是指由司法部认定的为罪犯、戒毒人员提供生</w:t>
      </w:r>
      <w:r>
        <w:rPr>
          <w:rFonts w:ascii="宋体" w:hAnsi="宋体" w:eastAsia="宋体" w:cs="宋体"/>
          <w:spacing w:val="-3"/>
          <w:sz w:val="24"/>
          <w:szCs w:val="24"/>
        </w:rPr>
        <w:t>产项目和劳动对象，且全部产权属于司法部监狱管理局、戒毒管理局、直属煤矿管理局，各省、自治区、直辖市监狱管理局、戒毒管理局，各地（设区的市）监狱、强制隔离戒毒所、戒毒康复所，以及新疆生产建设兵团监狱管理局、戒毒管</w:t>
      </w:r>
      <w:r>
        <w:rPr>
          <w:rFonts w:ascii="宋体" w:hAnsi="宋体" w:eastAsia="宋体" w:cs="宋体"/>
          <w:spacing w:val="-2"/>
          <w:sz w:val="24"/>
          <w:szCs w:val="24"/>
        </w:rPr>
        <w:t>理局的企业。</w:t>
      </w:r>
    </w:p>
    <w:p w14:paraId="7100CF53">
      <w:pPr>
        <w:spacing w:line="360" w:lineRule="auto"/>
        <w:outlineLvl w:val="9"/>
        <w:rPr>
          <w:rFonts w:ascii="宋体" w:hAnsi="宋体" w:eastAsia="宋体" w:cs="宋体"/>
          <w:sz w:val="24"/>
          <w:szCs w:val="24"/>
        </w:rPr>
        <w:sectPr>
          <w:footerReference r:id="rId30" w:type="default"/>
          <w:pgSz w:w="11906" w:h="16838"/>
          <w:pgMar w:top="1429" w:right="1786" w:bottom="1372" w:left="1786" w:header="0" w:footer="1208" w:gutter="0"/>
          <w:pgNumType w:fmt="decimal"/>
          <w:cols w:space="0" w:num="1"/>
          <w:rtlGutter w:val="0"/>
          <w:docGrid w:linePitch="0" w:charSpace="0"/>
        </w:sectPr>
      </w:pPr>
    </w:p>
    <w:p w14:paraId="0F57E408">
      <w:pPr>
        <w:spacing w:before="122" w:line="360" w:lineRule="auto"/>
        <w:ind w:left="42"/>
        <w:outlineLvl w:val="9"/>
        <w:rPr>
          <w:rFonts w:ascii="宋体" w:hAnsi="宋体" w:eastAsia="宋体" w:cs="宋体"/>
          <w:sz w:val="24"/>
          <w:szCs w:val="24"/>
        </w:rPr>
      </w:pPr>
      <w:r>
        <w:rPr>
          <w:rFonts w:ascii="宋体" w:hAnsi="宋体" w:eastAsia="宋体" w:cs="宋体"/>
          <w:b/>
          <w:bCs/>
          <w:spacing w:val="-4"/>
          <w:sz w:val="24"/>
          <w:szCs w:val="24"/>
        </w:rPr>
        <w:t>附件：信用承诺上报操作指南</w:t>
      </w:r>
    </w:p>
    <w:p w14:paraId="75B3BB56">
      <w:pPr>
        <w:spacing w:before="132" w:line="360" w:lineRule="auto"/>
        <w:ind w:firstLine="14"/>
        <w:outlineLvl w:val="9"/>
      </w:pPr>
      <w:r>
        <w:rPr>
          <w:position w:val="-109"/>
        </w:rPr>
        <w:drawing>
          <wp:inline distT="0" distB="0" distL="0" distR="0">
            <wp:extent cx="6111240" cy="3480435"/>
            <wp:effectExtent l="0" t="0" r="0" b="0"/>
            <wp:docPr id="30" name="IM 30"/>
            <wp:cNvGraphicFramePr/>
            <a:graphic xmlns:a="http://schemas.openxmlformats.org/drawingml/2006/main">
              <a:graphicData uri="http://schemas.openxmlformats.org/drawingml/2006/picture">
                <pic:pic xmlns:pic="http://schemas.openxmlformats.org/drawingml/2006/picture">
                  <pic:nvPicPr>
                    <pic:cNvPr id="30" name="IM 30"/>
                    <pic:cNvPicPr/>
                  </pic:nvPicPr>
                  <pic:blipFill>
                    <a:blip r:embed="rId53"/>
                    <a:stretch>
                      <a:fillRect/>
                    </a:stretch>
                  </pic:blipFill>
                  <pic:spPr>
                    <a:xfrm>
                      <a:off x="0" y="0"/>
                      <a:ext cx="6111240" cy="3480815"/>
                    </a:xfrm>
                    <a:prstGeom prst="rect">
                      <a:avLst/>
                    </a:prstGeom>
                  </pic:spPr>
                </pic:pic>
              </a:graphicData>
            </a:graphic>
          </wp:inline>
        </w:drawing>
      </w:r>
    </w:p>
    <w:p w14:paraId="7E99A367">
      <w:pPr>
        <w:pStyle w:val="4"/>
        <w:spacing w:line="360" w:lineRule="auto"/>
        <w:outlineLvl w:val="9"/>
      </w:pPr>
    </w:p>
    <w:p w14:paraId="6DC3BEA9">
      <w:pPr>
        <w:spacing w:line="360" w:lineRule="auto"/>
        <w:ind w:firstLine="14"/>
        <w:outlineLvl w:val="9"/>
      </w:pPr>
      <w:r>
        <w:rPr>
          <w:position w:val="-108"/>
        </w:rPr>
        <w:drawing>
          <wp:inline distT="0" distB="0" distL="0" distR="0">
            <wp:extent cx="6172200" cy="3448685"/>
            <wp:effectExtent l="0" t="0" r="0" b="0"/>
            <wp:docPr id="32" name="IM 32"/>
            <wp:cNvGraphicFramePr/>
            <a:graphic xmlns:a="http://schemas.openxmlformats.org/drawingml/2006/main">
              <a:graphicData uri="http://schemas.openxmlformats.org/drawingml/2006/picture">
                <pic:pic xmlns:pic="http://schemas.openxmlformats.org/drawingml/2006/picture">
                  <pic:nvPicPr>
                    <pic:cNvPr id="32" name="IM 32"/>
                    <pic:cNvPicPr/>
                  </pic:nvPicPr>
                  <pic:blipFill>
                    <a:blip r:embed="rId54"/>
                    <a:stretch>
                      <a:fillRect/>
                    </a:stretch>
                  </pic:blipFill>
                  <pic:spPr>
                    <a:xfrm>
                      <a:off x="0" y="0"/>
                      <a:ext cx="6172200" cy="3448811"/>
                    </a:xfrm>
                    <a:prstGeom prst="rect">
                      <a:avLst/>
                    </a:prstGeom>
                  </pic:spPr>
                </pic:pic>
              </a:graphicData>
            </a:graphic>
          </wp:inline>
        </w:drawing>
      </w:r>
    </w:p>
    <w:p w14:paraId="216D6403">
      <w:pPr>
        <w:spacing w:line="360" w:lineRule="auto"/>
        <w:outlineLvl w:val="9"/>
        <w:sectPr>
          <w:footerReference r:id="rId31" w:type="default"/>
          <w:pgSz w:w="11906" w:h="16838"/>
          <w:pgMar w:top="1429" w:right="1786" w:bottom="1372" w:left="1786" w:header="0" w:footer="1208" w:gutter="0"/>
          <w:pgNumType w:fmt="decimal"/>
          <w:cols w:space="0" w:num="1"/>
          <w:rtlGutter w:val="0"/>
          <w:docGrid w:linePitch="0" w:charSpace="0"/>
        </w:sectPr>
      </w:pPr>
    </w:p>
    <w:p w14:paraId="7D0AC7F5">
      <w:pPr>
        <w:spacing w:before="162" w:line="360" w:lineRule="auto"/>
        <w:ind w:firstLine="14"/>
        <w:outlineLvl w:val="9"/>
      </w:pPr>
      <w:r>
        <w:rPr>
          <w:position w:val="-106"/>
        </w:rPr>
        <w:drawing>
          <wp:inline distT="0" distB="0" distL="0" distR="0">
            <wp:extent cx="5976620" cy="3370580"/>
            <wp:effectExtent l="0" t="0" r="0" b="0"/>
            <wp:docPr id="34" name="IM 34"/>
            <wp:cNvGraphicFramePr/>
            <a:graphic xmlns:a="http://schemas.openxmlformats.org/drawingml/2006/main">
              <a:graphicData uri="http://schemas.openxmlformats.org/drawingml/2006/picture">
                <pic:pic xmlns:pic="http://schemas.openxmlformats.org/drawingml/2006/picture">
                  <pic:nvPicPr>
                    <pic:cNvPr id="34" name="IM 34"/>
                    <pic:cNvPicPr/>
                  </pic:nvPicPr>
                  <pic:blipFill>
                    <a:blip r:embed="rId55"/>
                    <a:stretch>
                      <a:fillRect/>
                    </a:stretch>
                  </pic:blipFill>
                  <pic:spPr>
                    <a:xfrm>
                      <a:off x="0" y="0"/>
                      <a:ext cx="5977128" cy="3371088"/>
                    </a:xfrm>
                    <a:prstGeom prst="rect">
                      <a:avLst/>
                    </a:prstGeom>
                  </pic:spPr>
                </pic:pic>
              </a:graphicData>
            </a:graphic>
          </wp:inline>
        </w:drawing>
      </w:r>
    </w:p>
    <w:p w14:paraId="791A9DCC">
      <w:pPr>
        <w:pStyle w:val="4"/>
        <w:spacing w:line="360" w:lineRule="auto"/>
        <w:outlineLvl w:val="9"/>
      </w:pPr>
    </w:p>
    <w:p w14:paraId="3943DFC5">
      <w:pPr>
        <w:pStyle w:val="4"/>
        <w:spacing w:line="360" w:lineRule="auto"/>
        <w:outlineLvl w:val="9"/>
      </w:pPr>
    </w:p>
    <w:p w14:paraId="5B9E6A67">
      <w:pPr>
        <w:spacing w:line="360" w:lineRule="auto"/>
        <w:ind w:firstLine="14"/>
        <w:outlineLvl w:val="9"/>
      </w:pPr>
      <w:r>
        <w:rPr>
          <w:position w:val="-106"/>
        </w:rPr>
        <w:drawing>
          <wp:inline distT="0" distB="0" distL="0" distR="0">
            <wp:extent cx="5993765" cy="3396615"/>
            <wp:effectExtent l="0" t="0" r="0" b="0"/>
            <wp:docPr id="36" name="IM 36"/>
            <wp:cNvGraphicFramePr/>
            <a:graphic xmlns:a="http://schemas.openxmlformats.org/drawingml/2006/main">
              <a:graphicData uri="http://schemas.openxmlformats.org/drawingml/2006/picture">
                <pic:pic xmlns:pic="http://schemas.openxmlformats.org/drawingml/2006/picture">
                  <pic:nvPicPr>
                    <pic:cNvPr id="36" name="IM 36"/>
                    <pic:cNvPicPr/>
                  </pic:nvPicPr>
                  <pic:blipFill>
                    <a:blip r:embed="rId56"/>
                    <a:stretch>
                      <a:fillRect/>
                    </a:stretch>
                  </pic:blipFill>
                  <pic:spPr>
                    <a:xfrm>
                      <a:off x="0" y="0"/>
                      <a:ext cx="5993891" cy="3396995"/>
                    </a:xfrm>
                    <a:prstGeom prst="rect">
                      <a:avLst/>
                    </a:prstGeom>
                  </pic:spPr>
                </pic:pic>
              </a:graphicData>
            </a:graphic>
          </wp:inline>
        </w:drawing>
      </w:r>
    </w:p>
    <w:p w14:paraId="3CE5EE5F">
      <w:pPr>
        <w:spacing w:line="360" w:lineRule="auto"/>
        <w:outlineLvl w:val="9"/>
        <w:sectPr>
          <w:footerReference r:id="rId32" w:type="default"/>
          <w:pgSz w:w="11906" w:h="16838"/>
          <w:pgMar w:top="1429" w:right="1786" w:bottom="1372" w:left="1786" w:header="0" w:footer="1208" w:gutter="0"/>
          <w:pgNumType w:fmt="decimal"/>
          <w:cols w:space="0" w:num="1"/>
          <w:rtlGutter w:val="0"/>
          <w:docGrid w:linePitch="0" w:charSpace="0"/>
        </w:sectPr>
      </w:pPr>
    </w:p>
    <w:p w14:paraId="3C0B761D">
      <w:pPr>
        <w:spacing w:before="131" w:line="360" w:lineRule="auto"/>
        <w:ind w:firstLine="14"/>
        <w:outlineLvl w:val="9"/>
      </w:pPr>
      <w:r>
        <w:rPr>
          <w:position w:val="-107"/>
        </w:rPr>
        <w:drawing>
          <wp:inline distT="0" distB="0" distL="0" distR="0">
            <wp:extent cx="6019800" cy="3402965"/>
            <wp:effectExtent l="0" t="0" r="0" b="0"/>
            <wp:docPr id="38" name="IM 38"/>
            <wp:cNvGraphicFramePr/>
            <a:graphic xmlns:a="http://schemas.openxmlformats.org/drawingml/2006/main">
              <a:graphicData uri="http://schemas.openxmlformats.org/drawingml/2006/picture">
                <pic:pic xmlns:pic="http://schemas.openxmlformats.org/drawingml/2006/picture">
                  <pic:nvPicPr>
                    <pic:cNvPr id="38" name="IM 38"/>
                    <pic:cNvPicPr/>
                  </pic:nvPicPr>
                  <pic:blipFill>
                    <a:blip r:embed="rId57"/>
                    <a:stretch>
                      <a:fillRect/>
                    </a:stretch>
                  </pic:blipFill>
                  <pic:spPr>
                    <a:xfrm>
                      <a:off x="0" y="0"/>
                      <a:ext cx="6019800" cy="3403091"/>
                    </a:xfrm>
                    <a:prstGeom prst="rect">
                      <a:avLst/>
                    </a:prstGeom>
                  </pic:spPr>
                </pic:pic>
              </a:graphicData>
            </a:graphic>
          </wp:inline>
        </w:drawing>
      </w:r>
    </w:p>
    <w:p w14:paraId="28DE7762">
      <w:pPr>
        <w:pStyle w:val="4"/>
        <w:spacing w:line="360" w:lineRule="auto"/>
        <w:outlineLvl w:val="9"/>
      </w:pPr>
    </w:p>
    <w:p w14:paraId="49688E86">
      <w:pPr>
        <w:pStyle w:val="4"/>
        <w:spacing w:line="360" w:lineRule="auto"/>
        <w:outlineLvl w:val="9"/>
      </w:pPr>
    </w:p>
    <w:p w14:paraId="4E795C76">
      <w:pPr>
        <w:spacing w:line="360" w:lineRule="auto"/>
        <w:ind w:firstLine="14"/>
        <w:outlineLvl w:val="9"/>
      </w:pPr>
      <w:r>
        <w:rPr>
          <w:position w:val="-107"/>
        </w:rPr>
        <w:drawing>
          <wp:inline distT="0" distB="0" distL="0" distR="0">
            <wp:extent cx="6025515" cy="3398520"/>
            <wp:effectExtent l="0" t="0" r="0" b="0"/>
            <wp:docPr id="40" name="IM 40"/>
            <wp:cNvGraphicFramePr/>
            <a:graphic xmlns:a="http://schemas.openxmlformats.org/drawingml/2006/main">
              <a:graphicData uri="http://schemas.openxmlformats.org/drawingml/2006/picture">
                <pic:pic xmlns:pic="http://schemas.openxmlformats.org/drawingml/2006/picture">
                  <pic:nvPicPr>
                    <pic:cNvPr id="40" name="IM 40"/>
                    <pic:cNvPicPr/>
                  </pic:nvPicPr>
                  <pic:blipFill>
                    <a:blip r:embed="rId58"/>
                    <a:stretch>
                      <a:fillRect/>
                    </a:stretch>
                  </pic:blipFill>
                  <pic:spPr>
                    <a:xfrm>
                      <a:off x="0" y="0"/>
                      <a:ext cx="6025895" cy="3398520"/>
                    </a:xfrm>
                    <a:prstGeom prst="rect">
                      <a:avLst/>
                    </a:prstGeom>
                  </pic:spPr>
                </pic:pic>
              </a:graphicData>
            </a:graphic>
          </wp:inline>
        </w:drawing>
      </w:r>
    </w:p>
    <w:p w14:paraId="48907B9E">
      <w:pPr>
        <w:spacing w:line="360" w:lineRule="auto"/>
        <w:outlineLvl w:val="9"/>
        <w:sectPr>
          <w:footerReference r:id="rId33" w:type="default"/>
          <w:pgSz w:w="11906" w:h="16838"/>
          <w:pgMar w:top="1429" w:right="1786" w:bottom="1372" w:left="1786" w:header="0" w:footer="1208" w:gutter="0"/>
          <w:pgNumType w:fmt="decimal"/>
          <w:cols w:space="0" w:num="1"/>
          <w:rtlGutter w:val="0"/>
          <w:docGrid w:linePitch="0" w:charSpace="0"/>
        </w:sectPr>
      </w:pPr>
    </w:p>
    <w:p w14:paraId="3364E8D8">
      <w:pPr>
        <w:spacing w:before="87" w:line="360" w:lineRule="auto"/>
        <w:ind w:firstLine="14"/>
        <w:outlineLvl w:val="9"/>
      </w:pPr>
      <w:r>
        <w:rPr>
          <w:position w:val="-108"/>
        </w:rPr>
        <w:drawing>
          <wp:inline distT="0" distB="0" distL="0" distR="0">
            <wp:extent cx="6085205" cy="3451225"/>
            <wp:effectExtent l="0" t="0" r="0" b="0"/>
            <wp:docPr id="42" name="IM 42"/>
            <wp:cNvGraphicFramePr/>
            <a:graphic xmlns:a="http://schemas.openxmlformats.org/drawingml/2006/main">
              <a:graphicData uri="http://schemas.openxmlformats.org/drawingml/2006/picture">
                <pic:pic xmlns:pic="http://schemas.openxmlformats.org/drawingml/2006/picture">
                  <pic:nvPicPr>
                    <pic:cNvPr id="42" name="IM 42"/>
                    <pic:cNvPicPr/>
                  </pic:nvPicPr>
                  <pic:blipFill>
                    <a:blip r:embed="rId59"/>
                    <a:stretch>
                      <a:fillRect/>
                    </a:stretch>
                  </pic:blipFill>
                  <pic:spPr>
                    <a:xfrm>
                      <a:off x="0" y="0"/>
                      <a:ext cx="6085332" cy="3451859"/>
                    </a:xfrm>
                    <a:prstGeom prst="rect">
                      <a:avLst/>
                    </a:prstGeom>
                  </pic:spPr>
                </pic:pic>
              </a:graphicData>
            </a:graphic>
          </wp:inline>
        </w:drawing>
      </w:r>
    </w:p>
    <w:p w14:paraId="77CFE032">
      <w:pPr>
        <w:pStyle w:val="4"/>
        <w:spacing w:line="360" w:lineRule="auto"/>
        <w:outlineLvl w:val="9"/>
      </w:pPr>
    </w:p>
    <w:p w14:paraId="62DA2378">
      <w:pPr>
        <w:spacing w:line="360" w:lineRule="auto"/>
        <w:ind w:firstLine="14"/>
        <w:outlineLvl w:val="9"/>
      </w:pPr>
      <w:r>
        <w:rPr>
          <w:position w:val="-109"/>
        </w:rPr>
        <w:drawing>
          <wp:inline distT="0" distB="0" distL="0" distR="0">
            <wp:extent cx="6120130" cy="3474720"/>
            <wp:effectExtent l="0" t="0" r="0" b="0"/>
            <wp:docPr id="44" name="IM 44"/>
            <wp:cNvGraphicFramePr/>
            <a:graphic xmlns:a="http://schemas.openxmlformats.org/drawingml/2006/main">
              <a:graphicData uri="http://schemas.openxmlformats.org/drawingml/2006/picture">
                <pic:pic xmlns:pic="http://schemas.openxmlformats.org/drawingml/2006/picture">
                  <pic:nvPicPr>
                    <pic:cNvPr id="44" name="IM 44"/>
                    <pic:cNvPicPr/>
                  </pic:nvPicPr>
                  <pic:blipFill>
                    <a:blip r:embed="rId60"/>
                    <a:stretch>
                      <a:fillRect/>
                    </a:stretch>
                  </pic:blipFill>
                  <pic:spPr>
                    <a:xfrm>
                      <a:off x="0" y="0"/>
                      <a:ext cx="6120383" cy="3474720"/>
                    </a:xfrm>
                    <a:prstGeom prst="rect">
                      <a:avLst/>
                    </a:prstGeom>
                  </pic:spPr>
                </pic:pic>
              </a:graphicData>
            </a:graphic>
          </wp:inline>
        </w:drawing>
      </w:r>
    </w:p>
    <w:p w14:paraId="6E8C6D0F">
      <w:pPr>
        <w:spacing w:line="360" w:lineRule="auto"/>
        <w:outlineLvl w:val="9"/>
        <w:sectPr>
          <w:footerReference r:id="rId34" w:type="default"/>
          <w:pgSz w:w="11906" w:h="16838"/>
          <w:pgMar w:top="1429" w:right="1786" w:bottom="1372" w:left="1786" w:header="0" w:footer="1208" w:gutter="0"/>
          <w:pgNumType w:fmt="decimal"/>
          <w:cols w:space="0" w:num="1"/>
          <w:rtlGutter w:val="0"/>
          <w:docGrid w:linePitch="0" w:charSpace="0"/>
        </w:sectPr>
      </w:pPr>
    </w:p>
    <w:p w14:paraId="40B5D09E">
      <w:pPr>
        <w:spacing w:before="147" w:line="360" w:lineRule="auto"/>
        <w:ind w:firstLine="14"/>
        <w:outlineLvl w:val="9"/>
      </w:pPr>
      <w:r>
        <w:rPr>
          <w:position w:val="-106"/>
        </w:rPr>
        <w:drawing>
          <wp:inline distT="0" distB="0" distL="0" distR="0">
            <wp:extent cx="5996940" cy="3375025"/>
            <wp:effectExtent l="0" t="0" r="0" b="0"/>
            <wp:docPr id="46" name="IM 46"/>
            <wp:cNvGraphicFramePr/>
            <a:graphic xmlns:a="http://schemas.openxmlformats.org/drawingml/2006/main">
              <a:graphicData uri="http://schemas.openxmlformats.org/drawingml/2006/picture">
                <pic:pic xmlns:pic="http://schemas.openxmlformats.org/drawingml/2006/picture">
                  <pic:nvPicPr>
                    <pic:cNvPr id="46" name="IM 46"/>
                    <pic:cNvPicPr/>
                  </pic:nvPicPr>
                  <pic:blipFill>
                    <a:blip r:embed="rId61"/>
                    <a:stretch>
                      <a:fillRect/>
                    </a:stretch>
                  </pic:blipFill>
                  <pic:spPr>
                    <a:xfrm>
                      <a:off x="0" y="0"/>
                      <a:ext cx="5996940" cy="3375659"/>
                    </a:xfrm>
                    <a:prstGeom prst="rect">
                      <a:avLst/>
                    </a:prstGeom>
                  </pic:spPr>
                </pic:pic>
              </a:graphicData>
            </a:graphic>
          </wp:inline>
        </w:drawing>
      </w:r>
    </w:p>
    <w:p w14:paraId="3D7E81A4">
      <w:pPr>
        <w:pStyle w:val="4"/>
        <w:spacing w:line="360" w:lineRule="auto"/>
        <w:outlineLvl w:val="9"/>
      </w:pPr>
    </w:p>
    <w:p w14:paraId="282E8EB0">
      <w:pPr>
        <w:pStyle w:val="4"/>
        <w:spacing w:line="360" w:lineRule="auto"/>
        <w:outlineLvl w:val="9"/>
      </w:pPr>
    </w:p>
    <w:p w14:paraId="325F7345">
      <w:pPr>
        <w:spacing w:line="360" w:lineRule="auto"/>
        <w:ind w:firstLine="14"/>
        <w:outlineLvl w:val="9"/>
      </w:pPr>
      <w:r>
        <w:rPr>
          <w:position w:val="-106"/>
        </w:rPr>
        <w:drawing>
          <wp:inline distT="0" distB="0" distL="0" distR="0">
            <wp:extent cx="6045200" cy="3382645"/>
            <wp:effectExtent l="0" t="0" r="0" b="0"/>
            <wp:docPr id="48" name="IM 48"/>
            <wp:cNvGraphicFramePr/>
            <a:graphic xmlns:a="http://schemas.openxmlformats.org/drawingml/2006/main">
              <a:graphicData uri="http://schemas.openxmlformats.org/drawingml/2006/picture">
                <pic:pic xmlns:pic="http://schemas.openxmlformats.org/drawingml/2006/picture">
                  <pic:nvPicPr>
                    <pic:cNvPr id="48" name="IM 48"/>
                    <pic:cNvPicPr/>
                  </pic:nvPicPr>
                  <pic:blipFill>
                    <a:blip r:embed="rId62"/>
                    <a:stretch>
                      <a:fillRect/>
                    </a:stretch>
                  </pic:blipFill>
                  <pic:spPr>
                    <a:xfrm>
                      <a:off x="0" y="0"/>
                      <a:ext cx="6045708" cy="3383279"/>
                    </a:xfrm>
                    <a:prstGeom prst="rect">
                      <a:avLst/>
                    </a:prstGeom>
                  </pic:spPr>
                </pic:pic>
              </a:graphicData>
            </a:graphic>
          </wp:inline>
        </w:drawing>
      </w:r>
    </w:p>
    <w:p w14:paraId="4EA80ABF">
      <w:pPr>
        <w:spacing w:line="360" w:lineRule="auto"/>
        <w:outlineLvl w:val="9"/>
        <w:sectPr>
          <w:footerReference r:id="rId35" w:type="default"/>
          <w:pgSz w:w="11906" w:h="16838"/>
          <w:pgMar w:top="1429" w:right="1786" w:bottom="1372" w:left="1786" w:header="0" w:footer="1208" w:gutter="0"/>
          <w:pgNumType w:fmt="decimal"/>
          <w:cols w:space="0" w:num="1"/>
          <w:rtlGutter w:val="0"/>
          <w:docGrid w:linePitch="0" w:charSpace="0"/>
        </w:sectPr>
      </w:pPr>
    </w:p>
    <w:p w14:paraId="349FB0E0">
      <w:pPr>
        <w:spacing w:before="131" w:line="360" w:lineRule="auto"/>
        <w:ind w:firstLine="14"/>
        <w:outlineLvl w:val="9"/>
      </w:pPr>
      <w:r>
        <w:rPr>
          <w:position w:val="-107"/>
        </w:rPr>
        <w:drawing>
          <wp:inline distT="0" distB="0" distL="0" distR="0">
            <wp:extent cx="6045200" cy="3410585"/>
            <wp:effectExtent l="0" t="0" r="0" b="0"/>
            <wp:docPr id="50" name="IM 50"/>
            <wp:cNvGraphicFramePr/>
            <a:graphic xmlns:a="http://schemas.openxmlformats.org/drawingml/2006/main">
              <a:graphicData uri="http://schemas.openxmlformats.org/drawingml/2006/picture">
                <pic:pic xmlns:pic="http://schemas.openxmlformats.org/drawingml/2006/picture">
                  <pic:nvPicPr>
                    <pic:cNvPr id="50" name="IM 50"/>
                    <pic:cNvPicPr/>
                  </pic:nvPicPr>
                  <pic:blipFill>
                    <a:blip r:embed="rId63"/>
                    <a:stretch>
                      <a:fillRect/>
                    </a:stretch>
                  </pic:blipFill>
                  <pic:spPr>
                    <a:xfrm>
                      <a:off x="0" y="0"/>
                      <a:ext cx="6045708" cy="3410711"/>
                    </a:xfrm>
                    <a:prstGeom prst="rect">
                      <a:avLst/>
                    </a:prstGeom>
                  </pic:spPr>
                </pic:pic>
              </a:graphicData>
            </a:graphic>
          </wp:inline>
        </w:drawing>
      </w:r>
    </w:p>
    <w:p w14:paraId="043E4473">
      <w:pPr>
        <w:spacing w:line="360" w:lineRule="auto"/>
        <w:outlineLvl w:val="9"/>
        <w:sectPr>
          <w:footerReference r:id="rId36" w:type="default"/>
          <w:pgSz w:w="11906" w:h="16838"/>
          <w:pgMar w:top="1429" w:right="1786" w:bottom="1372" w:left="1786" w:header="0" w:footer="1208" w:gutter="0"/>
          <w:pgNumType w:fmt="decimal"/>
          <w:cols w:space="0" w:num="1"/>
          <w:rtlGutter w:val="0"/>
          <w:docGrid w:linePitch="0" w:charSpace="0"/>
        </w:sectPr>
      </w:pPr>
    </w:p>
    <w:p w14:paraId="72895B5D">
      <w:pPr>
        <w:spacing w:before="163" w:line="360" w:lineRule="auto"/>
        <w:ind w:left="3175"/>
        <w:outlineLvl w:val="9"/>
        <w:rPr>
          <w:rFonts w:ascii="宋体" w:hAnsi="宋体" w:eastAsia="宋体" w:cs="宋体"/>
          <w:sz w:val="31"/>
          <w:szCs w:val="31"/>
        </w:rPr>
      </w:pPr>
      <w:r>
        <w:rPr>
          <w:rFonts w:hint="eastAsia" w:ascii="宋体" w:hAnsi="宋体" w:eastAsia="宋体" w:cs="宋体"/>
          <w:b/>
          <w:bCs/>
          <w:spacing w:val="4"/>
          <w:sz w:val="31"/>
          <w:szCs w:val="31"/>
          <w:lang w:val="en-US" w:eastAsia="zh-CN"/>
        </w:rPr>
        <w:t>第</w:t>
      </w:r>
      <w:r>
        <w:rPr>
          <w:rFonts w:ascii="宋体" w:hAnsi="宋体" w:eastAsia="宋体" w:cs="宋体"/>
          <w:b/>
          <w:bCs/>
          <w:spacing w:val="4"/>
          <w:sz w:val="31"/>
          <w:szCs w:val="31"/>
        </w:rPr>
        <w:t>二次谈判报价表</w:t>
      </w:r>
    </w:p>
    <w:p w14:paraId="3388CFCE">
      <w:pPr>
        <w:spacing w:line="360" w:lineRule="auto"/>
        <w:outlineLvl w:val="9"/>
      </w:pPr>
    </w:p>
    <w:tbl>
      <w:tblPr>
        <w:tblStyle w:val="13"/>
        <w:tblW w:w="903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988"/>
        <w:gridCol w:w="7044"/>
      </w:tblGrid>
      <w:tr w14:paraId="237C33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22" w:hRule="atLeast"/>
        </w:trPr>
        <w:tc>
          <w:tcPr>
            <w:tcW w:w="1988" w:type="dxa"/>
            <w:vAlign w:val="top"/>
          </w:tcPr>
          <w:p w14:paraId="1AF326D5">
            <w:pPr>
              <w:spacing w:line="360" w:lineRule="auto"/>
              <w:outlineLvl w:val="9"/>
              <w:rPr>
                <w:rFonts w:ascii="Arial"/>
                <w:sz w:val="21"/>
              </w:rPr>
            </w:pPr>
          </w:p>
          <w:p w14:paraId="296CD5CD">
            <w:pPr>
              <w:spacing w:line="360" w:lineRule="auto"/>
              <w:outlineLvl w:val="9"/>
              <w:rPr>
                <w:rFonts w:ascii="Arial"/>
                <w:sz w:val="21"/>
              </w:rPr>
            </w:pPr>
          </w:p>
          <w:p w14:paraId="4481CDD1">
            <w:pPr>
              <w:pStyle w:val="14"/>
              <w:spacing w:before="78" w:line="360" w:lineRule="auto"/>
              <w:ind w:left="281"/>
              <w:outlineLvl w:val="9"/>
            </w:pPr>
            <w:r>
              <w:rPr>
                <w:b/>
                <w:bCs/>
                <w:spacing w:val="-4"/>
              </w:rPr>
              <w:t>采购项目名称</w:t>
            </w:r>
          </w:p>
        </w:tc>
        <w:tc>
          <w:tcPr>
            <w:tcW w:w="7044" w:type="dxa"/>
            <w:vAlign w:val="top"/>
          </w:tcPr>
          <w:p w14:paraId="6F0D6D30">
            <w:pPr>
              <w:spacing w:line="360" w:lineRule="auto"/>
              <w:outlineLvl w:val="9"/>
              <w:rPr>
                <w:rFonts w:ascii="Arial"/>
                <w:sz w:val="21"/>
              </w:rPr>
            </w:pPr>
          </w:p>
        </w:tc>
      </w:tr>
      <w:tr w14:paraId="337F33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1" w:hRule="atLeast"/>
        </w:trPr>
        <w:tc>
          <w:tcPr>
            <w:tcW w:w="1988" w:type="dxa"/>
            <w:vAlign w:val="top"/>
          </w:tcPr>
          <w:p w14:paraId="796F22FA">
            <w:pPr>
              <w:pStyle w:val="14"/>
              <w:spacing w:before="263" w:line="360" w:lineRule="auto"/>
              <w:ind w:left="281"/>
              <w:outlineLvl w:val="9"/>
            </w:pPr>
            <w:r>
              <w:rPr>
                <w:b/>
                <w:bCs/>
                <w:spacing w:val="-4"/>
              </w:rPr>
              <w:t>采购项目编号</w:t>
            </w:r>
          </w:p>
        </w:tc>
        <w:tc>
          <w:tcPr>
            <w:tcW w:w="7044" w:type="dxa"/>
            <w:vAlign w:val="top"/>
          </w:tcPr>
          <w:p w14:paraId="1BCAA993">
            <w:pPr>
              <w:spacing w:line="360" w:lineRule="auto"/>
              <w:outlineLvl w:val="9"/>
              <w:rPr>
                <w:rFonts w:ascii="Arial"/>
                <w:sz w:val="21"/>
              </w:rPr>
            </w:pPr>
          </w:p>
        </w:tc>
      </w:tr>
      <w:tr w14:paraId="0566DF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62" w:hRule="atLeast"/>
        </w:trPr>
        <w:tc>
          <w:tcPr>
            <w:tcW w:w="1988" w:type="dxa"/>
            <w:vAlign w:val="top"/>
          </w:tcPr>
          <w:p w14:paraId="647E8B4F">
            <w:pPr>
              <w:pStyle w:val="14"/>
              <w:spacing w:before="276" w:line="360" w:lineRule="auto"/>
              <w:ind w:left="402"/>
              <w:outlineLvl w:val="9"/>
            </w:pPr>
            <w:r>
              <w:rPr>
                <w:b/>
                <w:bCs/>
                <w:spacing w:val="-4"/>
              </w:rPr>
              <w:t>供应商名称</w:t>
            </w:r>
          </w:p>
          <w:p w14:paraId="2BE2696C">
            <w:pPr>
              <w:pStyle w:val="14"/>
              <w:spacing w:before="183" w:line="360" w:lineRule="auto"/>
              <w:ind w:left="444"/>
              <w:outlineLvl w:val="9"/>
            </w:pPr>
            <w:r>
              <w:rPr>
                <w:b/>
                <w:bCs/>
                <w:spacing w:val="-11"/>
              </w:rPr>
              <w:t>(单位名称)</w:t>
            </w:r>
          </w:p>
        </w:tc>
        <w:tc>
          <w:tcPr>
            <w:tcW w:w="7044" w:type="dxa"/>
            <w:vAlign w:val="top"/>
          </w:tcPr>
          <w:p w14:paraId="45076D3A">
            <w:pPr>
              <w:spacing w:line="360" w:lineRule="auto"/>
              <w:outlineLvl w:val="9"/>
              <w:rPr>
                <w:rFonts w:ascii="Arial"/>
                <w:sz w:val="21"/>
              </w:rPr>
            </w:pPr>
          </w:p>
        </w:tc>
      </w:tr>
      <w:tr w14:paraId="06B47D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42" w:hRule="atLeast"/>
        </w:trPr>
        <w:tc>
          <w:tcPr>
            <w:tcW w:w="1988" w:type="dxa"/>
            <w:vAlign w:val="top"/>
          </w:tcPr>
          <w:p w14:paraId="441F2F27">
            <w:pPr>
              <w:spacing w:line="360" w:lineRule="auto"/>
              <w:outlineLvl w:val="9"/>
              <w:rPr>
                <w:rFonts w:ascii="Arial"/>
                <w:sz w:val="21"/>
              </w:rPr>
            </w:pPr>
          </w:p>
          <w:p w14:paraId="2E66ED6E">
            <w:pPr>
              <w:spacing w:line="360" w:lineRule="auto"/>
              <w:outlineLvl w:val="9"/>
              <w:rPr>
                <w:rFonts w:ascii="Arial"/>
                <w:sz w:val="21"/>
              </w:rPr>
            </w:pPr>
          </w:p>
          <w:p w14:paraId="43846815">
            <w:pPr>
              <w:spacing w:line="360" w:lineRule="auto"/>
              <w:outlineLvl w:val="9"/>
              <w:rPr>
                <w:rFonts w:ascii="Arial"/>
                <w:sz w:val="21"/>
              </w:rPr>
            </w:pPr>
          </w:p>
          <w:p w14:paraId="3FADAC46">
            <w:pPr>
              <w:pStyle w:val="14"/>
              <w:spacing w:before="78" w:line="360" w:lineRule="auto"/>
              <w:ind w:left="521"/>
              <w:outlineLvl w:val="9"/>
            </w:pPr>
            <w:r>
              <w:rPr>
                <w:b/>
                <w:bCs/>
                <w:spacing w:val="-5"/>
              </w:rPr>
              <w:t>谈判报价</w:t>
            </w:r>
          </w:p>
          <w:p w14:paraId="06B5B415">
            <w:pPr>
              <w:pStyle w:val="14"/>
              <w:spacing w:before="184" w:line="360" w:lineRule="auto"/>
              <w:ind w:left="414"/>
              <w:outlineLvl w:val="9"/>
            </w:pPr>
            <w:r>
              <w:rPr>
                <w:b/>
                <w:bCs/>
                <w:spacing w:val="-7"/>
              </w:rPr>
              <w:t>（人民币）</w:t>
            </w:r>
          </w:p>
        </w:tc>
        <w:tc>
          <w:tcPr>
            <w:tcW w:w="7044" w:type="dxa"/>
            <w:vAlign w:val="top"/>
          </w:tcPr>
          <w:p w14:paraId="7A6C876A">
            <w:pPr>
              <w:spacing w:line="360" w:lineRule="auto"/>
              <w:outlineLvl w:val="9"/>
              <w:rPr>
                <w:rFonts w:ascii="Arial"/>
                <w:sz w:val="21"/>
              </w:rPr>
            </w:pPr>
          </w:p>
          <w:p w14:paraId="14326B40">
            <w:pPr>
              <w:spacing w:line="360" w:lineRule="auto"/>
              <w:outlineLvl w:val="9"/>
              <w:rPr>
                <w:rFonts w:ascii="Arial"/>
                <w:sz w:val="21"/>
              </w:rPr>
            </w:pPr>
          </w:p>
          <w:p w14:paraId="382FFA17">
            <w:pPr>
              <w:pStyle w:val="14"/>
              <w:spacing w:before="78" w:line="360" w:lineRule="auto"/>
              <w:ind w:left="110"/>
              <w:outlineLvl w:val="9"/>
            </w:pPr>
            <w:r>
              <w:rPr>
                <w:b/>
                <w:bCs/>
                <w:spacing w:val="-14"/>
              </w:rPr>
              <w:t>人民币（大写</w:t>
            </w:r>
            <w:r>
              <w:rPr>
                <w:b/>
                <w:bCs/>
                <w:spacing w:val="-61"/>
              </w:rPr>
              <w:t>）：</w:t>
            </w:r>
            <w:r>
              <w:rPr>
                <w:b/>
                <w:bCs/>
                <w:spacing w:val="-14"/>
              </w:rPr>
              <w:t>元</w:t>
            </w:r>
          </w:p>
          <w:p w14:paraId="07277386">
            <w:pPr>
              <w:spacing w:line="360" w:lineRule="auto"/>
              <w:outlineLvl w:val="9"/>
              <w:rPr>
                <w:rFonts w:ascii="Arial"/>
                <w:sz w:val="21"/>
              </w:rPr>
            </w:pPr>
          </w:p>
          <w:p w14:paraId="093B806C">
            <w:pPr>
              <w:spacing w:line="360" w:lineRule="auto"/>
              <w:outlineLvl w:val="9"/>
              <w:rPr>
                <w:rFonts w:ascii="Arial"/>
                <w:sz w:val="21"/>
              </w:rPr>
            </w:pPr>
          </w:p>
          <w:p w14:paraId="692A1355">
            <w:pPr>
              <w:pStyle w:val="14"/>
              <w:spacing w:before="78" w:line="360" w:lineRule="auto"/>
              <w:ind w:left="110"/>
              <w:outlineLvl w:val="9"/>
            </w:pPr>
            <w:r>
              <w:rPr>
                <w:b/>
                <w:bCs/>
                <w:spacing w:val="-14"/>
              </w:rPr>
              <w:t>人民币（小写</w:t>
            </w:r>
            <w:r>
              <w:rPr>
                <w:b/>
                <w:bCs/>
                <w:spacing w:val="-61"/>
              </w:rPr>
              <w:t>）：</w:t>
            </w:r>
            <w:r>
              <w:rPr>
                <w:b/>
                <w:bCs/>
                <w:spacing w:val="-14"/>
              </w:rPr>
              <w:t>元</w:t>
            </w:r>
          </w:p>
        </w:tc>
      </w:tr>
      <w:tr w14:paraId="5BB1F7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43" w:hRule="atLeast"/>
        </w:trPr>
        <w:tc>
          <w:tcPr>
            <w:tcW w:w="1988" w:type="dxa"/>
            <w:vAlign w:val="top"/>
          </w:tcPr>
          <w:p w14:paraId="692FF84F">
            <w:pPr>
              <w:spacing w:line="360" w:lineRule="auto"/>
              <w:outlineLvl w:val="9"/>
              <w:rPr>
                <w:rFonts w:ascii="Arial"/>
                <w:sz w:val="21"/>
              </w:rPr>
            </w:pPr>
          </w:p>
          <w:p w14:paraId="597B971E">
            <w:pPr>
              <w:pStyle w:val="14"/>
              <w:spacing w:before="78" w:line="360" w:lineRule="auto"/>
              <w:ind w:left="644"/>
              <w:outlineLvl w:val="9"/>
            </w:pPr>
            <w:r>
              <w:rPr>
                <w:rFonts w:hint="eastAsia"/>
                <w:b/>
                <w:bCs/>
                <w:spacing w:val="-6"/>
                <w:lang w:val="en-US" w:eastAsia="zh-CN"/>
              </w:rPr>
              <w:t>服务</w:t>
            </w:r>
            <w:r>
              <w:rPr>
                <w:b/>
                <w:bCs/>
                <w:spacing w:val="-6"/>
              </w:rPr>
              <w:t>期</w:t>
            </w:r>
          </w:p>
        </w:tc>
        <w:tc>
          <w:tcPr>
            <w:tcW w:w="7044" w:type="dxa"/>
            <w:vAlign w:val="top"/>
          </w:tcPr>
          <w:p w14:paraId="6A977AAC">
            <w:pPr>
              <w:spacing w:line="360" w:lineRule="auto"/>
              <w:outlineLvl w:val="9"/>
              <w:rPr>
                <w:rFonts w:ascii="Arial"/>
                <w:sz w:val="21"/>
              </w:rPr>
            </w:pPr>
          </w:p>
        </w:tc>
      </w:tr>
      <w:tr w14:paraId="6D05C8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17" w:hRule="atLeast"/>
        </w:trPr>
        <w:tc>
          <w:tcPr>
            <w:tcW w:w="1988" w:type="dxa"/>
            <w:vAlign w:val="top"/>
          </w:tcPr>
          <w:p w14:paraId="1556DD45">
            <w:pPr>
              <w:spacing w:line="360" w:lineRule="auto"/>
              <w:outlineLvl w:val="9"/>
              <w:rPr>
                <w:rFonts w:ascii="Arial"/>
                <w:sz w:val="21"/>
              </w:rPr>
            </w:pPr>
          </w:p>
          <w:p w14:paraId="43FFA1E5">
            <w:pPr>
              <w:pStyle w:val="14"/>
              <w:spacing w:before="78" w:line="360" w:lineRule="auto"/>
              <w:ind w:left="767"/>
              <w:outlineLvl w:val="9"/>
            </w:pPr>
            <w:r>
              <w:rPr>
                <w:b/>
                <w:bCs/>
                <w:spacing w:val="-9"/>
              </w:rPr>
              <w:t>备注</w:t>
            </w:r>
          </w:p>
        </w:tc>
        <w:tc>
          <w:tcPr>
            <w:tcW w:w="7044" w:type="dxa"/>
            <w:vAlign w:val="top"/>
          </w:tcPr>
          <w:p w14:paraId="0BFE325C">
            <w:pPr>
              <w:spacing w:line="360" w:lineRule="auto"/>
              <w:outlineLvl w:val="9"/>
              <w:rPr>
                <w:rFonts w:ascii="Arial"/>
                <w:sz w:val="21"/>
              </w:rPr>
            </w:pPr>
          </w:p>
        </w:tc>
      </w:tr>
    </w:tbl>
    <w:p w14:paraId="3A358ED5">
      <w:pPr>
        <w:pStyle w:val="4"/>
        <w:spacing w:line="360" w:lineRule="auto"/>
        <w:outlineLvl w:val="9"/>
      </w:pPr>
    </w:p>
    <w:p w14:paraId="1664E491">
      <w:pPr>
        <w:pStyle w:val="4"/>
        <w:spacing w:line="360" w:lineRule="auto"/>
        <w:outlineLvl w:val="9"/>
      </w:pPr>
    </w:p>
    <w:p w14:paraId="08C9D433">
      <w:pPr>
        <w:pStyle w:val="4"/>
        <w:spacing w:line="360" w:lineRule="auto"/>
        <w:outlineLvl w:val="9"/>
      </w:pPr>
    </w:p>
    <w:p w14:paraId="00623AF9">
      <w:pPr>
        <w:pStyle w:val="4"/>
        <w:spacing w:line="360" w:lineRule="auto"/>
        <w:outlineLvl w:val="9"/>
      </w:pPr>
    </w:p>
    <w:p w14:paraId="66D466F6">
      <w:pPr>
        <w:pStyle w:val="4"/>
        <w:spacing w:line="360" w:lineRule="auto"/>
        <w:outlineLvl w:val="9"/>
      </w:pPr>
    </w:p>
    <w:p w14:paraId="16412159">
      <w:pPr>
        <w:pStyle w:val="4"/>
        <w:spacing w:line="360" w:lineRule="auto"/>
        <w:outlineLvl w:val="9"/>
      </w:pPr>
    </w:p>
    <w:p w14:paraId="68AB96FE">
      <w:pPr>
        <w:pStyle w:val="4"/>
        <w:spacing w:line="360" w:lineRule="auto"/>
        <w:outlineLvl w:val="9"/>
      </w:pPr>
    </w:p>
    <w:p w14:paraId="4B489022">
      <w:pPr>
        <w:spacing w:before="78" w:line="360" w:lineRule="auto"/>
        <w:ind w:left="2779"/>
        <w:outlineLvl w:val="9"/>
        <w:rPr>
          <w:rFonts w:hint="eastAsia" w:ascii="宋体" w:hAnsi="宋体" w:eastAsia="宋体" w:cs="宋体"/>
          <w:sz w:val="24"/>
          <w:szCs w:val="24"/>
          <w:lang w:eastAsia="zh-CN"/>
        </w:rPr>
      </w:pPr>
      <w:r>
        <w:rPr>
          <w:rFonts w:ascii="宋体" w:hAnsi="宋体" w:eastAsia="宋体" w:cs="宋体"/>
          <w:spacing w:val="-1"/>
          <w:sz w:val="24"/>
          <w:szCs w:val="24"/>
        </w:rPr>
        <w:t>法定代表人/负责人或被授权代表</w:t>
      </w:r>
      <w:r>
        <w:rPr>
          <w:rFonts w:ascii="宋体" w:hAnsi="宋体" w:eastAsia="宋体" w:cs="宋体"/>
          <w:spacing w:val="-56"/>
          <w:sz w:val="24"/>
          <w:szCs w:val="24"/>
        </w:rPr>
        <w:t>：</w:t>
      </w:r>
    </w:p>
    <w:p w14:paraId="3E60A754">
      <w:pPr>
        <w:spacing w:before="183" w:line="360" w:lineRule="auto"/>
        <w:ind w:left="2778"/>
        <w:outlineLvl w:val="9"/>
        <w:rPr>
          <w:rFonts w:hint="eastAsia" w:ascii="宋体" w:hAnsi="宋体" w:eastAsia="宋体" w:cs="宋体"/>
          <w:sz w:val="24"/>
          <w:szCs w:val="24"/>
          <w:lang w:eastAsia="zh-CN"/>
        </w:rPr>
      </w:pPr>
      <w:r>
        <w:rPr>
          <w:rFonts w:ascii="宋体" w:hAnsi="宋体" w:eastAsia="宋体" w:cs="宋体"/>
          <w:spacing w:val="-9"/>
          <w:sz w:val="24"/>
          <w:szCs w:val="24"/>
        </w:rPr>
        <w:t>供应商（公章</w:t>
      </w:r>
      <w:r>
        <w:rPr>
          <w:rFonts w:ascii="宋体" w:hAnsi="宋体" w:eastAsia="宋体" w:cs="宋体"/>
          <w:spacing w:val="-59"/>
          <w:sz w:val="24"/>
          <w:szCs w:val="24"/>
        </w:rPr>
        <w:t>）：</w:t>
      </w:r>
    </w:p>
    <w:p w14:paraId="397E4B98">
      <w:pPr>
        <w:spacing w:before="104" w:line="360" w:lineRule="auto"/>
        <w:ind w:left="2820"/>
        <w:outlineLvl w:val="9"/>
        <w:rPr>
          <w:rFonts w:hint="eastAsia" w:ascii="宋体" w:hAnsi="宋体" w:eastAsia="宋体" w:cs="宋体"/>
          <w:sz w:val="24"/>
          <w:szCs w:val="24"/>
          <w:lang w:eastAsia="zh-CN"/>
        </w:rPr>
      </w:pPr>
      <w:r>
        <w:rPr>
          <w:rFonts w:ascii="宋体" w:hAnsi="宋体" w:eastAsia="宋体" w:cs="宋体"/>
          <w:spacing w:val="-31"/>
          <w:sz w:val="24"/>
          <w:szCs w:val="24"/>
        </w:rPr>
        <w:t>日期：</w:t>
      </w:r>
    </w:p>
    <w:sectPr>
      <w:footerReference r:id="rId37" w:type="default"/>
      <w:pgSz w:w="11906" w:h="16838"/>
      <w:pgMar w:top="1429" w:right="1786" w:bottom="1372" w:left="1786" w:header="0" w:footer="1208" w:gutter="0"/>
      <w:pgNumType w:fmt="decimal"/>
      <w:cols w:space="0" w:num="1"/>
      <w:rtlGutter w:val="0"/>
      <w:docGrid w:linePitch="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幼圆">
    <w:panose1 w:val="0201050906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E31FCA">
    <w:pPr>
      <w:spacing w:line="168" w:lineRule="auto"/>
      <w:ind w:left="4567"/>
      <w:rPr>
        <w:rFonts w:hint="eastAsia" w:ascii="Calibri" w:hAnsi="Calibri" w:eastAsia="宋体" w:cs="Calibri"/>
        <w:sz w:val="18"/>
        <w:szCs w:val="18"/>
        <w:lang w:val="en-US" w:eastAsia="zh-CN"/>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E27064E">
                          <w:pPr>
                            <w:pStyle w:val="6"/>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1E27064E">
                    <w:pPr>
                      <w:pStyle w:val="6"/>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0BA35F">
    <w:pPr>
      <w:spacing w:line="169" w:lineRule="auto"/>
      <w:ind w:left="4719"/>
      <w:rPr>
        <w:rFonts w:ascii="Calibri" w:hAnsi="Calibri" w:eastAsia="Calibri" w:cs="Calibri"/>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4A7B08B">
                          <w:pPr>
                            <w:pStyle w:val="6"/>
                          </w:pPr>
                          <w:r>
                            <w:fldChar w:fldCharType="begin"/>
                          </w:r>
                          <w:r>
                            <w:instrText xml:space="preserve"> PAGE  \* MERGEFORMAT </w:instrText>
                          </w:r>
                          <w:r>
                            <w:fldChar w:fldCharType="separate"/>
                          </w:r>
                          <w:r>
                            <w:t>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04A7B08B">
                    <w:pPr>
                      <w:pStyle w:val="6"/>
                    </w:pPr>
                    <w:r>
                      <w:fldChar w:fldCharType="begin"/>
                    </w:r>
                    <w:r>
                      <w:instrText xml:space="preserve"> PAGE  \* MERGEFORMAT </w:instrText>
                    </w:r>
                    <w:r>
                      <w:fldChar w:fldCharType="separate"/>
                    </w:r>
                    <w:r>
                      <w:t>8</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1B7ACE">
    <w:pPr>
      <w:spacing w:line="169" w:lineRule="auto"/>
      <w:ind w:left="4048"/>
      <w:rPr>
        <w:rFonts w:ascii="Calibri" w:hAnsi="Calibri" w:eastAsia="Calibri" w:cs="Calibri"/>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7" name="文本框 4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1B0A0D6">
                          <w:pPr>
                            <w:pStyle w:val="6"/>
                          </w:pPr>
                          <w:r>
                            <w:fldChar w:fldCharType="begin"/>
                          </w:r>
                          <w:r>
                            <w:instrText xml:space="preserve"> PAGE  \* MERGEFORMAT </w:instrText>
                          </w:r>
                          <w:r>
                            <w:fldChar w:fldCharType="separate"/>
                          </w:r>
                          <w:r>
                            <w:t>27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OaguMzAgAAYwQAAA4AAABkcnMvZTJvRG9jLnhtbK1UzY7TMBC+I/EO&#10;lu80aYGlqp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X72hxDCNip++fzv9&#10;+HX6+ZXgDAI1LswQt3GIjO1b26JthvOAw8S7rbxOXzAi8EPe40Ve0UbC06XpZDrN4eLwDRvgZw/X&#10;nQ/xnbCaJKOgHvXrZGWH2xD70CEkZTN2LZXqaqgMaQp69fJ1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OaguMzAgAAYwQAAA4AAAAAAAAAAQAgAAAAHwEAAGRycy9lMm9Eb2MueG1sUEsF&#10;BgAAAAAGAAYAWQEAAMQFAAAAAA==&#10;">
              <v:fill on="f" focussize="0,0"/>
              <v:stroke on="f" weight="0.5pt"/>
              <v:imagedata o:title=""/>
              <o:lock v:ext="edit" aspectratio="f"/>
              <v:textbox inset="0mm,0mm,0mm,0mm" style="mso-fit-shape-to-text:t;">
                <w:txbxContent>
                  <w:p w14:paraId="71B0A0D6">
                    <w:pPr>
                      <w:pStyle w:val="6"/>
                    </w:pPr>
                    <w:r>
                      <w:fldChar w:fldCharType="begin"/>
                    </w:r>
                    <w:r>
                      <w:instrText xml:space="preserve"> PAGE  \* MERGEFORMAT </w:instrText>
                    </w:r>
                    <w:r>
                      <w:fldChar w:fldCharType="separate"/>
                    </w:r>
                    <w:r>
                      <w:t>27</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84FAD7">
    <w:pPr>
      <w:spacing w:line="176" w:lineRule="auto"/>
      <w:ind w:left="4080"/>
      <w:rPr>
        <w:rFonts w:ascii="Times New Roman" w:hAnsi="Times New Roman" w:eastAsia="Times New Roman" w:cs="Times New Roman"/>
        <w:sz w:val="18"/>
        <w:szCs w:val="18"/>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D5D947">
    <w:pPr>
      <w:spacing w:line="176" w:lineRule="auto"/>
      <w:ind w:left="4716"/>
      <w:rPr>
        <w:rFonts w:ascii="Times New Roman" w:hAnsi="Times New Roman" w:eastAsia="Times New Roman" w:cs="Times New Roman"/>
        <w:sz w:val="18"/>
        <w:szCs w:val="18"/>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CB3038">
    <w:pPr>
      <w:spacing w:line="176" w:lineRule="auto"/>
      <w:ind w:left="4710"/>
      <w:rPr>
        <w:rFonts w:ascii="Times New Roman" w:hAnsi="Times New Roman" w:eastAsia="Times New Roman" w:cs="Times New Roman"/>
        <w:sz w:val="18"/>
        <w:szCs w:val="18"/>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7EA18D">
    <w:pPr>
      <w:spacing w:line="169" w:lineRule="auto"/>
      <w:ind w:left="4089"/>
      <w:rPr>
        <w:rFonts w:ascii="Calibri" w:hAnsi="Calibri" w:eastAsia="Calibri" w:cs="Calibri"/>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5" name="文本框 5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323E6CC">
                          <w:pPr>
                            <w:pStyle w:val="6"/>
                          </w:pPr>
                          <w:r>
                            <w:fldChar w:fldCharType="begin"/>
                          </w:r>
                          <w:r>
                            <w:instrText xml:space="preserve"> PAGE  \* MERGEFORMAT </w:instrText>
                          </w:r>
                          <w:r>
                            <w:fldChar w:fldCharType="separate"/>
                          </w:r>
                          <w:r>
                            <w:t>36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J74X8zAgAAYw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KdFMoeKXH98v&#10;P39ffn0jOINAtfVzxO0sIkPzzjRom+Hc4zDybgqn4heMCPyQ93yVVzSB8HhpNpnNUrg4fMMG+MnT&#10;det8eC+MItHIqEP9WlnZaetDFzqExGzabCop2xpKTeqM3ryd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PJ74X8zAgAAYwQAAA4AAAAAAAAAAQAgAAAAHwEAAGRycy9lMm9Eb2MueG1sUEsF&#10;BgAAAAAGAAYAWQEAAMQFAAAAAA==&#10;">
              <v:fill on="f" focussize="0,0"/>
              <v:stroke on="f" weight="0.5pt"/>
              <v:imagedata o:title=""/>
              <o:lock v:ext="edit" aspectratio="f"/>
              <v:textbox inset="0mm,0mm,0mm,0mm" style="mso-fit-shape-to-text:t;">
                <w:txbxContent>
                  <w:p w14:paraId="7323E6CC">
                    <w:pPr>
                      <w:pStyle w:val="6"/>
                    </w:pPr>
                    <w:r>
                      <w:fldChar w:fldCharType="begin"/>
                    </w:r>
                    <w:r>
                      <w:instrText xml:space="preserve"> PAGE  \* MERGEFORMAT </w:instrText>
                    </w:r>
                    <w:r>
                      <w:fldChar w:fldCharType="separate"/>
                    </w:r>
                    <w:r>
                      <w:t>36</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DC212B">
    <w:pPr>
      <w:spacing w:line="169" w:lineRule="auto"/>
      <w:ind w:left="4079"/>
      <w:rPr>
        <w:rFonts w:ascii="Calibri" w:hAnsi="Calibri" w:eastAsia="Calibri" w:cs="Calibri"/>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6" name="文本框 5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B2FC03E">
                          <w:pPr>
                            <w:pStyle w:val="6"/>
                          </w:pPr>
                          <w:r>
                            <w:fldChar w:fldCharType="begin"/>
                          </w:r>
                          <w:r>
                            <w:instrText xml:space="preserve"> PAGE  \* MERGEFORMAT </w:instrText>
                          </w:r>
                          <w:r>
                            <w:fldChar w:fldCharType="separate"/>
                          </w:r>
                          <w:r>
                            <w:t>37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WFKJQzAgAAYwQAAA4AAABkcnMvZTJvRG9jLnhtbK1UzY7TMBC+I/EO&#10;lu80adFW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nyjN5MKdFMoeKXH98v&#10;P39ffn0jOINAtfVzxO0sIkPzzjRom+Hc4zDybgqn4heMCPyQ93yVVzSB8HhpNpnNUrg4fMMG+MnT&#10;det8eC+MItHIqEP9WlnZaetDFzqExGzabCop2xpKTeqMTt/epO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WFKJQzAgAAYwQAAA4AAAAAAAAAAQAgAAAAHwEAAGRycy9lMm9Eb2MueG1sUEsF&#10;BgAAAAAGAAYAWQEAAMQFAAAAAA==&#10;">
              <v:fill on="f" focussize="0,0"/>
              <v:stroke on="f" weight="0.5pt"/>
              <v:imagedata o:title=""/>
              <o:lock v:ext="edit" aspectratio="f"/>
              <v:textbox inset="0mm,0mm,0mm,0mm" style="mso-fit-shape-to-text:t;">
                <w:txbxContent>
                  <w:p w14:paraId="3B2FC03E">
                    <w:pPr>
                      <w:pStyle w:val="6"/>
                    </w:pPr>
                    <w:r>
                      <w:fldChar w:fldCharType="begin"/>
                    </w:r>
                    <w:r>
                      <w:instrText xml:space="preserve"> PAGE  \* MERGEFORMAT </w:instrText>
                    </w:r>
                    <w:r>
                      <w:fldChar w:fldCharType="separate"/>
                    </w:r>
                    <w:r>
                      <w:t>37</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893E0F">
    <w:pPr>
      <w:spacing w:line="168" w:lineRule="auto"/>
      <w:ind w:left="4079"/>
      <w:rPr>
        <w:rFonts w:ascii="Calibri" w:hAnsi="Calibri" w:eastAsia="Calibri" w:cs="Calibri"/>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7" name="文本框 5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5C07BB2">
                          <w:pPr>
                            <w:pStyle w:val="6"/>
                          </w:pPr>
                          <w:r>
                            <w:fldChar w:fldCharType="begin"/>
                          </w:r>
                          <w:r>
                            <w:instrText xml:space="preserve"> PAGE  \* MERGEFORMAT </w:instrText>
                          </w:r>
                          <w:r>
                            <w:fldChar w:fldCharType="separate"/>
                          </w:r>
                          <w:r>
                            <w:t>44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tv3szAgAAYwQAAA4AAABkcnMvZTJvRG9jLnhtbK1UzY7TMBC+I/EO&#10;lu80adEu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69oU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Dctv3szAgAAYwQAAA4AAAAAAAAAAQAgAAAAHwEAAGRycy9lMm9Eb2MueG1sUEsF&#10;BgAAAAAGAAYAWQEAAMQFAAAAAA==&#10;">
              <v:fill on="f" focussize="0,0"/>
              <v:stroke on="f" weight="0.5pt"/>
              <v:imagedata o:title=""/>
              <o:lock v:ext="edit" aspectratio="f"/>
              <v:textbox inset="0mm,0mm,0mm,0mm" style="mso-fit-shape-to-text:t;">
                <w:txbxContent>
                  <w:p w14:paraId="45C07BB2">
                    <w:pPr>
                      <w:pStyle w:val="6"/>
                    </w:pPr>
                    <w:r>
                      <w:fldChar w:fldCharType="begin"/>
                    </w:r>
                    <w:r>
                      <w:instrText xml:space="preserve"> PAGE  \* MERGEFORMAT </w:instrText>
                    </w:r>
                    <w:r>
                      <w:fldChar w:fldCharType="separate"/>
                    </w:r>
                    <w:r>
                      <w:t>44</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7AE061">
    <w:pPr>
      <w:spacing w:line="169" w:lineRule="auto"/>
      <w:ind w:left="4079"/>
      <w:rPr>
        <w:rFonts w:ascii="Calibri" w:hAnsi="Calibri" w:eastAsia="Calibri" w:cs="Calibri"/>
        <w:sz w:val="18"/>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58" name="文本框 5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EE360B">
                          <w:pPr>
                            <w:pStyle w:val="6"/>
                          </w:pPr>
                          <w:r>
                            <w:fldChar w:fldCharType="begin"/>
                          </w:r>
                          <w:r>
                            <w:instrText xml:space="preserve"> PAGE  \* MERGEFORMAT </w:instrText>
                          </w:r>
                          <w:r>
                            <w:fldChar w:fldCharType="separate"/>
                          </w:r>
                          <w:r>
                            <w:t>45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4ls4k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4ls4kzAgAAYwQAAA4AAAAAAAAAAQAgAAAAHwEAAGRycy9lMm9Eb2MueG1sUEsF&#10;BgAAAAAGAAYAWQEAAMQFAAAAAA==&#10;">
              <v:fill on="f" focussize="0,0"/>
              <v:stroke on="f" weight="0.5pt"/>
              <v:imagedata o:title=""/>
              <o:lock v:ext="edit" aspectratio="f"/>
              <v:textbox inset="0mm,0mm,0mm,0mm" style="mso-fit-shape-to-text:t;">
                <w:txbxContent>
                  <w:p w14:paraId="17EE360B">
                    <w:pPr>
                      <w:pStyle w:val="6"/>
                    </w:pPr>
                    <w:r>
                      <w:fldChar w:fldCharType="begin"/>
                    </w:r>
                    <w:r>
                      <w:instrText xml:space="preserve"> PAGE  \* MERGEFORMAT </w:instrText>
                    </w:r>
                    <w:r>
                      <w:fldChar w:fldCharType="separate"/>
                    </w:r>
                    <w:r>
                      <w:t>45</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FBE1A5">
    <w:pPr>
      <w:spacing w:line="169" w:lineRule="auto"/>
      <w:ind w:left="4079"/>
      <w:rPr>
        <w:rFonts w:ascii="Calibri" w:hAnsi="Calibri" w:eastAsia="Calibri" w:cs="Calibri"/>
        <w:sz w:val="18"/>
        <w:szCs w:val="18"/>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59" name="文本框 5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6A7208">
                          <w:pPr>
                            <w:pStyle w:val="6"/>
                          </w:pPr>
                          <w:r>
                            <w:fldChar w:fldCharType="begin"/>
                          </w:r>
                          <w:r>
                            <w:instrText xml:space="preserve"> PAGE  \* MERGEFORMAT </w:instrText>
                          </w:r>
                          <w:r>
                            <w:fldChar w:fldCharType="separate"/>
                          </w:r>
                          <w:r>
                            <w:t>46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yNJGYzAgAAYwQAAA4AAABkcnMvZTJvRG9jLnhtbK1UzY7TMBC+I/EO&#10;lu80adGu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9d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yNJGYzAgAAYwQAAA4AAAAAAAAAAQAgAAAAHwEAAGRycy9lMm9Eb2MueG1sUEsF&#10;BgAAAAAGAAYAWQEAAMQFAAAAAA==&#10;">
              <v:fill on="f" focussize="0,0"/>
              <v:stroke on="f" weight="0.5pt"/>
              <v:imagedata o:title=""/>
              <o:lock v:ext="edit" aspectratio="f"/>
              <v:textbox inset="0mm,0mm,0mm,0mm" style="mso-fit-shape-to-text:t;">
                <w:txbxContent>
                  <w:p w14:paraId="016A7208">
                    <w:pPr>
                      <w:pStyle w:val="6"/>
                    </w:pPr>
                    <w:r>
                      <w:fldChar w:fldCharType="begin"/>
                    </w:r>
                    <w:r>
                      <w:instrText xml:space="preserve"> PAGE  \* MERGEFORMAT </w:instrText>
                    </w:r>
                    <w:r>
                      <w:fldChar w:fldCharType="separate"/>
                    </w:r>
                    <w:r>
                      <w:t>46</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0903F0">
    <w:pPr>
      <w:spacing w:line="168" w:lineRule="auto"/>
      <w:ind w:left="4194"/>
      <w:rPr>
        <w:rFonts w:ascii="Calibri" w:hAnsi="Calibri" w:eastAsia="Calibri" w:cs="Calibri"/>
        <w:sz w:val="18"/>
        <w:szCs w:val="18"/>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60" name="文本框 6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83FF30A">
                          <w:pPr>
                            <w:pStyle w:val="6"/>
                          </w:pPr>
                          <w:r>
                            <w:fldChar w:fldCharType="begin"/>
                          </w:r>
                          <w:r>
                            <w:instrText xml:space="preserve"> PAGE  \* MERGEFORMAT </w:instrText>
                          </w:r>
                          <w:r>
                            <w:fldChar w:fldCharType="separate"/>
                          </w:r>
                          <w:r>
                            <w:t>47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eh/es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Hof3rMQIAAGMEAAAOAAAAAAAAAAEAIAAAAB8BAABkcnMvZTJvRG9jLnhtbFBLBQYA&#10;AAAABgAGAFkBAADCBQAAAAA=&#10;">
              <v:fill on="f" focussize="0,0"/>
              <v:stroke on="f" weight="0.5pt"/>
              <v:imagedata o:title=""/>
              <o:lock v:ext="edit" aspectratio="f"/>
              <v:textbox inset="0mm,0mm,0mm,0mm" style="mso-fit-shape-to-text:t;">
                <w:txbxContent>
                  <w:p w14:paraId="083FF30A">
                    <w:pPr>
                      <w:pStyle w:val="6"/>
                    </w:pPr>
                    <w:r>
                      <w:fldChar w:fldCharType="begin"/>
                    </w:r>
                    <w:r>
                      <w:instrText xml:space="preserve"> PAGE  \* MERGEFORMAT </w:instrText>
                    </w:r>
                    <w:r>
                      <w:fldChar w:fldCharType="separate"/>
                    </w:r>
                    <w:r>
                      <w:t>47</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8B714A">
    <w:pPr>
      <w:spacing w:line="168" w:lineRule="auto"/>
      <w:ind w:left="4079"/>
      <w:rPr>
        <w:rFonts w:ascii="Calibri" w:hAnsi="Calibri" w:eastAsia="Calibri" w:cs="Calibri"/>
        <w:sz w:val="18"/>
        <w:szCs w:val="18"/>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61" name="文本框 6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5C77150">
                          <w:pPr>
                            <w:pStyle w:val="6"/>
                          </w:pPr>
                          <w:r>
                            <w:fldChar w:fldCharType="begin"/>
                          </w:r>
                          <w:r>
                            <w:instrText xml:space="preserve"> PAGE  \* MERGEFORMAT </w:instrText>
                          </w:r>
                          <w:r>
                            <w:fldChar w:fldCharType="separate"/>
                          </w:r>
                          <w:r>
                            <w:t>48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UJagQ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FCWoEMQIAAGMEAAAOAAAAAAAAAAEAIAAAAB8BAABkcnMvZTJvRG9jLnhtbFBLBQYA&#10;AAAABgAGAFkBAADCBQAAAAA=&#10;">
              <v:fill on="f" focussize="0,0"/>
              <v:stroke on="f" weight="0.5pt"/>
              <v:imagedata o:title=""/>
              <o:lock v:ext="edit" aspectratio="f"/>
              <v:textbox inset="0mm,0mm,0mm,0mm" style="mso-fit-shape-to-text:t;">
                <w:txbxContent>
                  <w:p w14:paraId="15C77150">
                    <w:pPr>
                      <w:pStyle w:val="6"/>
                    </w:pPr>
                    <w:r>
                      <w:fldChar w:fldCharType="begin"/>
                    </w:r>
                    <w:r>
                      <w:instrText xml:space="preserve"> PAGE  \* MERGEFORMAT </w:instrText>
                    </w:r>
                    <w:r>
                      <w:fldChar w:fldCharType="separate"/>
                    </w:r>
                    <w:r>
                      <w:t>48</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70B307">
    <w:pPr>
      <w:spacing w:line="168" w:lineRule="auto"/>
      <w:ind w:left="4448"/>
      <w:rPr>
        <w:rFonts w:ascii="Calibri" w:hAnsi="Calibri" w:eastAsia="Calibri" w:cs="Calibri"/>
        <w:sz w:val="18"/>
        <w:szCs w:val="18"/>
      </w:rPr>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62" name="文本框 6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C45FB6E">
                          <w:pPr>
                            <w:pStyle w:val="6"/>
                          </w:pPr>
                          <w:r>
                            <w:fldChar w:fldCharType="begin"/>
                          </w:r>
                          <w:r>
                            <w:instrText xml:space="preserve"> PAGE  \* MERGEFORMAT </w:instrText>
                          </w:r>
                          <w:r>
                            <w:fldChar w:fldCharType="separate"/>
                          </w:r>
                          <w:r>
                            <w:t>50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L3o+8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3kwpMUyj4pfv3y4/&#10;fl1+fiU4g0C1C3PE7RwiY/PWNmib4TzgMPFuSq/TF4wI/JD3fJVXNJHwdGk2nc3GcHH4hg3ws8fr&#10;zof4TlhNkpFTj/q1srLTNsQudAhJ2YzdSKXaGipDapB4/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gvej7zICAABjBAAADgAAAAAAAAABACAAAAAfAQAAZHJzL2Uyb0RvYy54bWxQSwUG&#10;AAAAAAYABgBZAQAAwwUAAAAA&#10;">
              <v:fill on="f" focussize="0,0"/>
              <v:stroke on="f" weight="0.5pt"/>
              <v:imagedata o:title=""/>
              <o:lock v:ext="edit" aspectratio="f"/>
              <v:textbox inset="0mm,0mm,0mm,0mm" style="mso-fit-shape-to-text:t;">
                <w:txbxContent>
                  <w:p w14:paraId="1C45FB6E">
                    <w:pPr>
                      <w:pStyle w:val="6"/>
                    </w:pPr>
                    <w:r>
                      <w:fldChar w:fldCharType="begin"/>
                    </w:r>
                    <w:r>
                      <w:instrText xml:space="preserve"> PAGE  \* MERGEFORMAT </w:instrText>
                    </w:r>
                    <w:r>
                      <w:fldChar w:fldCharType="separate"/>
                    </w:r>
                    <w:r>
                      <w:t>50</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E0993F">
    <w:pPr>
      <w:spacing w:line="169" w:lineRule="auto"/>
      <w:ind w:left="4439"/>
      <w:rPr>
        <w:rFonts w:ascii="Calibri" w:hAnsi="Calibri" w:eastAsia="Calibri" w:cs="Calibri"/>
        <w:sz w:val="18"/>
        <w:szCs w:val="18"/>
      </w:rPr>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63" name="文本框 6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8B68586">
                          <w:pPr>
                            <w:pStyle w:val="6"/>
                          </w:pPr>
                          <w:r>
                            <w:fldChar w:fldCharType="begin"/>
                          </w:r>
                          <w:r>
                            <w:instrText xml:space="preserve"> PAGE  \* MERGEFORMAT </w:instrText>
                          </w:r>
                          <w:r>
                            <w:fldChar w:fldCharType="separate"/>
                          </w:r>
                          <w:r>
                            <w:t>52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BfNAA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AXzQAMQIAAGMEAAAOAAAAAAAAAAEAIAAAAB8BAABkcnMvZTJvRG9jLnhtbFBLBQYA&#10;AAAABgAGAFkBAADCBQAAAAA=&#10;">
              <v:fill on="f" focussize="0,0"/>
              <v:stroke on="f" weight="0.5pt"/>
              <v:imagedata o:title=""/>
              <o:lock v:ext="edit" aspectratio="f"/>
              <v:textbox inset="0mm,0mm,0mm,0mm" style="mso-fit-shape-to-text:t;">
                <w:txbxContent>
                  <w:p w14:paraId="18B68586">
                    <w:pPr>
                      <w:pStyle w:val="6"/>
                    </w:pPr>
                    <w:r>
                      <w:fldChar w:fldCharType="begin"/>
                    </w:r>
                    <w:r>
                      <w:instrText xml:space="preserve"> PAGE  \* MERGEFORMAT </w:instrText>
                    </w:r>
                    <w:r>
                      <w:fldChar w:fldCharType="separate"/>
                    </w:r>
                    <w:r>
                      <w:t>52</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8F67ED">
    <w:pPr>
      <w:spacing w:line="169" w:lineRule="auto"/>
      <w:ind w:left="4440"/>
      <w:rPr>
        <w:rFonts w:ascii="Calibri" w:hAnsi="Calibri" w:eastAsia="Calibri" w:cs="Calibri"/>
        <w:sz w:val="18"/>
        <w:szCs w:val="18"/>
      </w:rPr>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64" name="文本框 6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D9E0DCD">
                          <w:pPr>
                            <w:pStyle w:val="6"/>
                          </w:pPr>
                          <w:r>
                            <w:fldChar w:fldCharType="begin"/>
                          </w:r>
                          <w:r>
                            <w:instrText xml:space="preserve"> PAGE  \* MERGEFORMAT </w:instrText>
                          </w:r>
                          <w:r>
                            <w:fldChar w:fldCharType="separate"/>
                          </w:r>
                          <w:r>
                            <w:t>53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0MQeM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OoNJYZpVPz04/vp&#10;58Pp1zeCMwjUuDBD3L1DZGzf2RZtM5wHHCbebeV1+oIRgR/yHi/yijYSni5NJ9NpDheHb9gAP3u8&#10;7nyI74XVJBkF9ahfJys7bELsQ4eQlM3YtVSqq6EypAGJ12/z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0MQeMzAgAAYwQAAA4AAAAAAAAAAQAgAAAAHwEAAGRycy9lMm9Eb2MueG1sUEsF&#10;BgAAAAAGAAYAWQEAAMQFAAAAAA==&#10;">
              <v:fill on="f" focussize="0,0"/>
              <v:stroke on="f" weight="0.5pt"/>
              <v:imagedata o:title=""/>
              <o:lock v:ext="edit" aspectratio="f"/>
              <v:textbox inset="0mm,0mm,0mm,0mm" style="mso-fit-shape-to-text:t;">
                <w:txbxContent>
                  <w:p w14:paraId="1D9E0DCD">
                    <w:pPr>
                      <w:pStyle w:val="6"/>
                    </w:pPr>
                    <w:r>
                      <w:fldChar w:fldCharType="begin"/>
                    </w:r>
                    <w:r>
                      <w:instrText xml:space="preserve"> PAGE  \* MERGEFORMAT </w:instrText>
                    </w:r>
                    <w:r>
                      <w:fldChar w:fldCharType="separate"/>
                    </w:r>
                    <w:r>
                      <w:t>53</w:t>
                    </w:r>
                    <w:r>
                      <w:fldChar w:fldCharType="end"/>
                    </w:r>
                  </w:p>
                </w:txbxContent>
              </v:textbox>
            </v:shape>
          </w:pict>
        </mc:Fallback>
      </mc:AlternateContent>
    </w:r>
    <w:r>
      <w:rPr>
        <w:rFonts w:ascii="Calibri" w:hAnsi="Calibri" w:eastAsia="Calibri" w:cs="Calibri"/>
        <w:spacing w:val="-3"/>
        <w:sz w:val="18"/>
        <w:szCs w:val="18"/>
      </w:rPr>
      <w:t>49</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E5D5E3">
    <w:pPr>
      <w:spacing w:line="169" w:lineRule="auto"/>
      <w:ind w:left="4083"/>
      <w:rPr>
        <w:rFonts w:ascii="Calibri" w:hAnsi="Calibri" w:eastAsia="Calibri" w:cs="Calibri"/>
        <w:sz w:val="18"/>
        <w:szCs w:val="18"/>
      </w:rPr>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65" name="文本框 6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692D8C3">
                          <w:pPr>
                            <w:pStyle w:val="6"/>
                          </w:pPr>
                          <w:r>
                            <w:fldChar w:fldCharType="begin"/>
                          </w:r>
                          <w:r>
                            <w:instrText xml:space="preserve"> PAGE  \* MERGEFORMAT </w:instrText>
                          </w:r>
                          <w:r>
                            <w:fldChar w:fldCharType="separate"/>
                          </w:r>
                          <w:r>
                            <w:t>54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1gw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1gwzAgAAYwQAAA4AAAAAAAAAAQAgAAAAHwEAAGRycy9lMm9Eb2MueG1sUEsF&#10;BgAAAAAGAAYAWQEAAMQFAAAAAA==&#10;">
              <v:fill on="f" focussize="0,0"/>
              <v:stroke on="f" weight="0.5pt"/>
              <v:imagedata o:title=""/>
              <o:lock v:ext="edit" aspectratio="f"/>
              <v:textbox inset="0mm,0mm,0mm,0mm" style="mso-fit-shape-to-text:t;">
                <w:txbxContent>
                  <w:p w14:paraId="1692D8C3">
                    <w:pPr>
                      <w:pStyle w:val="6"/>
                    </w:pPr>
                    <w:r>
                      <w:fldChar w:fldCharType="begin"/>
                    </w:r>
                    <w:r>
                      <w:instrText xml:space="preserve"> PAGE  \* MERGEFORMAT </w:instrText>
                    </w:r>
                    <w:r>
                      <w:fldChar w:fldCharType="separate"/>
                    </w:r>
                    <w:r>
                      <w:t>54</w:t>
                    </w:r>
                    <w:r>
                      <w:fldChar w:fldCharType="end"/>
                    </w:r>
                  </w:p>
                </w:txbxContent>
              </v:textbox>
            </v:shape>
          </w:pict>
        </mc:Fallback>
      </mc:AlternateContent>
    </w:r>
    <w:r>
      <w:rPr>
        <w:rFonts w:ascii="Calibri" w:hAnsi="Calibri" w:eastAsia="Calibri" w:cs="Calibri"/>
        <w:spacing w:val="-5"/>
        <w:sz w:val="18"/>
        <w:szCs w:val="18"/>
      </w:rPr>
      <w:t>50</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8B6906">
    <w:pPr>
      <w:spacing w:line="168" w:lineRule="auto"/>
      <w:ind w:left="4083"/>
      <w:rPr>
        <w:rFonts w:ascii="Calibri" w:hAnsi="Calibri" w:eastAsia="Calibri" w:cs="Calibri"/>
        <w:sz w:val="18"/>
        <w:szCs w:val="18"/>
      </w:rPr>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66" name="文本框 6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2B77821">
                          <w:pPr>
                            <w:pStyle w:val="6"/>
                          </w:pPr>
                          <w:r>
                            <w:fldChar w:fldCharType="begin"/>
                          </w:r>
                          <w:r>
                            <w:instrText xml:space="preserve"> PAGE  \* MERGEFORMAT </w:instrText>
                          </w:r>
                          <w:r>
                            <w:fldChar w:fldCharType="separate"/>
                          </w:r>
                          <w:r>
                            <w:t>55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haH+c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CFof5zICAABjBAAADgAAAAAAAAABACAAAAAfAQAAZHJzL2Uyb0RvYy54bWxQSwUG&#10;AAAAAAYABgBZAQAAwwUAAAAA&#10;">
              <v:fill on="f" focussize="0,0"/>
              <v:stroke on="f" weight="0.5pt"/>
              <v:imagedata o:title=""/>
              <o:lock v:ext="edit" aspectratio="f"/>
              <v:textbox inset="0mm,0mm,0mm,0mm" style="mso-fit-shape-to-text:t;">
                <w:txbxContent>
                  <w:p w14:paraId="42B77821">
                    <w:pPr>
                      <w:pStyle w:val="6"/>
                    </w:pPr>
                    <w:r>
                      <w:fldChar w:fldCharType="begin"/>
                    </w:r>
                    <w:r>
                      <w:instrText xml:space="preserve"> PAGE  \* MERGEFORMAT </w:instrText>
                    </w:r>
                    <w:r>
                      <w:fldChar w:fldCharType="separate"/>
                    </w:r>
                    <w:r>
                      <w:t>55</w:t>
                    </w:r>
                    <w:r>
                      <w:fldChar w:fldCharType="end"/>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7E5770">
    <w:pPr>
      <w:spacing w:line="169" w:lineRule="auto"/>
      <w:ind w:left="4083"/>
      <w:rPr>
        <w:rFonts w:ascii="Calibri" w:hAnsi="Calibri" w:eastAsia="Calibri" w:cs="Calibri"/>
        <w:sz w:val="18"/>
        <w:szCs w:val="18"/>
      </w:rPr>
    </w:pPr>
    <w:r>
      <w:rPr>
        <w:sz w:val="18"/>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67" name="文本框 6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E3E3E07">
                          <w:pPr>
                            <w:pStyle w:val="6"/>
                          </w:pPr>
                          <w:r>
                            <w:fldChar w:fldCharType="begin"/>
                          </w:r>
                          <w:r>
                            <w:instrText xml:space="preserve"> PAGE  \* MERGEFORMAT </w:instrText>
                          </w:r>
                          <w:r>
                            <w:fldChar w:fldCharType="separate"/>
                          </w:r>
                          <w:r>
                            <w:t>56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yiAg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OotJYZpVPz04/vp&#10;58Pp1zeCMwjUuDBD3L1DZGzf2RZtM5wHHCbebeV1+oIRgR/yHi/yijYSni5NJ9NpDheHb9gAP3u8&#10;7nyI74XVJBkF9ahfJys7bELsQ4eQlM3YtVSqq6EypAGJ12/y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ryiAgzAgAAYwQAAA4AAAAAAAAAAQAgAAAAHwEAAGRycy9lMm9Eb2MueG1sUEsF&#10;BgAAAAAGAAYAWQEAAMQFAAAAAA==&#10;">
              <v:fill on="f" focussize="0,0"/>
              <v:stroke on="f" weight="0.5pt"/>
              <v:imagedata o:title=""/>
              <o:lock v:ext="edit" aspectratio="f"/>
              <v:textbox inset="0mm,0mm,0mm,0mm" style="mso-fit-shape-to-text:t;">
                <w:txbxContent>
                  <w:p w14:paraId="1E3E3E07">
                    <w:pPr>
                      <w:pStyle w:val="6"/>
                    </w:pPr>
                    <w:r>
                      <w:fldChar w:fldCharType="begin"/>
                    </w:r>
                    <w:r>
                      <w:instrText xml:space="preserve"> PAGE  \* MERGEFORMAT </w:instrText>
                    </w:r>
                    <w:r>
                      <w:fldChar w:fldCharType="separate"/>
                    </w:r>
                    <w:r>
                      <w:t>56</w:t>
                    </w:r>
                    <w:r>
                      <w:fldChar w:fldCharType="end"/>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C95C7B">
    <w:pPr>
      <w:spacing w:line="169" w:lineRule="auto"/>
      <w:ind w:left="4319"/>
      <w:rPr>
        <w:rFonts w:ascii="Calibri" w:hAnsi="Calibri" w:eastAsia="Calibri" w:cs="Calibri"/>
        <w:sz w:val="18"/>
        <w:szCs w:val="18"/>
      </w:rPr>
    </w:pPr>
    <w:r>
      <w:rPr>
        <w:sz w:val="18"/>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68" name="文本框 6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20DB516">
                          <w:pPr>
                            <w:pStyle w:val="6"/>
                          </w:pPr>
                          <w:r>
                            <w:fldChar w:fldCharType="begin"/>
                          </w:r>
                          <w:r>
                            <w:instrText xml:space="preserve"> PAGE  \* MERGEFORMAT </w:instrText>
                          </w:r>
                          <w:r>
                            <w:fldChar w:fldCharType="separate"/>
                          </w:r>
                          <w:r>
                            <w:t>57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P6hPo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T+oT6MQIAAGMEAAAOAAAAAAAAAAEAIAAAAB8BAABkcnMvZTJvRG9jLnhtbFBLBQYA&#10;AAAABgAGAFkBAADCBQAAAAA=&#10;">
              <v:fill on="f" focussize="0,0"/>
              <v:stroke on="f" weight="0.5pt"/>
              <v:imagedata o:title=""/>
              <o:lock v:ext="edit" aspectratio="f"/>
              <v:textbox inset="0mm,0mm,0mm,0mm" style="mso-fit-shape-to-text:t;">
                <w:txbxContent>
                  <w:p w14:paraId="420DB516">
                    <w:pPr>
                      <w:pStyle w:val="6"/>
                    </w:pPr>
                    <w:r>
                      <w:fldChar w:fldCharType="begin"/>
                    </w:r>
                    <w:r>
                      <w:instrText xml:space="preserve"> PAGE  \* MERGEFORMAT </w:instrText>
                    </w:r>
                    <w:r>
                      <w:fldChar w:fldCharType="separate"/>
                    </w:r>
                    <w:r>
                      <w:t>57</w:t>
                    </w:r>
                    <w:r>
                      <w:fldChar w:fldCharType="end"/>
                    </w:r>
                  </w:p>
                </w:txbxContent>
              </v:textbox>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C60FA4">
    <w:pPr>
      <w:spacing w:line="167" w:lineRule="auto"/>
      <w:ind w:left="4281"/>
      <w:rPr>
        <w:rFonts w:ascii="Calibri" w:hAnsi="Calibri" w:eastAsia="Calibri" w:cs="Calibri"/>
        <w:sz w:val="18"/>
        <w:szCs w:val="18"/>
      </w:rPr>
    </w:pPr>
    <w:r>
      <w:rPr>
        <w:sz w:val="18"/>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70" name="文本框 7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6FB84AC">
                          <w:pPr>
                            <w:pStyle w:val="6"/>
                          </w:pPr>
                          <w:r>
                            <w:fldChar w:fldCharType="begin"/>
                          </w:r>
                          <w:r>
                            <w:instrText xml:space="preserve"> PAGE  \* MERGEFORMAT </w:instrText>
                          </w:r>
                          <w:r>
                            <w:fldChar w:fldCharType="separate"/>
                          </w:r>
                          <w:r>
                            <w:t>59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MWwHM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C0kMUyj4qcf308/&#10;H06/vhGcQaDGhRni7h0iY/vOtmib4TzgMPFuK6/TF4wI/MA6XuQVbSQ8XZpOptMcLg7fsAF+9njd&#10;+RDfC6tJMgrqUb9OVnbYhNiHDiEpm7FrqVRXQ2VIU9Cr12/y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MWwHMzAgAAYwQAAA4AAAAAAAAAAQAgAAAAHwEAAGRycy9lMm9Eb2MueG1sUEsF&#10;BgAAAAAGAAYAWQEAAMQFAAAAAA==&#10;">
              <v:fill on="f" focussize="0,0"/>
              <v:stroke on="f" weight="0.5pt"/>
              <v:imagedata o:title=""/>
              <o:lock v:ext="edit" aspectratio="f"/>
              <v:textbox inset="0mm,0mm,0mm,0mm" style="mso-fit-shape-to-text:t;">
                <w:txbxContent>
                  <w:p w14:paraId="16FB84AC">
                    <w:pPr>
                      <w:pStyle w:val="6"/>
                    </w:pPr>
                    <w:r>
                      <w:fldChar w:fldCharType="begin"/>
                    </w:r>
                    <w:r>
                      <w:instrText xml:space="preserve"> PAGE  \* MERGEFORMAT </w:instrText>
                    </w:r>
                    <w:r>
                      <w:fldChar w:fldCharType="separate"/>
                    </w:r>
                    <w:r>
                      <w:t>59</w:t>
                    </w:r>
                    <w:r>
                      <w:fldChar w:fldCharType="end"/>
                    </w:r>
                  </w:p>
                </w:txbxContent>
              </v:textbox>
            </v:shape>
          </w:pict>
        </mc:Fallback>
      </mc:AlternateConten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53F08A">
    <w:pPr>
      <w:spacing w:line="169" w:lineRule="auto"/>
      <w:ind w:left="4083"/>
      <w:rPr>
        <w:rFonts w:ascii="Calibri" w:hAnsi="Calibri" w:eastAsia="Calibri" w:cs="Calibri"/>
        <w:sz w:val="18"/>
        <w:szCs w:val="18"/>
      </w:rPr>
    </w:pPr>
    <w:r>
      <w:rPr>
        <w:sz w:val="18"/>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71" name="文本框 7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3698218">
                          <w:pPr>
                            <w:pStyle w:val="6"/>
                          </w:pPr>
                          <w:r>
                            <w:fldChar w:fldCharType="begin"/>
                          </w:r>
                          <w:r>
                            <w:instrText xml:space="preserve"> PAGE  \* MERGEFORMAT </w:instrText>
                          </w:r>
                          <w:r>
                            <w:fldChar w:fldCharType="separate"/>
                          </w:r>
                          <w:r>
                            <w:t>60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G+V5wzAgAAYwQAAA4AAAAAAAAAAQAgAAAAHwEAAGRycy9lMm9Eb2MueG1sUEsF&#10;BgAAAAAGAAYAWQEAAMQFAAAAAA==&#10;">
              <v:fill on="f" focussize="0,0"/>
              <v:stroke on="f" weight="0.5pt"/>
              <v:imagedata o:title=""/>
              <o:lock v:ext="edit" aspectratio="f"/>
              <v:textbox inset="0mm,0mm,0mm,0mm" style="mso-fit-shape-to-text:t;">
                <w:txbxContent>
                  <w:p w14:paraId="73698218">
                    <w:pPr>
                      <w:pStyle w:val="6"/>
                    </w:pPr>
                    <w:r>
                      <w:fldChar w:fldCharType="begin"/>
                    </w:r>
                    <w:r>
                      <w:instrText xml:space="preserve"> PAGE  \* MERGEFORMAT </w:instrText>
                    </w:r>
                    <w:r>
                      <w:fldChar w:fldCharType="separate"/>
                    </w:r>
                    <w:r>
                      <w:t>60</w:t>
                    </w:r>
                    <w:r>
                      <w:fldChar w:fldCharType="end"/>
                    </w:r>
                  </w:p>
                </w:txbxContent>
              </v:textbox>
            </v:shape>
          </w:pict>
        </mc:Fallback>
      </mc:AlternateConten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F7E4C0">
    <w:pPr>
      <w:spacing w:line="169" w:lineRule="auto"/>
      <w:ind w:left="6897"/>
      <w:rPr>
        <w:rFonts w:ascii="Calibri" w:hAnsi="Calibri" w:eastAsia="Calibri" w:cs="Calibri"/>
        <w:sz w:val="18"/>
        <w:szCs w:val="18"/>
      </w:rPr>
    </w:pPr>
    <w:r>
      <w:rPr>
        <w:sz w:val="18"/>
      </w:rP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72" name="文本框 7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B0816A">
                          <w:pPr>
                            <w:pStyle w:val="6"/>
                          </w:pPr>
                          <w:r>
                            <w:fldChar w:fldCharType="begin"/>
                          </w:r>
                          <w:r>
                            <w:instrText xml:space="preserve"> PAGE  \* MERGEFORMAT </w:instrText>
                          </w:r>
                          <w:r>
                            <w:fldChar w:fldCharType="separate"/>
                          </w:r>
                          <w:r>
                            <w:t>61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87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ZAnnc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O2E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ZAnnczAgAAYwQAAA4AAAAAAAAAAQAgAAAAHwEAAGRycy9lMm9Eb2MueG1sUEsF&#10;BgAAAAAGAAYAWQEAAMQFAAAAAA==&#10;">
              <v:fill on="f" focussize="0,0"/>
              <v:stroke on="f" weight="0.5pt"/>
              <v:imagedata o:title=""/>
              <o:lock v:ext="edit" aspectratio="f"/>
              <v:textbox inset="0mm,0mm,0mm,0mm" style="mso-fit-shape-to-text:t;">
                <w:txbxContent>
                  <w:p w14:paraId="39B0816A">
                    <w:pPr>
                      <w:pStyle w:val="6"/>
                    </w:pPr>
                    <w:r>
                      <w:fldChar w:fldCharType="begin"/>
                    </w:r>
                    <w:r>
                      <w:instrText xml:space="preserve"> PAGE  \* MERGEFORMAT </w:instrText>
                    </w:r>
                    <w:r>
                      <w:fldChar w:fldCharType="separate"/>
                    </w:r>
                    <w:r>
                      <w:t>61</w:t>
                    </w:r>
                    <w:r>
                      <w:fldChar w:fldCharType="end"/>
                    </w:r>
                  </w:p>
                </w:txbxContent>
              </v:textbox>
            </v:shape>
          </w:pict>
        </mc:Fallback>
      </mc:AlternateConten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CA1617">
    <w:pPr>
      <w:spacing w:line="169" w:lineRule="auto"/>
      <w:ind w:left="4083"/>
      <w:rPr>
        <w:rFonts w:ascii="Calibri" w:hAnsi="Calibri" w:eastAsia="Calibri" w:cs="Calibri"/>
        <w:sz w:val="18"/>
        <w:szCs w:val="18"/>
      </w:rPr>
    </w:pPr>
    <w:r>
      <w:rPr>
        <w:sz w:val="18"/>
      </w:rP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73" name="文本框 7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F8EA896">
                          <w:pPr>
                            <w:pStyle w:val="6"/>
                          </w:pPr>
                          <w:r>
                            <w:fldChar w:fldCharType="begin"/>
                          </w:r>
                          <w:r>
                            <w:instrText xml:space="preserve"> PAGE  \* MERGEFORMAT </w:instrText>
                          </w:r>
                          <w:r>
                            <w:fldChar w:fldCharType="separate"/>
                          </w:r>
                          <w:r>
                            <w:t>65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97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ToCZgzAgAAYwQAAA4AAABkcnMvZTJvRG9jLnhtbK1UzY7TMBC+I/EO&#10;lu80aVcs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M0V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ToCZgzAgAAYwQAAA4AAAAAAAAAAQAgAAAAHwEAAGRycy9lMm9Eb2MueG1sUEsF&#10;BgAAAAAGAAYAWQEAAMQFAAAAAA==&#10;">
              <v:fill on="f" focussize="0,0"/>
              <v:stroke on="f" weight="0.5pt"/>
              <v:imagedata o:title=""/>
              <o:lock v:ext="edit" aspectratio="f"/>
              <v:textbox inset="0mm,0mm,0mm,0mm" style="mso-fit-shape-to-text:t;">
                <w:txbxContent>
                  <w:p w14:paraId="4F8EA896">
                    <w:pPr>
                      <w:pStyle w:val="6"/>
                    </w:pPr>
                    <w:r>
                      <w:fldChar w:fldCharType="begin"/>
                    </w:r>
                    <w:r>
                      <w:instrText xml:space="preserve"> PAGE  \* MERGEFORMAT </w:instrText>
                    </w:r>
                    <w:r>
                      <w:fldChar w:fldCharType="separate"/>
                    </w:r>
                    <w:r>
                      <w:t>65</w:t>
                    </w:r>
                    <w:r>
                      <w:fldChar w:fldCharType="end"/>
                    </w:r>
                  </w:p>
                </w:txbxContent>
              </v:textbox>
            </v:shape>
          </w:pict>
        </mc:Fallback>
      </mc:AlternateConten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7F24B9">
    <w:pPr>
      <w:spacing w:line="169" w:lineRule="auto"/>
      <w:ind w:left="4084"/>
      <w:rPr>
        <w:rFonts w:ascii="Calibri" w:hAnsi="Calibri" w:eastAsia="Calibri" w:cs="Calibri"/>
        <w:sz w:val="18"/>
        <w:szCs w:val="18"/>
      </w:rPr>
    </w:pPr>
    <w:r>
      <w:rPr>
        <w:sz w:val="18"/>
      </w:rPr>
      <mc:AlternateContent>
        <mc:Choice Requires="wps">
          <w:drawing>
            <wp:anchor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74" name="文本框 7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E0C5DD0">
                          <w:pPr>
                            <w:pStyle w:val="6"/>
                          </w:pPr>
                          <w:r>
                            <w:fldChar w:fldCharType="begin"/>
                          </w:r>
                          <w:r>
                            <w:instrText xml:space="preserve"> PAGE  \* MERGEFORMAT </w:instrText>
                          </w:r>
                          <w:r>
                            <w:fldChar w:fldCharType="separate"/>
                          </w:r>
                          <w:r>
                            <w:t>66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07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m7fHszAgAAYwQAAA4AAABkcnMvZTJvRG9jLnhtbK1UzY7TMBC+I/EO&#10;lu80aYGlqp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37yixDCNip++fzv9&#10;+HX6+ZXgDAI1LswQt3GIjO1b26JthvOAw8S7rbxOXzAi8EPe40Ve0UbC06XpZDrN4eLwDRvgZw/X&#10;nQ/xnbCaJKOgHvXrZGWH2xD70CEkZTN2LZXqaqgMaQp69fJ1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m7fHszAgAAYwQAAA4AAAAAAAAAAQAgAAAAHwEAAGRycy9lMm9Eb2MueG1sUEsF&#10;BgAAAAAGAAYAWQEAAMQFAAAAAA==&#10;">
              <v:fill on="f" focussize="0,0"/>
              <v:stroke on="f" weight="0.5pt"/>
              <v:imagedata o:title=""/>
              <o:lock v:ext="edit" aspectratio="f"/>
              <v:textbox inset="0mm,0mm,0mm,0mm" style="mso-fit-shape-to-text:t;">
                <w:txbxContent>
                  <w:p w14:paraId="2E0C5DD0">
                    <w:pPr>
                      <w:pStyle w:val="6"/>
                    </w:pPr>
                    <w:r>
                      <w:fldChar w:fldCharType="begin"/>
                    </w:r>
                    <w:r>
                      <w:instrText xml:space="preserve"> PAGE  \* MERGEFORMAT </w:instrText>
                    </w:r>
                    <w:r>
                      <w:fldChar w:fldCharType="separate"/>
                    </w:r>
                    <w:r>
                      <w:t>66</w:t>
                    </w:r>
                    <w:r>
                      <w:fldChar w:fldCharType="end"/>
                    </w:r>
                  </w:p>
                </w:txbxContent>
              </v:textbox>
            </v:shape>
          </w:pict>
        </mc:Fallback>
      </mc:AlternateConten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96B66F">
    <w:pPr>
      <w:spacing w:line="169" w:lineRule="auto"/>
      <w:ind w:left="4084"/>
      <w:rPr>
        <w:rFonts w:ascii="Calibri" w:hAnsi="Calibri" w:eastAsia="Calibri" w:cs="Calibri"/>
        <w:sz w:val="18"/>
        <w:szCs w:val="18"/>
      </w:rPr>
    </w:pPr>
    <w:r>
      <w:rPr>
        <w:sz w:val="18"/>
      </w:rPr>
      <mc:AlternateContent>
        <mc:Choice Requires="wps">
          <w:drawing>
            <wp:anchor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1828800" cy="1828800"/>
              <wp:effectExtent l="0" t="0" r="0" b="0"/>
              <wp:wrapNone/>
              <wp:docPr id="75" name="文本框 7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D637BB5">
                          <w:pPr>
                            <w:pStyle w:val="6"/>
                          </w:pPr>
                          <w:r>
                            <w:fldChar w:fldCharType="begin"/>
                          </w:r>
                          <w:r>
                            <w:instrText xml:space="preserve"> PAGE  \* MERGEFORMAT </w:instrText>
                          </w:r>
                          <w:r>
                            <w:fldChar w:fldCharType="separate"/>
                          </w:r>
                          <w:r>
                            <w:t>67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17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sT65QzAgAAYwQAAA4AAABkcnMvZTJvRG9jLnhtbK1UzY7TMBC+I/EO&#10;lu80adEu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r65ok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sT65QzAgAAYwQAAA4AAAAAAAAAAQAgAAAAHwEAAGRycy9lMm9Eb2MueG1sUEsF&#10;BgAAAAAGAAYAWQEAAMQFAAAAAA==&#10;">
              <v:fill on="f" focussize="0,0"/>
              <v:stroke on="f" weight="0.5pt"/>
              <v:imagedata o:title=""/>
              <o:lock v:ext="edit" aspectratio="f"/>
              <v:textbox inset="0mm,0mm,0mm,0mm" style="mso-fit-shape-to-text:t;">
                <w:txbxContent>
                  <w:p w14:paraId="5D637BB5">
                    <w:pPr>
                      <w:pStyle w:val="6"/>
                    </w:pPr>
                    <w:r>
                      <w:fldChar w:fldCharType="begin"/>
                    </w:r>
                    <w:r>
                      <w:instrText xml:space="preserve"> PAGE  \* MERGEFORMAT </w:instrText>
                    </w:r>
                    <w:r>
                      <w:fldChar w:fldCharType="separate"/>
                    </w:r>
                    <w:r>
                      <w:t>67</w:t>
                    </w:r>
                    <w:r>
                      <w:fldChar w:fldCharType="end"/>
                    </w:r>
                  </w:p>
                </w:txbxContent>
              </v:textbox>
            </v:shape>
          </w:pict>
        </mc:Fallback>
      </mc:AlternateConten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7F8100">
    <w:pPr>
      <w:spacing w:line="169" w:lineRule="auto"/>
      <w:ind w:left="4084"/>
      <w:rPr>
        <w:rFonts w:ascii="Calibri" w:hAnsi="Calibri" w:eastAsia="Calibri" w:cs="Calibri"/>
        <w:sz w:val="18"/>
        <w:szCs w:val="18"/>
      </w:rPr>
    </w:pPr>
    <w:r>
      <w:rPr>
        <w:sz w:val="18"/>
      </w:rPr>
      <mc:AlternateContent>
        <mc:Choice Requires="wps">
          <w:drawing>
            <wp:anchor distT="0" distB="0" distL="114300" distR="114300" simplePos="0" relativeHeight="251682816" behindDoc="0" locked="0" layoutInCell="1" allowOverlap="1">
              <wp:simplePos x="0" y="0"/>
              <wp:positionH relativeFrom="margin">
                <wp:align>center</wp:align>
              </wp:positionH>
              <wp:positionV relativeFrom="paragraph">
                <wp:posOffset>0</wp:posOffset>
              </wp:positionV>
              <wp:extent cx="1828800" cy="1828800"/>
              <wp:effectExtent l="0" t="0" r="0" b="0"/>
              <wp:wrapNone/>
              <wp:docPr id="76" name="文本框 7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FB3B3A">
                          <w:pPr>
                            <w:pStyle w:val="6"/>
                          </w:pPr>
                          <w:r>
                            <w:fldChar w:fldCharType="begin"/>
                          </w:r>
                          <w:r>
                            <w:instrText xml:space="preserve"> PAGE  \* MERGEFORMAT </w:instrText>
                          </w:r>
                          <w:r>
                            <w:fldChar w:fldCharType="separate"/>
                          </w:r>
                          <w:r>
                            <w:t>68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28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ztIn8zAgAAYwQAAA4AAAAAAAAAAQAgAAAAHwEAAGRycy9lMm9Eb2MueG1sUEsF&#10;BgAAAAAGAAYAWQEAAMQFAAAAAA==&#10;">
              <v:fill on="f" focussize="0,0"/>
              <v:stroke on="f" weight="0.5pt"/>
              <v:imagedata o:title=""/>
              <o:lock v:ext="edit" aspectratio="f"/>
              <v:textbox inset="0mm,0mm,0mm,0mm" style="mso-fit-shape-to-text:t;">
                <w:txbxContent>
                  <w:p w14:paraId="5EFB3B3A">
                    <w:pPr>
                      <w:pStyle w:val="6"/>
                    </w:pPr>
                    <w:r>
                      <w:fldChar w:fldCharType="begin"/>
                    </w:r>
                    <w:r>
                      <w:instrText xml:space="preserve"> PAGE  \* MERGEFORMAT </w:instrText>
                    </w:r>
                    <w:r>
                      <w:fldChar w:fldCharType="separate"/>
                    </w:r>
                    <w:r>
                      <w:t>68</w:t>
                    </w:r>
                    <w:r>
                      <w:fldChar w:fldCharType="end"/>
                    </w:r>
                  </w:p>
                </w:txbxContent>
              </v:textbox>
            </v:shape>
          </w:pict>
        </mc:Fallback>
      </mc:AlternateConten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62FB35">
    <w:pPr>
      <w:spacing w:line="169" w:lineRule="auto"/>
      <w:ind w:left="4084"/>
      <w:rPr>
        <w:rFonts w:ascii="Calibri" w:hAnsi="Calibri" w:eastAsia="Calibri" w:cs="Calibri"/>
        <w:sz w:val="18"/>
        <w:szCs w:val="18"/>
      </w:rPr>
    </w:pPr>
    <w:r>
      <w:rPr>
        <w:sz w:val="18"/>
      </w:rPr>
      <mc:AlternateContent>
        <mc:Choice Requires="wps">
          <w:drawing>
            <wp:anchor distT="0" distB="0" distL="114300" distR="114300" simplePos="0" relativeHeight="251683840" behindDoc="0" locked="0" layoutInCell="1" allowOverlap="1">
              <wp:simplePos x="0" y="0"/>
              <wp:positionH relativeFrom="margin">
                <wp:align>center</wp:align>
              </wp:positionH>
              <wp:positionV relativeFrom="paragraph">
                <wp:posOffset>0</wp:posOffset>
              </wp:positionV>
              <wp:extent cx="1828800" cy="1828800"/>
              <wp:effectExtent l="0" t="0" r="0" b="0"/>
              <wp:wrapNone/>
              <wp:docPr id="77" name="文本框 7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938B7E">
                          <w:pPr>
                            <w:pStyle w:val="6"/>
                          </w:pPr>
                          <w:r>
                            <w:fldChar w:fldCharType="begin"/>
                          </w:r>
                          <w:r>
                            <w:instrText xml:space="preserve"> PAGE  \* MERGEFORMAT </w:instrText>
                          </w:r>
                          <w:r>
                            <w:fldChar w:fldCharType="separate"/>
                          </w:r>
                          <w:r>
                            <w:t>69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38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5FtZAzAgAAYw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fU6KZQsVP37+d&#10;fvw6/fxKcAaBWutniHuwiAzdW9OhbYZzj8PIu6ucil8wIvBD3uNFXtEFwuOl6WQ6zeHi8A0b4GeP&#10;163z4Z0wikSjoA71S7Kyw8aHPnQIidm0WTdSphpKTdqCXr1+k6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5FtZAzAgAAYwQAAA4AAAAAAAAAAQAgAAAAHwEAAGRycy9lMm9Eb2MueG1sUEsF&#10;BgAAAAAGAAYAWQEAAMQFAAAAAA==&#10;">
              <v:fill on="f" focussize="0,0"/>
              <v:stroke on="f" weight="0.5pt"/>
              <v:imagedata o:title=""/>
              <o:lock v:ext="edit" aspectratio="f"/>
              <v:textbox inset="0mm,0mm,0mm,0mm" style="mso-fit-shape-to-text:t;">
                <w:txbxContent>
                  <w:p w14:paraId="01938B7E">
                    <w:pPr>
                      <w:pStyle w:val="6"/>
                    </w:pPr>
                    <w:r>
                      <w:fldChar w:fldCharType="begin"/>
                    </w:r>
                    <w:r>
                      <w:instrText xml:space="preserve"> PAGE  \* MERGEFORMAT </w:instrText>
                    </w:r>
                    <w:r>
                      <w:fldChar w:fldCharType="separate"/>
                    </w:r>
                    <w:r>
                      <w:t>69</w:t>
                    </w:r>
                    <w:r>
                      <w:fldChar w:fldCharType="end"/>
                    </w:r>
                  </w:p>
                </w:txbxContent>
              </v:textbox>
            </v:shape>
          </w:pict>
        </mc:Fallback>
      </mc:AlternateConten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CBE01A">
    <w:pPr>
      <w:spacing w:line="169" w:lineRule="auto"/>
      <w:ind w:left="4084"/>
      <w:rPr>
        <w:rFonts w:ascii="Calibri" w:hAnsi="Calibri" w:eastAsia="Calibri" w:cs="Calibri"/>
        <w:sz w:val="18"/>
        <w:szCs w:val="18"/>
      </w:rPr>
    </w:pPr>
    <w:r>
      <w:rPr>
        <w:sz w:val="18"/>
      </w:rPr>
      <mc:AlternateContent>
        <mc:Choice Requires="wps">
          <w:drawing>
            <wp:anchor distT="0" distB="0" distL="114300" distR="114300" simplePos="0" relativeHeight="2516848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8" name="文本框 7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F357729">
                          <w:pPr>
                            <w:pStyle w:val="6"/>
                          </w:pPr>
                          <w:r>
                            <w:fldChar w:fldCharType="begin"/>
                          </w:r>
                          <w:r>
                            <w:instrText xml:space="preserve"> PAGE  \* MERGEFORMAT </w:instrText>
                          </w:r>
                          <w:r>
                            <w:fldChar w:fldCharType="separate"/>
                          </w:r>
                          <w:r>
                            <w:t>70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48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dNuWI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dNuWIzAgAAYwQAAA4AAAAAAAAAAQAgAAAAHwEAAGRycy9lMm9Eb2MueG1sUEsF&#10;BgAAAAAGAAYAWQEAAMQFAAAAAA==&#10;">
              <v:fill on="f" focussize="0,0"/>
              <v:stroke on="f" weight="0.5pt"/>
              <v:imagedata o:title=""/>
              <o:lock v:ext="edit" aspectratio="f"/>
              <v:textbox inset="0mm,0mm,0mm,0mm" style="mso-fit-shape-to-text:t;">
                <w:txbxContent>
                  <w:p w14:paraId="4F357729">
                    <w:pPr>
                      <w:pStyle w:val="6"/>
                    </w:pPr>
                    <w:r>
                      <w:fldChar w:fldCharType="begin"/>
                    </w:r>
                    <w:r>
                      <w:instrText xml:space="preserve"> PAGE  \* MERGEFORMAT </w:instrText>
                    </w:r>
                    <w:r>
                      <w:fldChar w:fldCharType="separate"/>
                    </w:r>
                    <w:r>
                      <w:t>70</w:t>
                    </w:r>
                    <w:r>
                      <w:fldChar w:fldCharType="end"/>
                    </w:r>
                  </w:p>
                </w:txbxContent>
              </v:textbox>
            </v:shape>
          </w:pict>
        </mc:Fallback>
      </mc:AlternateConten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414251">
    <w:pPr>
      <w:spacing w:line="169" w:lineRule="auto"/>
      <w:ind w:left="4084"/>
      <w:rPr>
        <w:rFonts w:ascii="Calibri" w:hAnsi="Calibri" w:eastAsia="Calibri" w:cs="Calibri"/>
        <w:sz w:val="18"/>
        <w:szCs w:val="18"/>
      </w:rPr>
    </w:pPr>
    <w:r>
      <w:rPr>
        <w:sz w:val="18"/>
      </w:rPr>
      <mc:AlternateContent>
        <mc:Choice Requires="wps">
          <w:drawing>
            <wp:anchor distT="0" distB="0" distL="114300" distR="114300" simplePos="0" relativeHeight="2516858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9" name="文本框 7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8B3BE34">
                          <w:pPr>
                            <w:pStyle w:val="6"/>
                          </w:pPr>
                          <w:r>
                            <w:fldChar w:fldCharType="begin"/>
                          </w:r>
                          <w:r>
                            <w:instrText xml:space="preserve"> PAGE  \* MERGEFORMAT </w:instrText>
                          </w:r>
                          <w:r>
                            <w:fldChar w:fldCharType="separate"/>
                          </w:r>
                          <w:r>
                            <w:t>71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58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lLo0zAgAAYwQAAA4AAABkcnMvZTJvRG9jLnhtbK1UzY7TMBC+I/EO&#10;lu80aRFLqZ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X7+hxDCNip++fzv9&#10;+HX6+ZXgDAI1LswQt3GIjO1b26JthvOAw8S7rbxOXzAi8EPe40Ve0UbC06XpZDrN4eLwDRvgZw/X&#10;nQ/xnbCaJKOgHvXrZGWH2xD70CEkZTN2LZXqaqgMaQp69fJV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XlLo0zAgAAYwQAAA4AAAAAAAAAAQAgAAAAHwEAAGRycy9lMm9Eb2MueG1sUEsF&#10;BgAAAAAGAAYAWQEAAMQFAAAAAA==&#10;">
              <v:fill on="f" focussize="0,0"/>
              <v:stroke on="f" weight="0.5pt"/>
              <v:imagedata o:title=""/>
              <o:lock v:ext="edit" aspectratio="f"/>
              <v:textbox inset="0mm,0mm,0mm,0mm" style="mso-fit-shape-to-text:t;">
                <w:txbxContent>
                  <w:p w14:paraId="08B3BE34">
                    <w:pPr>
                      <w:pStyle w:val="6"/>
                    </w:pPr>
                    <w:r>
                      <w:fldChar w:fldCharType="begin"/>
                    </w:r>
                    <w:r>
                      <w:instrText xml:space="preserve"> PAGE  \* MERGEFORMAT </w:instrText>
                    </w:r>
                    <w:r>
                      <w:fldChar w:fldCharType="separate"/>
                    </w:r>
                    <w:r>
                      <w:t>71</w:t>
                    </w:r>
                    <w:r>
                      <w:fldChar w:fldCharType="end"/>
                    </w:r>
                  </w:p>
                </w:txbxContent>
              </v:textbox>
            </v:shape>
          </w:pict>
        </mc:Fallback>
      </mc:AlternateConten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35DDD4">
    <w:pPr>
      <w:spacing w:line="169" w:lineRule="auto"/>
      <w:ind w:left="4084"/>
      <w:rPr>
        <w:rFonts w:ascii="Calibri" w:hAnsi="Calibri" w:eastAsia="Calibri" w:cs="Calibri"/>
        <w:sz w:val="18"/>
        <w:szCs w:val="18"/>
      </w:rPr>
    </w:pPr>
    <w:r>
      <w:rPr>
        <w:sz w:val="18"/>
      </w:rPr>
      <mc:AlternateContent>
        <mc:Choice Requires="wps">
          <w:drawing>
            <wp:anchor distT="0" distB="0" distL="114300" distR="114300" simplePos="0" relativeHeight="2516869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0" name="文本框 8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14AB194">
                          <w:pPr>
                            <w:pStyle w:val="6"/>
                          </w:pPr>
                          <w:r>
                            <w:fldChar w:fldCharType="begin"/>
                          </w:r>
                          <w:r>
                            <w:instrText xml:space="preserve"> PAGE  \* MERGEFORMAT </w:instrText>
                          </w:r>
                          <w:r>
                            <w:fldChar w:fldCharType="separate"/>
                          </w:r>
                          <w:r>
                            <w:t>72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69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uyWRc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ziC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m7JZFzICAABjBAAADgAAAAAAAAABACAAAAAfAQAAZHJzL2Uyb0RvYy54bWxQSwUG&#10;AAAAAAYABgBZAQAAwwUAAAAA&#10;">
              <v:fill on="f" focussize="0,0"/>
              <v:stroke on="f" weight="0.5pt"/>
              <v:imagedata o:title=""/>
              <o:lock v:ext="edit" aspectratio="f"/>
              <v:textbox inset="0mm,0mm,0mm,0mm" style="mso-fit-shape-to-text:t;">
                <w:txbxContent>
                  <w:p w14:paraId="514AB194">
                    <w:pPr>
                      <w:pStyle w:val="6"/>
                    </w:pPr>
                    <w:r>
                      <w:fldChar w:fldCharType="begin"/>
                    </w:r>
                    <w:r>
                      <w:instrText xml:space="preserve"> PAGE  \* MERGEFORMAT </w:instrText>
                    </w:r>
                    <w:r>
                      <w:fldChar w:fldCharType="separate"/>
                    </w:r>
                    <w:r>
                      <w:t>72</w:t>
                    </w:r>
                    <w:r>
                      <w:fldChar w:fldCharType="end"/>
                    </w:r>
                  </w:p>
                </w:txbxContent>
              </v:textbox>
            </v:shape>
          </w:pict>
        </mc:Fallback>
      </mc:AlternateConten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CED8C6">
    <w:pPr>
      <w:spacing w:line="169" w:lineRule="auto"/>
      <w:ind w:left="4199"/>
      <w:rPr>
        <w:rFonts w:ascii="Calibri" w:hAnsi="Calibri" w:eastAsia="Calibri" w:cs="Calibri"/>
        <w:sz w:val="18"/>
        <w:szCs w:val="18"/>
      </w:rPr>
    </w:pPr>
    <w:r>
      <w:rPr>
        <w:sz w:val="18"/>
      </w:rPr>
      <mc:AlternateContent>
        <mc:Choice Requires="wps">
          <w:drawing>
            <wp:anchor distT="0" distB="0" distL="114300" distR="114300" simplePos="0" relativeHeight="2516879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1" name="文本框 8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D936B4A">
                          <w:pPr>
                            <w:pStyle w:val="6"/>
                          </w:pPr>
                          <w:r>
                            <w:fldChar w:fldCharType="begin"/>
                          </w:r>
                          <w:r>
                            <w:instrText xml:space="preserve"> PAGE  \* MERGEFORMAT </w:instrText>
                          </w:r>
                          <w:r>
                            <w:fldChar w:fldCharType="separate"/>
                          </w:r>
                          <w:r>
                            <w:t>73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79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kazvg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2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2RrO+DICAABjBAAADgAAAAAAAAABACAAAAAfAQAAZHJzL2Uyb0RvYy54bWxQSwUG&#10;AAAAAAYABgBZAQAAwwUAAAAA&#10;">
              <v:fill on="f" focussize="0,0"/>
              <v:stroke on="f" weight="0.5pt"/>
              <v:imagedata o:title=""/>
              <o:lock v:ext="edit" aspectratio="f"/>
              <v:textbox inset="0mm,0mm,0mm,0mm" style="mso-fit-shape-to-text:t;">
                <w:txbxContent>
                  <w:p w14:paraId="6D936B4A">
                    <w:pPr>
                      <w:pStyle w:val="6"/>
                    </w:pPr>
                    <w:r>
                      <w:fldChar w:fldCharType="begin"/>
                    </w:r>
                    <w:r>
                      <w:instrText xml:space="preserve"> PAGE  \* MERGEFORMAT </w:instrText>
                    </w:r>
                    <w:r>
                      <w:fldChar w:fldCharType="separate"/>
                    </w:r>
                    <w:r>
                      <w:t>73</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56A94A">
    <w:pPr>
      <w:spacing w:line="14" w:lineRule="auto"/>
      <w:rPr>
        <w:rFonts w:ascii="Arial"/>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0A0423B"/>
    <w:multiLevelType w:val="singleLevel"/>
    <w:tmpl w:val="20A0423B"/>
    <w:lvl w:ilvl="0" w:tentative="0">
      <w:start w:val="9"/>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compatSetting w:name="compatibilityMode" w:uri="http://schemas.microsoft.com/office/word" w:val="14"/>
  </w:compat>
  <w:rsids>
    <w:rsidRoot w:val="00000000"/>
    <w:rsid w:val="00620954"/>
    <w:rsid w:val="00995688"/>
    <w:rsid w:val="01030024"/>
    <w:rsid w:val="01B6046E"/>
    <w:rsid w:val="01D645CB"/>
    <w:rsid w:val="0256755B"/>
    <w:rsid w:val="0334789D"/>
    <w:rsid w:val="05D435B9"/>
    <w:rsid w:val="069D7E4F"/>
    <w:rsid w:val="07255614"/>
    <w:rsid w:val="074C1F4C"/>
    <w:rsid w:val="077E37DC"/>
    <w:rsid w:val="082C188E"/>
    <w:rsid w:val="08645326"/>
    <w:rsid w:val="08FA57C7"/>
    <w:rsid w:val="0A1D552E"/>
    <w:rsid w:val="0B5807E8"/>
    <w:rsid w:val="0C9233AD"/>
    <w:rsid w:val="0DA675E9"/>
    <w:rsid w:val="0DAB10A3"/>
    <w:rsid w:val="0E7D19A7"/>
    <w:rsid w:val="0F793EA5"/>
    <w:rsid w:val="11D010D8"/>
    <w:rsid w:val="13374C44"/>
    <w:rsid w:val="13C92D8E"/>
    <w:rsid w:val="14B24AC5"/>
    <w:rsid w:val="158B5DE7"/>
    <w:rsid w:val="1695469E"/>
    <w:rsid w:val="16D93CEA"/>
    <w:rsid w:val="18754787"/>
    <w:rsid w:val="189A5F9C"/>
    <w:rsid w:val="19375EE1"/>
    <w:rsid w:val="1B3C158C"/>
    <w:rsid w:val="1B4D379A"/>
    <w:rsid w:val="1B5728FE"/>
    <w:rsid w:val="1EB70703"/>
    <w:rsid w:val="1EB811F9"/>
    <w:rsid w:val="1F085810"/>
    <w:rsid w:val="1F8E4729"/>
    <w:rsid w:val="20186C9E"/>
    <w:rsid w:val="208512E0"/>
    <w:rsid w:val="210B0204"/>
    <w:rsid w:val="221A1EFC"/>
    <w:rsid w:val="252C362C"/>
    <w:rsid w:val="25A44E9B"/>
    <w:rsid w:val="25DB2675"/>
    <w:rsid w:val="28825BCC"/>
    <w:rsid w:val="28BB542E"/>
    <w:rsid w:val="29AC7DF7"/>
    <w:rsid w:val="29B42CF8"/>
    <w:rsid w:val="29E55A87"/>
    <w:rsid w:val="2B6F150A"/>
    <w:rsid w:val="2B8420D7"/>
    <w:rsid w:val="2B8B31A4"/>
    <w:rsid w:val="2B9F1A31"/>
    <w:rsid w:val="2BC04B70"/>
    <w:rsid w:val="2C35005E"/>
    <w:rsid w:val="2C6240CA"/>
    <w:rsid w:val="2CFF1D81"/>
    <w:rsid w:val="2D724919"/>
    <w:rsid w:val="2DAD1E76"/>
    <w:rsid w:val="2E6A7DE5"/>
    <w:rsid w:val="2E864BA1"/>
    <w:rsid w:val="2EFA733D"/>
    <w:rsid w:val="30AC1825"/>
    <w:rsid w:val="30EA68BD"/>
    <w:rsid w:val="315F11B0"/>
    <w:rsid w:val="32B243AC"/>
    <w:rsid w:val="33B43F5E"/>
    <w:rsid w:val="33CD0D61"/>
    <w:rsid w:val="36447A5B"/>
    <w:rsid w:val="37C3183C"/>
    <w:rsid w:val="38C64745"/>
    <w:rsid w:val="3971469F"/>
    <w:rsid w:val="3A6164C2"/>
    <w:rsid w:val="3B2D45F6"/>
    <w:rsid w:val="3D850719"/>
    <w:rsid w:val="3E9E5F37"/>
    <w:rsid w:val="3E9F14AA"/>
    <w:rsid w:val="3F845D22"/>
    <w:rsid w:val="4162324B"/>
    <w:rsid w:val="41D15327"/>
    <w:rsid w:val="41E94E9D"/>
    <w:rsid w:val="43222C69"/>
    <w:rsid w:val="44735770"/>
    <w:rsid w:val="44811733"/>
    <w:rsid w:val="44C15510"/>
    <w:rsid w:val="45A8769B"/>
    <w:rsid w:val="467F03FC"/>
    <w:rsid w:val="468740D8"/>
    <w:rsid w:val="46FE0098"/>
    <w:rsid w:val="48BA7250"/>
    <w:rsid w:val="48EC3B89"/>
    <w:rsid w:val="49796A18"/>
    <w:rsid w:val="4A233F98"/>
    <w:rsid w:val="4A375942"/>
    <w:rsid w:val="4AA10FDA"/>
    <w:rsid w:val="4AF60EA8"/>
    <w:rsid w:val="4DC82F8B"/>
    <w:rsid w:val="4F786330"/>
    <w:rsid w:val="50193513"/>
    <w:rsid w:val="50B91885"/>
    <w:rsid w:val="51764388"/>
    <w:rsid w:val="51A359A0"/>
    <w:rsid w:val="51DF2696"/>
    <w:rsid w:val="52246000"/>
    <w:rsid w:val="560414A2"/>
    <w:rsid w:val="563B2DD8"/>
    <w:rsid w:val="577B5C78"/>
    <w:rsid w:val="58C41D5F"/>
    <w:rsid w:val="5A461504"/>
    <w:rsid w:val="5AA4622B"/>
    <w:rsid w:val="5B1C4013"/>
    <w:rsid w:val="5BF6145E"/>
    <w:rsid w:val="5CBC3D00"/>
    <w:rsid w:val="5E435D5B"/>
    <w:rsid w:val="5E603CE2"/>
    <w:rsid w:val="5EFA0B0F"/>
    <w:rsid w:val="5F49114F"/>
    <w:rsid w:val="604069F6"/>
    <w:rsid w:val="61273712"/>
    <w:rsid w:val="62205FAA"/>
    <w:rsid w:val="62D33B51"/>
    <w:rsid w:val="634E4EDD"/>
    <w:rsid w:val="64600BBC"/>
    <w:rsid w:val="6518725F"/>
    <w:rsid w:val="66E51D3A"/>
    <w:rsid w:val="66ED2D08"/>
    <w:rsid w:val="67063270"/>
    <w:rsid w:val="67254250"/>
    <w:rsid w:val="686F768D"/>
    <w:rsid w:val="68BC3EF8"/>
    <w:rsid w:val="69594684"/>
    <w:rsid w:val="69A73642"/>
    <w:rsid w:val="69B0699A"/>
    <w:rsid w:val="6AF97ECD"/>
    <w:rsid w:val="6AFD6D91"/>
    <w:rsid w:val="6EF80B7A"/>
    <w:rsid w:val="6F887A72"/>
    <w:rsid w:val="6F8D6E36"/>
    <w:rsid w:val="6FCD2658"/>
    <w:rsid w:val="70333E81"/>
    <w:rsid w:val="70383246"/>
    <w:rsid w:val="718029E9"/>
    <w:rsid w:val="71A17BE1"/>
    <w:rsid w:val="72C40DC1"/>
    <w:rsid w:val="73E10679"/>
    <w:rsid w:val="773109EF"/>
    <w:rsid w:val="77C47AB5"/>
    <w:rsid w:val="77E278AD"/>
    <w:rsid w:val="783F6003"/>
    <w:rsid w:val="788F5C09"/>
    <w:rsid w:val="795D187B"/>
    <w:rsid w:val="7AC50269"/>
    <w:rsid w:val="7B6E5D6D"/>
    <w:rsid w:val="7C1A7FCB"/>
    <w:rsid w:val="7E966E77"/>
    <w:rsid w:val="7E972B8F"/>
    <w:rsid w:val="7EBE700C"/>
    <w:rsid w:val="7ED22AB7"/>
    <w:rsid w:val="7F7462E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4"/>
    <w:basedOn w:val="1"/>
    <w:next w:val="1"/>
    <w:qFormat/>
    <w:uiPriority w:val="0"/>
    <w:pPr>
      <w:keepNext/>
      <w:keepLines/>
      <w:adjustRightInd w:val="0"/>
      <w:spacing w:before="280" w:beforeLines="0" w:beforeAutospacing="0" w:after="290" w:afterLines="0" w:afterAutospacing="0" w:line="376" w:lineRule="atLeast"/>
      <w:outlineLvl w:val="3"/>
    </w:pPr>
    <w:rPr>
      <w:rFonts w:ascii="Arial" w:hAnsi="Arial" w:eastAsia="黑体"/>
      <w:b/>
      <w:kern w:val="0"/>
      <w:sz w:val="28"/>
    </w:rPr>
  </w:style>
  <w:style w:type="paragraph" w:styleId="3">
    <w:name w:val="heading 6"/>
    <w:basedOn w:val="1"/>
    <w:next w:val="1"/>
    <w:qFormat/>
    <w:uiPriority w:val="0"/>
    <w:pPr>
      <w:keepNext/>
      <w:keepLines/>
      <w:adjustRightInd w:val="0"/>
      <w:spacing w:before="240" w:beforeLines="0" w:beforeAutospacing="0" w:after="64" w:afterLines="0" w:afterAutospacing="0" w:line="320" w:lineRule="atLeast"/>
      <w:outlineLvl w:val="5"/>
    </w:pPr>
    <w:rPr>
      <w:rFonts w:ascii="Arial" w:hAnsi="Arial" w:eastAsia="黑体"/>
      <w:b/>
      <w:kern w:val="0"/>
      <w:sz w:val="24"/>
    </w:rPr>
  </w:style>
  <w:style w:type="character" w:default="1" w:styleId="12">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4">
    <w:name w:val="Body Text"/>
    <w:basedOn w:val="1"/>
    <w:semiHidden/>
    <w:qFormat/>
    <w:uiPriority w:val="0"/>
    <w:rPr>
      <w:rFonts w:ascii="Arial" w:hAnsi="Arial" w:eastAsia="Arial" w:cs="Arial"/>
      <w:sz w:val="21"/>
      <w:szCs w:val="21"/>
      <w:lang w:val="en-US" w:eastAsia="en-US" w:bidi="ar-SA"/>
    </w:rPr>
  </w:style>
  <w:style w:type="paragraph" w:styleId="5">
    <w:name w:val="Body Text Indent 2"/>
    <w:basedOn w:val="1"/>
    <w:qFormat/>
    <w:uiPriority w:val="0"/>
    <w:pPr>
      <w:spacing w:line="360" w:lineRule="auto"/>
      <w:ind w:firstLine="480" w:firstLineChars="200"/>
    </w:pPr>
    <w:rPr>
      <w:rFonts w:ascii="幼圆" w:hAnsi="宋体" w:eastAsia="幼圆"/>
      <w:color w:val="FF0000"/>
      <w:sz w:val="24"/>
    </w:r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toc 1"/>
    <w:basedOn w:val="1"/>
    <w:next w:val="1"/>
    <w:qFormat/>
    <w:uiPriority w:val="0"/>
  </w:style>
  <w:style w:type="paragraph" w:styleId="9">
    <w:name w:val="Normal (Web)"/>
    <w:basedOn w:val="1"/>
    <w:qFormat/>
    <w:uiPriority w:val="0"/>
    <w:pPr>
      <w:widowControl/>
      <w:spacing w:before="100" w:beforeLines="0" w:beforeAutospacing="1" w:after="100" w:afterLines="0" w:afterAutospacing="1"/>
      <w:jc w:val="left"/>
    </w:pPr>
    <w:rPr>
      <w:rFonts w:ascii="宋体" w:hAnsi="宋体"/>
      <w:kern w:val="0"/>
      <w:sz w:val="24"/>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
    <w:name w:val="Table Normal"/>
    <w:semiHidden/>
    <w:unhideWhenUsed/>
    <w:qFormat/>
    <w:uiPriority w:val="0"/>
    <w:tblPr>
      <w:tblCellMar>
        <w:top w:w="0" w:type="dxa"/>
        <w:left w:w="0" w:type="dxa"/>
        <w:bottom w:w="0" w:type="dxa"/>
        <w:right w:w="0" w:type="dxa"/>
      </w:tblCellMar>
    </w:tblPr>
  </w:style>
  <w:style w:type="paragraph" w:customStyle="1" w:styleId="14">
    <w:name w:val="Table Text"/>
    <w:basedOn w:val="1"/>
    <w:semiHidden/>
    <w:qFormat/>
    <w:uiPriority w:val="0"/>
    <w:rPr>
      <w:rFonts w:ascii="宋体" w:hAnsi="宋体" w:eastAsia="宋体" w:cs="宋体"/>
      <w:sz w:val="24"/>
      <w:szCs w:val="24"/>
      <w:lang w:val="en-US" w:eastAsia="en-US" w:bidi="ar-SA"/>
    </w:rPr>
  </w:style>
  <w:style w:type="paragraph" w:customStyle="1" w:styleId="15">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1.xml"/><Relationship Id="rId7" Type="http://schemas.openxmlformats.org/officeDocument/2006/relationships/footer" Target="footer3.xml"/><Relationship Id="rId66" Type="http://schemas.openxmlformats.org/officeDocument/2006/relationships/fontTable" Target="fontTable.xml"/><Relationship Id="rId65" Type="http://schemas.openxmlformats.org/officeDocument/2006/relationships/numbering" Target="numbering.xml"/><Relationship Id="rId64" Type="http://schemas.openxmlformats.org/officeDocument/2006/relationships/customXml" Target="../customXml/item1.xml"/><Relationship Id="rId63" Type="http://schemas.openxmlformats.org/officeDocument/2006/relationships/image" Target="media/image25.jpeg"/><Relationship Id="rId62" Type="http://schemas.openxmlformats.org/officeDocument/2006/relationships/image" Target="media/image24.jpeg"/><Relationship Id="rId61" Type="http://schemas.openxmlformats.org/officeDocument/2006/relationships/image" Target="media/image23.jpeg"/><Relationship Id="rId60" Type="http://schemas.openxmlformats.org/officeDocument/2006/relationships/image" Target="media/image22.jpeg"/><Relationship Id="rId6" Type="http://schemas.openxmlformats.org/officeDocument/2006/relationships/footer" Target="footer2.xml"/><Relationship Id="rId59" Type="http://schemas.openxmlformats.org/officeDocument/2006/relationships/image" Target="media/image21.jpeg"/><Relationship Id="rId58" Type="http://schemas.openxmlformats.org/officeDocument/2006/relationships/image" Target="media/image20.jpeg"/><Relationship Id="rId57" Type="http://schemas.openxmlformats.org/officeDocument/2006/relationships/image" Target="media/image19.jpeg"/><Relationship Id="rId56" Type="http://schemas.openxmlformats.org/officeDocument/2006/relationships/image" Target="media/image18.jpeg"/><Relationship Id="rId55" Type="http://schemas.openxmlformats.org/officeDocument/2006/relationships/image" Target="media/image17.jpeg"/><Relationship Id="rId54" Type="http://schemas.openxmlformats.org/officeDocument/2006/relationships/image" Target="media/image16.jpeg"/><Relationship Id="rId53" Type="http://schemas.openxmlformats.org/officeDocument/2006/relationships/image" Target="media/image15.jpeg"/><Relationship Id="rId52" Type="http://schemas.openxmlformats.org/officeDocument/2006/relationships/image" Target="media/image14.png"/><Relationship Id="rId51" Type="http://schemas.openxmlformats.org/officeDocument/2006/relationships/image" Target="media/image13.png"/><Relationship Id="rId50" Type="http://schemas.openxmlformats.org/officeDocument/2006/relationships/image" Target="media/image12.png"/><Relationship Id="rId5" Type="http://schemas.openxmlformats.org/officeDocument/2006/relationships/footer" Target="footer1.xml"/><Relationship Id="rId49" Type="http://schemas.openxmlformats.org/officeDocument/2006/relationships/image" Target="media/image11.png"/><Relationship Id="rId48" Type="http://schemas.openxmlformats.org/officeDocument/2006/relationships/image" Target="media/image10.png"/><Relationship Id="rId47" Type="http://schemas.openxmlformats.org/officeDocument/2006/relationships/image" Target="media/image9.png"/><Relationship Id="rId46" Type="http://schemas.openxmlformats.org/officeDocument/2006/relationships/image" Target="media/image8.png"/><Relationship Id="rId45" Type="http://schemas.openxmlformats.org/officeDocument/2006/relationships/image" Target="media/image7.png"/><Relationship Id="rId44" Type="http://schemas.openxmlformats.org/officeDocument/2006/relationships/image" Target="media/image6.png"/><Relationship Id="rId43" Type="http://schemas.openxmlformats.org/officeDocument/2006/relationships/image" Target="media/image5.png"/><Relationship Id="rId42" Type="http://schemas.openxmlformats.org/officeDocument/2006/relationships/image" Target="media/image4.png"/><Relationship Id="rId41" Type="http://schemas.openxmlformats.org/officeDocument/2006/relationships/image" Target="media/image3.png"/><Relationship Id="rId40" Type="http://schemas.openxmlformats.org/officeDocument/2006/relationships/image" Target="media/image2.png"/><Relationship Id="rId4" Type="http://schemas.openxmlformats.org/officeDocument/2006/relationships/endnotes" Target="endnotes.xml"/><Relationship Id="rId39" Type="http://schemas.openxmlformats.org/officeDocument/2006/relationships/image" Target="media/image1.png"/><Relationship Id="rId38" Type="http://schemas.openxmlformats.org/officeDocument/2006/relationships/theme" Target="theme/theme1.xml"/><Relationship Id="rId37" Type="http://schemas.openxmlformats.org/officeDocument/2006/relationships/footer" Target="footer32.xml"/><Relationship Id="rId36" Type="http://schemas.openxmlformats.org/officeDocument/2006/relationships/footer" Target="footer31.xml"/><Relationship Id="rId35" Type="http://schemas.openxmlformats.org/officeDocument/2006/relationships/footer" Target="footer30.xml"/><Relationship Id="rId34" Type="http://schemas.openxmlformats.org/officeDocument/2006/relationships/footer" Target="footer29.xml"/><Relationship Id="rId33" Type="http://schemas.openxmlformats.org/officeDocument/2006/relationships/footer" Target="footer28.xml"/><Relationship Id="rId32" Type="http://schemas.openxmlformats.org/officeDocument/2006/relationships/footer" Target="footer27.xml"/><Relationship Id="rId31" Type="http://schemas.openxmlformats.org/officeDocument/2006/relationships/footer" Target="footer26.xml"/><Relationship Id="rId30" Type="http://schemas.openxmlformats.org/officeDocument/2006/relationships/footer" Target="footer25.xml"/><Relationship Id="rId3" Type="http://schemas.openxmlformats.org/officeDocument/2006/relationships/footnotes" Target="footnotes.xml"/><Relationship Id="rId29" Type="http://schemas.openxmlformats.org/officeDocument/2006/relationships/footer" Target="footer24.xml"/><Relationship Id="rId28" Type="http://schemas.openxmlformats.org/officeDocument/2006/relationships/footer" Target="footer23.xml"/><Relationship Id="rId27" Type="http://schemas.openxmlformats.org/officeDocument/2006/relationships/footer" Target="footer22.xml"/><Relationship Id="rId26" Type="http://schemas.openxmlformats.org/officeDocument/2006/relationships/footer" Target="footer21.xml"/><Relationship Id="rId25" Type="http://schemas.openxmlformats.org/officeDocument/2006/relationships/footer" Target="footer20.xml"/><Relationship Id="rId24" Type="http://schemas.openxmlformats.org/officeDocument/2006/relationships/footer" Target="footer19.xml"/><Relationship Id="rId23" Type="http://schemas.openxmlformats.org/officeDocument/2006/relationships/footer" Target="footer18.xml"/><Relationship Id="rId22" Type="http://schemas.openxmlformats.org/officeDocument/2006/relationships/footer" Target="footer17.xml"/><Relationship Id="rId21" Type="http://schemas.openxmlformats.org/officeDocument/2006/relationships/footer" Target="footer16.xml"/><Relationship Id="rId20" Type="http://schemas.openxmlformats.org/officeDocument/2006/relationships/footer" Target="footer15.xml"/><Relationship Id="rId2" Type="http://schemas.openxmlformats.org/officeDocument/2006/relationships/settings" Target="settings.xml"/><Relationship Id="rId19" Type="http://schemas.openxmlformats.org/officeDocument/2006/relationships/footer" Target="footer14.xml"/><Relationship Id="rId18" Type="http://schemas.openxmlformats.org/officeDocument/2006/relationships/footer" Target="footer13.xml"/><Relationship Id="rId17" Type="http://schemas.openxmlformats.org/officeDocument/2006/relationships/footer" Target="footer12.xml"/><Relationship Id="rId16" Type="http://schemas.openxmlformats.org/officeDocument/2006/relationships/footer" Target="footer11.xml"/><Relationship Id="rId15" Type="http://schemas.openxmlformats.org/officeDocument/2006/relationships/footer" Target="footer10.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89</Pages>
  <Words>3739</Words>
  <Characters>4264</Characters>
  <TotalTime>26</TotalTime>
  <ScaleCrop>false</ScaleCrop>
  <LinksUpToDate>false</LinksUpToDate>
  <CharactersWithSpaces>4289</CharactersWithSpaces>
  <Application>WPS Office_12.1.0.28505_F1E327BC-269C-435d-A152-05C5408002CA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2025-06-05T10:28:00Z</dcterms:created>
  <dc:creator>阿楠</dc:creator>
  <cp:lastModifiedBy>￥</cp:lastModifiedBy>
  <cp:lastPrinted>2026-09-10T16:09:04Z</cp:lastPrinted>
  <dcterms:modified xsi:type="dcterms:W3CDTF">2026-09-10T16:16:53Z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wqlLaW5nc29mdCBQREYgdG8gV1BTIDExMA</vt:lpwstr>
  </property>
  <property fmtid="{D5CDD505-2E9C-101B-9397-08002B2CF9AE}" pid="3" name="Created">
    <vt:filetime>2025-06-12T15:14:11Z</vt:filetime>
  </property>
  <property fmtid="{D5CDD505-2E9C-101B-9397-08002B2CF9AE}" pid="4" name="KSOTemplateDocerSaveRecord">
    <vt:lpwstr>eyJoZGlkIjoiZWIyMTZmYTkxYWQ0Y2E3MmI2NDAxNmEzNTUyZjA0ZDQiLCJ1c2VySWQiOiIyNTA0MjEzMDUifQ==</vt:lpwstr>
  </property>
  <property fmtid="{D5CDD505-2E9C-101B-9397-08002B2CF9AE}" pid="5" name="KSOProductBuildVer">
    <vt:lpwstr>2052-12.1.0.28505</vt:lpwstr>
  </property>
  <property fmtid="{D5CDD505-2E9C-101B-9397-08002B2CF9AE}" pid="6" name="ICV">
    <vt:lpwstr>D7FEDFEEAA6F4DB5800106FAAADB9BEF_13</vt:lpwstr>
  </property>
</Properties>
</file>