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26269D">
      <w:pPr>
        <w:pStyle w:val="4"/>
        <w:outlineLvl w:val="0"/>
      </w:pPr>
      <w:r>
        <w:rPr>
          <w:rFonts w:ascii="仿宋_GB2312" w:hAnsi="仿宋_GB2312" w:eastAsia="仿宋_GB2312" w:cs="仿宋_GB2312"/>
          <w:b/>
          <w:sz w:val="48"/>
        </w:rPr>
        <w:t>政府采购项目采购需求</w:t>
      </w:r>
    </w:p>
    <w:p w14:paraId="2CBDB30D">
      <w:pPr>
        <w:pStyle w:val="4"/>
      </w:pPr>
      <w:r>
        <w:rPr>
          <w:rFonts w:ascii="仿宋_GB2312" w:hAnsi="仿宋_GB2312" w:eastAsia="仿宋_GB2312" w:cs="仿宋_GB2312"/>
        </w:rPr>
        <w:t>标的名称：陕西人才网功能升级改造项目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6"/>
        <w:gridCol w:w="766"/>
        <w:gridCol w:w="6745"/>
      </w:tblGrid>
      <w:tr w14:paraId="786B4D81">
        <w:tc>
          <w:tcPr>
            <w:tcW w:w="796" w:type="dxa"/>
          </w:tcPr>
          <w:p w14:paraId="304D81AE">
            <w:pPr>
              <w:pStyle w:val="4"/>
            </w:pPr>
            <w:r>
              <w:rPr>
                <w:rFonts w:ascii="仿宋_GB2312" w:hAnsi="仿宋_GB2312" w:eastAsia="仿宋_GB2312" w:cs="仿宋_GB2312"/>
              </w:rPr>
              <w:t xml:space="preserve"> 参数性质</w:t>
            </w:r>
          </w:p>
        </w:tc>
        <w:tc>
          <w:tcPr>
            <w:tcW w:w="766" w:type="dxa"/>
          </w:tcPr>
          <w:p w14:paraId="66BFA998">
            <w:pPr>
              <w:pStyle w:val="4"/>
            </w:pPr>
            <w:r>
              <w:rPr>
                <w:rFonts w:ascii="仿宋_GB2312" w:hAnsi="仿宋_GB2312" w:eastAsia="仿宋_GB2312" w:cs="仿宋_GB2312"/>
              </w:rPr>
              <w:t xml:space="preserve"> 序号</w:t>
            </w:r>
          </w:p>
        </w:tc>
        <w:tc>
          <w:tcPr>
            <w:tcW w:w="6745" w:type="dxa"/>
          </w:tcPr>
          <w:p w14:paraId="4349AF3A">
            <w:pPr>
              <w:pStyle w:val="4"/>
            </w:pPr>
            <w:r>
              <w:rPr>
                <w:rFonts w:ascii="仿宋_GB2312" w:hAnsi="仿宋_GB2312" w:eastAsia="仿宋_GB2312" w:cs="仿宋_GB2312"/>
              </w:rPr>
              <w:t xml:space="preserve"> 技术参数与性能指标</w:t>
            </w:r>
          </w:p>
        </w:tc>
      </w:tr>
      <w:tr w14:paraId="57A2E9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6" w:type="dxa"/>
          </w:tcPr>
          <w:p w14:paraId="063B3376"/>
        </w:tc>
        <w:tc>
          <w:tcPr>
            <w:tcW w:w="766" w:type="dxa"/>
          </w:tcPr>
          <w:p w14:paraId="62B647A3">
            <w:pPr>
              <w:pStyle w:val="4"/>
            </w:pPr>
            <w:r>
              <w:rPr>
                <w:rFonts w:ascii="仿宋_GB2312" w:hAnsi="仿宋_GB2312" w:eastAsia="仿宋_GB2312" w:cs="仿宋_GB2312"/>
              </w:rPr>
              <w:t>1</w:t>
            </w:r>
          </w:p>
        </w:tc>
        <w:tc>
          <w:tcPr>
            <w:tcW w:w="6745" w:type="dxa"/>
          </w:tcPr>
          <w:p w14:paraId="1BB59166">
            <w:pPr>
              <w:pStyle w:val="4"/>
              <w:jc w:val="both"/>
              <w:outlineLvl w:val="0"/>
            </w:pPr>
            <w:r>
              <w:rPr>
                <w:rFonts w:ascii="仿宋_GB2312" w:hAnsi="仿宋_GB2312" w:eastAsia="仿宋_GB2312" w:cs="仿宋_GB2312"/>
                <w:b/>
                <w:sz w:val="21"/>
              </w:rPr>
              <w:t>一、建设背景</w:t>
            </w:r>
          </w:p>
          <w:p w14:paraId="54FC5ABC">
            <w:pPr>
              <w:pStyle w:val="4"/>
              <w:jc w:val="both"/>
              <w:outlineLvl w:val="0"/>
            </w:pPr>
            <w:r>
              <w:rPr>
                <w:rFonts w:ascii="仿宋_GB2312" w:hAnsi="仿宋_GB2312" w:eastAsia="仿宋_GB2312" w:cs="仿宋_GB2312"/>
                <w:b/>
                <w:sz w:val="21"/>
              </w:rPr>
              <w:t xml:space="preserve">  为进一步加强省级公共就业和人才服务平台管理，提升陕西人才网站功能改进和应用能力，促进“乐业陕西‘就’在三秦”招聘品牌建设，根据《人力资源社会保障部办公厅关于推进直播带岗在就业公共服务领域应用的通知》（人社厅发〔2023〕54号）、《陕西省人力资源和社会保障厅关于开展2026年全省公共就业招聘专项活动的通知》等文件要求，通过优化改造省级公共就业和人才服务平台，不断优化提升系统平台面向高校毕业生重点群体和用工单位的服务能力与水平，为求职者和企业搭建平台，向社会提供质优高效的公共就业和人才就业服务，推进公共就业和人才服务数智化转型发展，为省级公共就业和人才服务平台建设与发展注入新活力，有效促进全省级公共就业和人才服务工作高质量发展。</w:t>
            </w:r>
          </w:p>
          <w:p w14:paraId="64390144">
            <w:pPr>
              <w:pStyle w:val="4"/>
              <w:jc w:val="both"/>
              <w:outlineLvl w:val="0"/>
            </w:pPr>
            <w:r>
              <w:rPr>
                <w:rFonts w:ascii="仿宋_GB2312" w:hAnsi="仿宋_GB2312" w:eastAsia="仿宋_GB2312" w:cs="仿宋_GB2312"/>
                <w:b/>
                <w:sz w:val="21"/>
              </w:rPr>
              <w:t>二、建设目标</w:t>
            </w:r>
          </w:p>
          <w:p w14:paraId="106FEC7C">
            <w:pPr>
              <w:pStyle w:val="4"/>
              <w:jc w:val="both"/>
              <w:outlineLvl w:val="0"/>
            </w:pPr>
            <w:r>
              <w:rPr>
                <w:rFonts w:ascii="仿宋_GB2312" w:hAnsi="仿宋_GB2312" w:eastAsia="仿宋_GB2312" w:cs="仿宋_GB2312"/>
                <w:b/>
                <w:sz w:val="21"/>
              </w:rPr>
              <w:t xml:space="preserve"> </w:t>
            </w:r>
            <w:r>
              <w:rPr>
                <w:rFonts w:ascii="仿宋_GB2312" w:hAnsi="仿宋_GB2312" w:eastAsia="仿宋_GB2312" w:cs="仿宋_GB2312"/>
                <w:b/>
                <w:color w:val="000000"/>
                <w:sz w:val="21"/>
              </w:rPr>
              <w:t xml:space="preserve"> 本项目是中国西安人才市场管理委员会办公室 （陕西省人才交流服务中心）信息化建设项目。项目建设遵循人社部和省厅有关高校毕业生和重点就业困难群体稳就业、促就业工作要求，升级改造一套完整独立的高校毕业生就业创业综合性服务平台。项目按照“互联网+就业”模式，实现陕西人才网PC端和移动端功能开发，提升服务效能，提高办事企业和群众体验感。</w:t>
            </w:r>
          </w:p>
          <w:p w14:paraId="6AA4E3B3">
            <w:pPr>
              <w:pStyle w:val="4"/>
              <w:jc w:val="both"/>
              <w:outlineLvl w:val="0"/>
            </w:pPr>
            <w:r>
              <w:rPr>
                <w:rFonts w:ascii="仿宋_GB2312" w:hAnsi="仿宋_GB2312" w:eastAsia="仿宋_GB2312" w:cs="仿宋_GB2312"/>
                <w:b/>
                <w:sz w:val="21"/>
              </w:rPr>
              <w:t>三、建设原则</w:t>
            </w:r>
          </w:p>
          <w:p w14:paraId="2E3BC770">
            <w:pPr>
              <w:pStyle w:val="4"/>
              <w:jc w:val="left"/>
            </w:pPr>
            <w:r>
              <w:rPr>
                <w:rFonts w:ascii="仿宋_GB2312" w:hAnsi="仿宋_GB2312" w:eastAsia="仿宋_GB2312" w:cs="仿宋_GB2312"/>
                <w:sz w:val="21"/>
              </w:rPr>
              <w:t>（一）规范化原则。规范化是首要原则，</w:t>
            </w:r>
            <w:r>
              <w:rPr>
                <w:rFonts w:ascii="仿宋_GB2312" w:hAnsi="仿宋_GB2312" w:eastAsia="仿宋_GB2312" w:cs="仿宋_GB2312"/>
                <w:color w:val="000000"/>
                <w:sz w:val="21"/>
              </w:rPr>
              <w:t>严格遵循人社部</w:t>
            </w:r>
            <w:r>
              <w:rPr>
                <w:rFonts w:ascii="仿宋_GB2312" w:hAnsi="仿宋_GB2312" w:eastAsia="仿宋_GB2312" w:cs="仿宋_GB2312"/>
                <w:sz w:val="21"/>
              </w:rPr>
              <w:t>《全国招聘信息公共服务数据指标规范》</w:t>
            </w:r>
            <w:r>
              <w:rPr>
                <w:rFonts w:ascii="仿宋_GB2312" w:hAnsi="仿宋_GB2312" w:eastAsia="仿宋_GB2312" w:cs="仿宋_GB2312"/>
                <w:color w:val="000000"/>
                <w:sz w:val="21"/>
              </w:rPr>
              <w:t>统一业务指标、数据标准、服务规范与技术要求</w:t>
            </w:r>
            <w:r>
              <w:rPr>
                <w:rFonts w:ascii="仿宋_GB2312" w:hAnsi="仿宋_GB2312" w:eastAsia="仿宋_GB2312" w:cs="仿宋_GB2312"/>
                <w:sz w:val="21"/>
              </w:rPr>
              <w:t>，实现业务统一、数据互通、服务标准化、系统可扩展、安全合规，规范化建设和实施。</w:t>
            </w:r>
          </w:p>
          <w:p w14:paraId="7C5CD4A1">
            <w:pPr>
              <w:pStyle w:val="4"/>
              <w:jc w:val="both"/>
            </w:pPr>
            <w:r>
              <w:rPr>
                <w:rFonts w:ascii="仿宋_GB2312" w:hAnsi="仿宋_GB2312" w:eastAsia="仿宋_GB2312" w:cs="仿宋_GB2312"/>
                <w:color w:val="000000"/>
                <w:sz w:val="21"/>
              </w:rPr>
              <w:t>（二）先进性</w:t>
            </w:r>
            <w:r>
              <w:rPr>
                <w:rFonts w:ascii="仿宋_GB2312" w:hAnsi="仿宋_GB2312" w:eastAsia="仿宋_GB2312" w:cs="仿宋_GB2312"/>
                <w:sz w:val="21"/>
              </w:rPr>
              <w:t>原则</w:t>
            </w:r>
            <w:r>
              <w:rPr>
                <w:rFonts w:ascii="仿宋_GB2312" w:hAnsi="仿宋_GB2312" w:eastAsia="仿宋_GB2312" w:cs="仿宋_GB2312"/>
                <w:color w:val="000000"/>
                <w:sz w:val="21"/>
              </w:rPr>
              <w:t>。项目建设将采用当前先进且成熟的软件产品以及模块化的软件设计，保证系统在技术上先进性和代表性。</w:t>
            </w:r>
          </w:p>
          <w:p w14:paraId="064246D0">
            <w:pPr>
              <w:pStyle w:val="4"/>
              <w:jc w:val="both"/>
            </w:pPr>
            <w:r>
              <w:rPr>
                <w:rFonts w:ascii="仿宋_GB2312" w:hAnsi="仿宋_GB2312" w:eastAsia="仿宋_GB2312" w:cs="仿宋_GB2312"/>
                <w:color w:val="000000"/>
                <w:sz w:val="21"/>
              </w:rPr>
              <w:t>（三）可扩展性</w:t>
            </w:r>
            <w:r>
              <w:rPr>
                <w:rFonts w:ascii="仿宋_GB2312" w:hAnsi="仿宋_GB2312" w:eastAsia="仿宋_GB2312" w:cs="仿宋_GB2312"/>
                <w:sz w:val="21"/>
              </w:rPr>
              <w:t>原则</w:t>
            </w:r>
            <w:r>
              <w:rPr>
                <w:rFonts w:ascii="仿宋_GB2312" w:hAnsi="仿宋_GB2312" w:eastAsia="仿宋_GB2312" w:cs="仿宋_GB2312"/>
                <w:color w:val="000000"/>
                <w:sz w:val="21"/>
              </w:rPr>
              <w:t>。在拓展和提升整体应用功能建设方面，将进一步扩展设备容量和提升平台性能，满足平台快速发展的业务需求和性能要求。</w:t>
            </w:r>
          </w:p>
          <w:p w14:paraId="5438ADB1">
            <w:pPr>
              <w:pStyle w:val="4"/>
              <w:jc w:val="both"/>
            </w:pPr>
            <w:r>
              <w:rPr>
                <w:rFonts w:ascii="仿宋_GB2312" w:hAnsi="仿宋_GB2312" w:eastAsia="仿宋_GB2312" w:cs="仿宋_GB2312"/>
                <w:color w:val="000000"/>
                <w:sz w:val="21"/>
              </w:rPr>
              <w:t>（四）安全性</w:t>
            </w:r>
            <w:r>
              <w:rPr>
                <w:rFonts w:ascii="仿宋_GB2312" w:hAnsi="仿宋_GB2312" w:eastAsia="仿宋_GB2312" w:cs="仿宋_GB2312"/>
                <w:sz w:val="21"/>
              </w:rPr>
              <w:t>原则</w:t>
            </w:r>
            <w:r>
              <w:rPr>
                <w:rFonts w:ascii="仿宋_GB2312" w:hAnsi="仿宋_GB2312" w:eastAsia="仿宋_GB2312" w:cs="仿宋_GB2312"/>
                <w:color w:val="000000"/>
                <w:sz w:val="21"/>
              </w:rPr>
              <w:t>。项目建设工作按照要求，建立与其相适应的安全措施和多种安全可靠性技术手段，保证系统建设和数据应用安全稳定。</w:t>
            </w:r>
          </w:p>
          <w:p w14:paraId="0D3B0DBE">
            <w:pPr>
              <w:pStyle w:val="4"/>
              <w:jc w:val="both"/>
            </w:pPr>
            <w:r>
              <w:rPr>
                <w:rFonts w:ascii="仿宋_GB2312" w:hAnsi="仿宋_GB2312" w:eastAsia="仿宋_GB2312" w:cs="仿宋_GB2312"/>
                <w:color w:val="000000"/>
                <w:sz w:val="21"/>
              </w:rPr>
              <w:t>（五）易用性与可管理性</w:t>
            </w:r>
            <w:r>
              <w:rPr>
                <w:rFonts w:ascii="仿宋_GB2312" w:hAnsi="仿宋_GB2312" w:eastAsia="仿宋_GB2312" w:cs="仿宋_GB2312"/>
                <w:sz w:val="21"/>
              </w:rPr>
              <w:t>原则</w:t>
            </w:r>
            <w:r>
              <w:rPr>
                <w:rFonts w:ascii="仿宋_GB2312" w:hAnsi="仿宋_GB2312" w:eastAsia="仿宋_GB2312" w:cs="仿宋_GB2312"/>
                <w:color w:val="000000"/>
                <w:sz w:val="21"/>
              </w:rPr>
              <w:t>。系统要方便、快捷地部署业务矩阵，平台本身应具有良好的操作界面、详实的应用信息，所有系统参数的维护与管理要求通过操作界面完成。同时具备完善的管理方法。</w:t>
            </w:r>
          </w:p>
          <w:p w14:paraId="431E21EB">
            <w:pPr>
              <w:pStyle w:val="4"/>
              <w:jc w:val="both"/>
            </w:pPr>
            <w:r>
              <w:rPr>
                <w:rFonts w:ascii="仿宋_GB2312" w:hAnsi="仿宋_GB2312" w:eastAsia="仿宋_GB2312" w:cs="仿宋_GB2312"/>
                <w:color w:val="000000"/>
                <w:sz w:val="21"/>
              </w:rPr>
              <w:t>（六）可维护性</w:t>
            </w:r>
            <w:r>
              <w:rPr>
                <w:rFonts w:ascii="仿宋_GB2312" w:hAnsi="仿宋_GB2312" w:eastAsia="仿宋_GB2312" w:cs="仿宋_GB2312"/>
                <w:sz w:val="21"/>
              </w:rPr>
              <w:t>原则</w:t>
            </w:r>
            <w:r>
              <w:rPr>
                <w:rFonts w:ascii="仿宋_GB2312" w:hAnsi="仿宋_GB2312" w:eastAsia="仿宋_GB2312" w:cs="仿宋_GB2312"/>
                <w:color w:val="000000"/>
                <w:sz w:val="21"/>
              </w:rPr>
              <w:t>。项目建设应满足系统的日常巡检、性能监控、故障告警、故障诊断和恢复、日志分析和管理、数据备份和恢复、应急预案等运行维护管理要求。</w:t>
            </w:r>
          </w:p>
          <w:p w14:paraId="2D757D90">
            <w:pPr>
              <w:pStyle w:val="4"/>
              <w:jc w:val="both"/>
            </w:pPr>
            <w:r>
              <w:rPr>
                <w:rFonts w:ascii="仿宋_GB2312" w:hAnsi="仿宋_GB2312" w:eastAsia="仿宋_GB2312" w:cs="仿宋_GB2312"/>
                <w:sz w:val="21"/>
              </w:rPr>
              <w:t>四、建设内容</w:t>
            </w:r>
          </w:p>
          <w:p w14:paraId="26493DFF">
            <w:pPr>
              <w:pStyle w:val="4"/>
              <w:ind w:firstLine="360"/>
              <w:jc w:val="both"/>
            </w:pPr>
            <w:r>
              <w:rPr>
                <w:rFonts w:ascii="仿宋_GB2312" w:hAnsi="仿宋_GB2312" w:eastAsia="仿宋_GB2312" w:cs="仿宋_GB2312"/>
                <w:sz w:val="21"/>
              </w:rPr>
              <w:t>陕西人才网升级改造项目主要内容包括：（一）页面设计与功能优化：内容包括：高校毕业生服务、招聘服务、人才服务、云招聘会场、工作动态、业务办理、互动帮助、下载专区等栏目模块；（二）建立就业云招聘平台：开发线上招聘会场、视频面试间、直播带岗、直播就业指导等服务功能，通过线上匹配互动和影像交流沟通，实现供需双方精准对接；（三）建立省级就业岗位信息资源库：完成网站业务数据共享接口的开发工作，实现多平台的公共就业岗位数据对接融合，归集形成省级就业岗位信息资源库。（四）精准匹配就业岗位：通过整合平台招聘岗位资源，完善人岗匹配应用功能，实现</w:t>
            </w:r>
            <w:r>
              <w:rPr>
                <w:rFonts w:ascii="仿宋_GB2312" w:hAnsi="仿宋_GB2312" w:eastAsia="仿宋_GB2312" w:cs="仿宋_GB2312"/>
                <w:color w:val="000000"/>
                <w:sz w:val="21"/>
                <w:shd w:val="clear" w:fill="FFFFFF"/>
              </w:rPr>
              <w:t>人工智能AI发送就业岗位信息，</w:t>
            </w:r>
            <w:r>
              <w:rPr>
                <w:rFonts w:ascii="仿宋_GB2312" w:hAnsi="仿宋_GB2312" w:eastAsia="仿宋_GB2312" w:cs="仿宋_GB2312"/>
                <w:sz w:val="21"/>
              </w:rPr>
              <w:t>为高校毕业生和重点群体失业人员提供精准岗位匹配。（五）信息管理与统计分析：完善后台数据资源管理、单位管理中心、个人求职中心、数据分析管理等功能模块；（六）</w:t>
            </w:r>
            <w:r>
              <w:rPr>
                <w:rFonts w:ascii="仿宋_GB2312" w:hAnsi="仿宋_GB2312" w:eastAsia="仿宋_GB2312" w:cs="仿宋_GB2312"/>
                <w:color w:val="000000"/>
                <w:sz w:val="21"/>
              </w:rPr>
              <w:t>开发</w:t>
            </w:r>
            <w:r>
              <w:rPr>
                <w:rFonts w:ascii="仿宋_GB2312" w:hAnsi="仿宋_GB2312" w:eastAsia="仿宋_GB2312" w:cs="仿宋_GB2312"/>
                <w:sz w:val="21"/>
              </w:rPr>
              <w:t>移动端小程序</w:t>
            </w:r>
            <w:r>
              <w:rPr>
                <w:rFonts w:ascii="仿宋_GB2312" w:hAnsi="仿宋_GB2312" w:eastAsia="仿宋_GB2312" w:cs="仿宋_GB2312"/>
                <w:color w:val="000000"/>
                <w:sz w:val="21"/>
              </w:rPr>
              <w:t>和H5页面：在</w:t>
            </w:r>
            <w:r>
              <w:rPr>
                <w:rFonts w:ascii="仿宋_GB2312" w:hAnsi="仿宋_GB2312" w:eastAsia="仿宋_GB2312" w:cs="仿宋_GB2312"/>
                <w:sz w:val="21"/>
              </w:rPr>
              <w:t>升级改造网站</w:t>
            </w:r>
            <w:r>
              <w:rPr>
                <w:rFonts w:ascii="仿宋_GB2312" w:hAnsi="仿宋_GB2312" w:eastAsia="仿宋_GB2312" w:cs="仿宋_GB2312"/>
                <w:color w:val="000000"/>
                <w:sz w:val="21"/>
              </w:rPr>
              <w:t>PC端功能应用的基础上，开发建设陕西人才网微信小程序移动端应用，全面同步打通 PC 端系统平台全部功能模块与业务属性，实现数据同源、流程统一、权限一致的移动端服务窗口。办事群众在移动端可完整使用 PC 端所有服务管理功能，打造双端互通、功能完整、高效便捷的移动应用载体</w:t>
            </w:r>
            <w:r>
              <w:rPr>
                <w:rFonts w:ascii="仿宋_GB2312" w:hAnsi="仿宋_GB2312" w:eastAsia="仿宋_GB2312" w:cs="仿宋_GB2312"/>
                <w:sz w:val="21"/>
              </w:rPr>
              <w:t>。</w:t>
            </w:r>
          </w:p>
          <w:p w14:paraId="101A907A">
            <w:pPr>
              <w:pStyle w:val="4"/>
              <w:jc w:val="both"/>
              <w:outlineLvl w:val="1"/>
            </w:pPr>
            <w:r>
              <w:rPr>
                <w:rFonts w:ascii="仿宋_GB2312" w:hAnsi="仿宋_GB2312" w:eastAsia="仿宋_GB2312" w:cs="仿宋_GB2312"/>
                <w:b/>
                <w:sz w:val="21"/>
              </w:rPr>
              <w:t xml:space="preserve"> （一）页面设计与功能优化</w:t>
            </w:r>
          </w:p>
          <w:p w14:paraId="6729FBAA">
            <w:pPr>
              <w:pStyle w:val="4"/>
              <w:ind w:firstLine="360"/>
              <w:jc w:val="both"/>
            </w:pPr>
            <w:r>
              <w:rPr>
                <w:rFonts w:ascii="仿宋_GB2312" w:hAnsi="仿宋_GB2312" w:eastAsia="仿宋_GB2312" w:cs="仿宋_GB2312"/>
                <w:color w:val="000000"/>
                <w:sz w:val="21"/>
              </w:rPr>
              <w:t>1.首页：优化升级</w:t>
            </w:r>
            <w:r>
              <w:rPr>
                <w:rFonts w:ascii="仿宋_GB2312" w:hAnsi="仿宋_GB2312" w:eastAsia="仿宋_GB2312" w:cs="仿宋_GB2312"/>
                <w:sz w:val="21"/>
              </w:rPr>
              <w:t>高校毕业生服务、招聘服务、人才服务、工作动态、业务办理、互动帮助、下载专区</w:t>
            </w:r>
            <w:r>
              <w:rPr>
                <w:rFonts w:ascii="仿宋_GB2312" w:hAnsi="仿宋_GB2312" w:eastAsia="仿宋_GB2312" w:cs="仿宋_GB2312"/>
                <w:color w:val="000000"/>
                <w:sz w:val="21"/>
              </w:rPr>
              <w:t>等栏目模块，新增云招聘会场模块。2.专区专栏：优化城乡基层岗位专栏、事业单位招录专区、高校毕业生就业创业专区、各类就业活动专区等。</w:t>
            </w:r>
          </w:p>
          <w:p w14:paraId="744BF393">
            <w:pPr>
              <w:pStyle w:val="4"/>
              <w:jc w:val="both"/>
              <w:outlineLvl w:val="1"/>
            </w:pPr>
            <w:r>
              <w:rPr>
                <w:rFonts w:ascii="仿宋_GB2312" w:hAnsi="仿宋_GB2312" w:eastAsia="仿宋_GB2312" w:cs="仿宋_GB2312"/>
                <w:b/>
                <w:sz w:val="21"/>
              </w:rPr>
              <w:t>（二）就业云招聘平台</w:t>
            </w:r>
          </w:p>
          <w:p w14:paraId="5CA9875E">
            <w:pPr>
              <w:pStyle w:val="4"/>
              <w:ind w:firstLine="360"/>
              <w:jc w:val="left"/>
            </w:pPr>
            <w:r>
              <w:rPr>
                <w:rFonts w:ascii="仿宋_GB2312" w:hAnsi="仿宋_GB2312" w:eastAsia="仿宋_GB2312" w:cs="仿宋_GB2312"/>
                <w:sz w:val="21"/>
              </w:rPr>
              <w:t>1.视频面试间：增加线上视频面试功能，项目建设要求能在PC端和移动端、微信小程序进行跨平台流畅的视频面试。PC端兼容主流浏览器，移动端兼容安卓及IOS操作系统。2.线上招聘会场功能：就业活动专场建立，报名单位岗位、主题页审核；单位报名、岗位管理、简历管理；个人报名、简历投递管理等。3.直播活动（直播带岗、直播就业指导等）开发功能：直播前，实现直播基础配置、用人单位素材审核管理及主播后台筹备、权限安全设置；直播中，开发多视角推介、岗位实时挂载、实时互动（留言、连麦）、简历一键投递及反馈、直播管控与应急处置功能；直播后，支持回放生成与剪辑、多维度数据统计、简历跟进提醒及资料归档。开发主播与专家身份备案审核、违规内容检测拦截，精细化权限分级管理功能，保障合规与服务标准化。4.直播数据统计分析：根据每场直播情况，进行直播数据采集统计分析，自动生成数据统计分析报告。</w:t>
            </w:r>
          </w:p>
          <w:p w14:paraId="43EA1017">
            <w:pPr>
              <w:pStyle w:val="4"/>
              <w:jc w:val="left"/>
            </w:pPr>
            <w:r>
              <w:rPr>
                <w:rFonts w:ascii="仿宋_GB2312" w:hAnsi="仿宋_GB2312" w:eastAsia="仿宋_GB2312" w:cs="仿宋_GB2312"/>
                <w:sz w:val="21"/>
              </w:rPr>
              <w:t>（三）省级就业岗位信息资源库</w:t>
            </w:r>
          </w:p>
          <w:p w14:paraId="1E409EE6">
            <w:pPr>
              <w:pStyle w:val="4"/>
              <w:ind w:firstLine="360"/>
              <w:jc w:val="both"/>
            </w:pPr>
            <w:r>
              <w:rPr>
                <w:rFonts w:ascii="仿宋_GB2312" w:hAnsi="仿宋_GB2312" w:eastAsia="仿宋_GB2312" w:cs="仿宋_GB2312"/>
                <w:sz w:val="21"/>
              </w:rPr>
              <w:t>整合开发利用数据资源，完成全省公共就业和人才服务业务数据共享接口的开发工作，实现公共就业岗位数据共享对接，建设省市（区）县全方位覆盖的就业岗位信息数据交互平台，形成省级就业信息资源库。1.对接网站：“秦云就业”平台、社会第三方平台。2.数据信息迁移：包括企业基本信息、企业发布招聘信息、个人求职信息、线上线下招聘会信息等数据。</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476"/>
              <w:gridCol w:w="1306"/>
              <w:gridCol w:w="4011"/>
            </w:tblGrid>
            <w:tr w14:paraId="3E9E49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13" w:type="dxa"/>
                  <w:gridSpan w:val="4"/>
                  <w:tcBorders>
                    <w:top w:val="single" w:color="000000" w:sz="4" w:space="0"/>
                    <w:left w:val="single" w:color="000000" w:sz="4" w:space="0"/>
                    <w:bottom w:val="single" w:color="000000" w:sz="4" w:space="0"/>
                    <w:right w:val="single" w:color="000000" w:sz="4" w:space="0"/>
                  </w:tcBorders>
                  <w:shd w:val="clear" w:color="auto" w:fill="D8D8D8"/>
                  <w:tcMar>
                    <w:top w:w="0" w:type="dxa"/>
                    <w:left w:w="105" w:type="dxa"/>
                    <w:bottom w:w="0" w:type="dxa"/>
                    <w:right w:w="105" w:type="dxa"/>
                  </w:tcMar>
                  <w:vAlign w:val="top"/>
                </w:tcPr>
                <w:p w14:paraId="39B5ADA3">
                  <w:pPr>
                    <w:pStyle w:val="4"/>
                    <w:spacing w:before="105" w:after="105"/>
                    <w:jc w:val="center"/>
                  </w:pPr>
                  <w:r>
                    <w:rPr>
                      <w:rFonts w:ascii="仿宋_GB2312" w:hAnsi="仿宋_GB2312" w:eastAsia="仿宋_GB2312" w:cs="仿宋_GB2312"/>
                      <w:sz w:val="21"/>
                    </w:rPr>
                    <w:t>招聘数据共享平台建设清单</w:t>
                  </w:r>
                </w:p>
              </w:tc>
            </w:tr>
            <w:tr w14:paraId="488E71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shd w:val="clear" w:color="auto" w:fill="D8D8D8"/>
                  <w:tcMar>
                    <w:top w:w="0" w:type="dxa"/>
                    <w:left w:w="105" w:type="dxa"/>
                    <w:bottom w:w="0" w:type="dxa"/>
                    <w:right w:w="105" w:type="dxa"/>
                  </w:tcMar>
                  <w:vAlign w:val="top"/>
                </w:tcPr>
                <w:p w14:paraId="4CE76A56">
                  <w:pPr>
                    <w:pStyle w:val="4"/>
                    <w:spacing w:before="105" w:after="105"/>
                    <w:jc w:val="center"/>
                  </w:pPr>
                  <w:r>
                    <w:rPr>
                      <w:rFonts w:ascii="仿宋_GB2312" w:hAnsi="仿宋_GB2312" w:eastAsia="仿宋_GB2312" w:cs="仿宋_GB2312"/>
                      <w:sz w:val="21"/>
                    </w:rPr>
                    <w:t>序号</w:t>
                  </w:r>
                </w:p>
              </w:tc>
              <w:tc>
                <w:tcPr>
                  <w:tcW w:w="476" w:type="dxa"/>
                  <w:tcBorders>
                    <w:top w:val="nil"/>
                    <w:left w:val="nil"/>
                    <w:bottom w:val="single" w:color="000000" w:sz="4" w:space="0"/>
                    <w:right w:val="single" w:color="000000" w:sz="4" w:space="0"/>
                  </w:tcBorders>
                  <w:shd w:val="clear" w:color="auto" w:fill="D8D8D8"/>
                  <w:tcMar>
                    <w:top w:w="0" w:type="dxa"/>
                    <w:left w:w="105" w:type="dxa"/>
                    <w:bottom w:w="0" w:type="dxa"/>
                    <w:right w:w="105" w:type="dxa"/>
                  </w:tcMar>
                  <w:vAlign w:val="top"/>
                </w:tcPr>
                <w:p w14:paraId="75C52D47">
                  <w:pPr>
                    <w:pStyle w:val="4"/>
                    <w:spacing w:before="105" w:after="105"/>
                    <w:jc w:val="center"/>
                  </w:pPr>
                  <w:r>
                    <w:rPr>
                      <w:rFonts w:ascii="仿宋_GB2312" w:hAnsi="仿宋_GB2312" w:eastAsia="仿宋_GB2312" w:cs="仿宋_GB2312"/>
                      <w:sz w:val="21"/>
                    </w:rPr>
                    <w:t>业务子系统</w:t>
                  </w:r>
                </w:p>
              </w:tc>
              <w:tc>
                <w:tcPr>
                  <w:tcW w:w="1306" w:type="dxa"/>
                  <w:tcBorders>
                    <w:top w:val="nil"/>
                    <w:left w:val="nil"/>
                    <w:bottom w:val="single" w:color="000000" w:sz="4" w:space="0"/>
                    <w:right w:val="single" w:color="000000" w:sz="4" w:space="0"/>
                  </w:tcBorders>
                  <w:shd w:val="clear" w:color="auto" w:fill="D8D8D8"/>
                  <w:tcMar>
                    <w:top w:w="0" w:type="dxa"/>
                    <w:left w:w="105" w:type="dxa"/>
                    <w:bottom w:w="0" w:type="dxa"/>
                    <w:right w:w="105" w:type="dxa"/>
                  </w:tcMar>
                  <w:vAlign w:val="top"/>
                </w:tcPr>
                <w:p w14:paraId="29B41391">
                  <w:pPr>
                    <w:pStyle w:val="4"/>
                    <w:spacing w:before="105" w:after="105"/>
                    <w:jc w:val="center"/>
                  </w:pPr>
                  <w:r>
                    <w:rPr>
                      <w:rFonts w:ascii="仿宋_GB2312" w:hAnsi="仿宋_GB2312" w:eastAsia="仿宋_GB2312" w:cs="仿宋_GB2312"/>
                      <w:sz w:val="21"/>
                    </w:rPr>
                    <w:t>模块（一级）</w:t>
                  </w:r>
                </w:p>
              </w:tc>
              <w:tc>
                <w:tcPr>
                  <w:tcW w:w="4011" w:type="dxa"/>
                  <w:tcBorders>
                    <w:top w:val="nil"/>
                    <w:left w:val="nil"/>
                    <w:bottom w:val="single" w:color="000000" w:sz="4" w:space="0"/>
                    <w:right w:val="single" w:color="000000" w:sz="4" w:space="0"/>
                  </w:tcBorders>
                  <w:shd w:val="clear" w:color="auto" w:fill="D8D8D8"/>
                  <w:tcMar>
                    <w:top w:w="0" w:type="dxa"/>
                    <w:left w:w="105" w:type="dxa"/>
                    <w:bottom w:w="0" w:type="dxa"/>
                    <w:right w:w="105" w:type="dxa"/>
                  </w:tcMar>
                  <w:vAlign w:val="top"/>
                </w:tcPr>
                <w:p w14:paraId="4DA7E2A3">
                  <w:pPr>
                    <w:pStyle w:val="4"/>
                    <w:spacing w:before="105" w:after="105"/>
                    <w:jc w:val="center"/>
                  </w:pPr>
                  <w:r>
                    <w:rPr>
                      <w:rFonts w:ascii="仿宋_GB2312" w:hAnsi="仿宋_GB2312" w:eastAsia="仿宋_GB2312" w:cs="仿宋_GB2312"/>
                      <w:sz w:val="21"/>
                    </w:rPr>
                    <w:t>模块（二级）</w:t>
                  </w:r>
                </w:p>
              </w:tc>
            </w:tr>
            <w:tr w14:paraId="49BF7D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2CD24F">
                  <w:pPr>
                    <w:pStyle w:val="4"/>
                    <w:spacing w:before="105" w:after="105"/>
                    <w:jc w:val="center"/>
                  </w:pPr>
                  <w:r>
                    <w:rPr>
                      <w:rFonts w:ascii="仿宋_GB2312" w:hAnsi="仿宋_GB2312" w:eastAsia="仿宋_GB2312" w:cs="仿宋_GB2312"/>
                      <w:sz w:val="21"/>
                    </w:rPr>
                    <w:t>1</w:t>
                  </w:r>
                </w:p>
              </w:tc>
              <w:tc>
                <w:tcPr>
                  <w:tcW w:w="47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3B9B1C2">
                  <w:pPr>
                    <w:pStyle w:val="4"/>
                    <w:spacing w:before="105" w:after="105"/>
                    <w:jc w:val="center"/>
                  </w:pPr>
                  <w:r>
                    <w:rPr>
                      <w:rFonts w:ascii="仿宋_GB2312" w:hAnsi="仿宋_GB2312" w:eastAsia="仿宋_GB2312" w:cs="仿宋_GB2312"/>
                      <w:sz w:val="21"/>
                    </w:rPr>
                    <w:t>省级岗位信息资源库</w:t>
                  </w:r>
                </w:p>
              </w:tc>
              <w:tc>
                <w:tcPr>
                  <w:tcW w:w="130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B721E06">
                  <w:pPr>
                    <w:pStyle w:val="4"/>
                    <w:spacing w:before="105" w:after="105"/>
                    <w:jc w:val="center"/>
                  </w:pPr>
                  <w:r>
                    <w:rPr>
                      <w:rFonts w:ascii="仿宋_GB2312" w:hAnsi="仿宋_GB2312" w:eastAsia="仿宋_GB2312" w:cs="仿宋_GB2312"/>
                      <w:sz w:val="21"/>
                    </w:rPr>
                    <w:t>招聘数据共享接口</w:t>
                  </w:r>
                </w:p>
              </w:tc>
              <w:tc>
                <w:tcPr>
                  <w:tcW w:w="40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F8A9C7">
                  <w:pPr>
                    <w:pStyle w:val="4"/>
                    <w:spacing w:before="105" w:after="105"/>
                    <w:jc w:val="center"/>
                  </w:pPr>
                  <w:r>
                    <w:rPr>
                      <w:rFonts w:ascii="仿宋_GB2312" w:hAnsi="仿宋_GB2312" w:eastAsia="仿宋_GB2312" w:cs="仿宋_GB2312"/>
                      <w:sz w:val="21"/>
                    </w:rPr>
                    <w:t>企业信息共享接口</w:t>
                  </w:r>
                </w:p>
              </w:tc>
            </w:tr>
            <w:tr w14:paraId="10FC89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D504B9">
                  <w:pPr>
                    <w:pStyle w:val="4"/>
                    <w:spacing w:before="105" w:after="105"/>
                    <w:jc w:val="center"/>
                  </w:pPr>
                  <w:r>
                    <w:rPr>
                      <w:rFonts w:ascii="仿宋_GB2312" w:hAnsi="仿宋_GB2312" w:eastAsia="仿宋_GB2312" w:cs="仿宋_GB2312"/>
                      <w:sz w:val="21"/>
                    </w:rPr>
                    <w:t>2</w:t>
                  </w:r>
                </w:p>
              </w:tc>
              <w:tc>
                <w:tcPr>
                  <w:tcW w:w="476" w:type="dxa"/>
                  <w:vMerge w:val="continue"/>
                  <w:tcBorders>
                    <w:top w:val="nil"/>
                    <w:left w:val="nil"/>
                    <w:bottom w:val="single" w:color="000000" w:sz="4" w:space="0"/>
                    <w:right w:val="single" w:color="000000" w:sz="4" w:space="0"/>
                  </w:tcBorders>
                </w:tcPr>
                <w:p w14:paraId="3F1C4C59"/>
              </w:tc>
              <w:tc>
                <w:tcPr>
                  <w:tcW w:w="1306" w:type="dxa"/>
                  <w:vMerge w:val="continue"/>
                  <w:tcBorders>
                    <w:top w:val="nil"/>
                    <w:left w:val="nil"/>
                    <w:bottom w:val="single" w:color="000000" w:sz="4" w:space="0"/>
                    <w:right w:val="single" w:color="000000" w:sz="4" w:space="0"/>
                  </w:tcBorders>
                </w:tcPr>
                <w:p w14:paraId="2A5E93B6"/>
              </w:tc>
              <w:tc>
                <w:tcPr>
                  <w:tcW w:w="40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8622D6">
                  <w:pPr>
                    <w:pStyle w:val="4"/>
                    <w:spacing w:before="105" w:after="105"/>
                    <w:jc w:val="center"/>
                  </w:pPr>
                  <w:r>
                    <w:rPr>
                      <w:rFonts w:ascii="仿宋_GB2312" w:hAnsi="仿宋_GB2312" w:eastAsia="仿宋_GB2312" w:cs="仿宋_GB2312"/>
                      <w:sz w:val="21"/>
                    </w:rPr>
                    <w:t>岗位信息共享接口</w:t>
                  </w:r>
                </w:p>
              </w:tc>
            </w:tr>
            <w:tr w14:paraId="2E9CBB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C4DA6E">
                  <w:pPr>
                    <w:pStyle w:val="4"/>
                    <w:spacing w:before="105" w:after="105"/>
                    <w:jc w:val="center"/>
                  </w:pPr>
                  <w:r>
                    <w:rPr>
                      <w:rFonts w:ascii="仿宋_GB2312" w:hAnsi="仿宋_GB2312" w:eastAsia="仿宋_GB2312" w:cs="仿宋_GB2312"/>
                      <w:sz w:val="21"/>
                    </w:rPr>
                    <w:t>3</w:t>
                  </w:r>
                </w:p>
              </w:tc>
              <w:tc>
                <w:tcPr>
                  <w:tcW w:w="476" w:type="dxa"/>
                  <w:vMerge w:val="continue"/>
                  <w:tcBorders>
                    <w:top w:val="nil"/>
                    <w:left w:val="nil"/>
                    <w:bottom w:val="single" w:color="000000" w:sz="4" w:space="0"/>
                    <w:right w:val="single" w:color="000000" w:sz="4" w:space="0"/>
                  </w:tcBorders>
                </w:tcPr>
                <w:p w14:paraId="5631DDAC"/>
              </w:tc>
              <w:tc>
                <w:tcPr>
                  <w:tcW w:w="1306" w:type="dxa"/>
                  <w:vMerge w:val="continue"/>
                  <w:tcBorders>
                    <w:top w:val="nil"/>
                    <w:left w:val="nil"/>
                    <w:bottom w:val="single" w:color="000000" w:sz="4" w:space="0"/>
                    <w:right w:val="single" w:color="000000" w:sz="4" w:space="0"/>
                  </w:tcBorders>
                </w:tcPr>
                <w:p w14:paraId="577C2175"/>
              </w:tc>
              <w:tc>
                <w:tcPr>
                  <w:tcW w:w="40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193890">
                  <w:pPr>
                    <w:pStyle w:val="4"/>
                    <w:spacing w:before="105" w:after="105"/>
                    <w:jc w:val="center"/>
                  </w:pPr>
                  <w:r>
                    <w:rPr>
                      <w:rFonts w:ascii="仿宋_GB2312" w:hAnsi="仿宋_GB2312" w:eastAsia="仿宋_GB2312" w:cs="仿宋_GB2312"/>
                      <w:sz w:val="21"/>
                    </w:rPr>
                    <w:t>招聘公告共享接口</w:t>
                  </w:r>
                </w:p>
              </w:tc>
            </w:tr>
            <w:tr w14:paraId="4B3F04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C4B9CD">
                  <w:pPr>
                    <w:pStyle w:val="4"/>
                    <w:spacing w:before="105" w:after="105"/>
                    <w:jc w:val="center"/>
                  </w:pPr>
                  <w:r>
                    <w:rPr>
                      <w:rFonts w:ascii="仿宋_GB2312" w:hAnsi="仿宋_GB2312" w:eastAsia="仿宋_GB2312" w:cs="仿宋_GB2312"/>
                      <w:sz w:val="21"/>
                    </w:rPr>
                    <w:t>4</w:t>
                  </w:r>
                </w:p>
              </w:tc>
              <w:tc>
                <w:tcPr>
                  <w:tcW w:w="476" w:type="dxa"/>
                  <w:vMerge w:val="continue"/>
                  <w:tcBorders>
                    <w:top w:val="nil"/>
                    <w:left w:val="nil"/>
                    <w:bottom w:val="single" w:color="000000" w:sz="4" w:space="0"/>
                    <w:right w:val="single" w:color="000000" w:sz="4" w:space="0"/>
                  </w:tcBorders>
                </w:tcPr>
                <w:p w14:paraId="75557E9A"/>
              </w:tc>
              <w:tc>
                <w:tcPr>
                  <w:tcW w:w="130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ABC95CF">
                  <w:pPr>
                    <w:pStyle w:val="4"/>
                    <w:spacing w:before="105" w:after="105"/>
                    <w:jc w:val="center"/>
                  </w:pPr>
                  <w:r>
                    <w:rPr>
                      <w:rFonts w:ascii="仿宋_GB2312" w:hAnsi="仿宋_GB2312" w:eastAsia="仿宋_GB2312" w:cs="仿宋_GB2312"/>
                      <w:sz w:val="21"/>
                    </w:rPr>
                    <w:t>求职数据共享接口</w:t>
                  </w:r>
                </w:p>
              </w:tc>
              <w:tc>
                <w:tcPr>
                  <w:tcW w:w="40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442F82">
                  <w:pPr>
                    <w:pStyle w:val="4"/>
                    <w:spacing w:before="105" w:after="105"/>
                    <w:jc w:val="center"/>
                  </w:pPr>
                  <w:r>
                    <w:rPr>
                      <w:rFonts w:ascii="仿宋_GB2312" w:hAnsi="仿宋_GB2312" w:eastAsia="仿宋_GB2312" w:cs="仿宋_GB2312"/>
                      <w:sz w:val="21"/>
                    </w:rPr>
                    <w:t>个人信息共享接口</w:t>
                  </w:r>
                </w:p>
              </w:tc>
            </w:tr>
            <w:tr w14:paraId="347C11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D7B4F2">
                  <w:pPr>
                    <w:pStyle w:val="4"/>
                    <w:spacing w:before="105" w:after="105"/>
                    <w:jc w:val="center"/>
                  </w:pPr>
                  <w:r>
                    <w:rPr>
                      <w:rFonts w:ascii="仿宋_GB2312" w:hAnsi="仿宋_GB2312" w:eastAsia="仿宋_GB2312" w:cs="仿宋_GB2312"/>
                      <w:sz w:val="21"/>
                    </w:rPr>
                    <w:t>5</w:t>
                  </w:r>
                </w:p>
              </w:tc>
              <w:tc>
                <w:tcPr>
                  <w:tcW w:w="476" w:type="dxa"/>
                  <w:vMerge w:val="continue"/>
                  <w:tcBorders>
                    <w:top w:val="nil"/>
                    <w:left w:val="nil"/>
                    <w:bottom w:val="single" w:color="000000" w:sz="4" w:space="0"/>
                    <w:right w:val="single" w:color="000000" w:sz="4" w:space="0"/>
                  </w:tcBorders>
                </w:tcPr>
                <w:p w14:paraId="76149C8C"/>
              </w:tc>
              <w:tc>
                <w:tcPr>
                  <w:tcW w:w="1306" w:type="dxa"/>
                  <w:vMerge w:val="continue"/>
                  <w:tcBorders>
                    <w:top w:val="nil"/>
                    <w:left w:val="nil"/>
                    <w:bottom w:val="single" w:color="000000" w:sz="4" w:space="0"/>
                    <w:right w:val="single" w:color="000000" w:sz="4" w:space="0"/>
                  </w:tcBorders>
                </w:tcPr>
                <w:p w14:paraId="1C8644E1"/>
              </w:tc>
              <w:tc>
                <w:tcPr>
                  <w:tcW w:w="40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F63F15">
                  <w:pPr>
                    <w:pStyle w:val="4"/>
                    <w:spacing w:before="105" w:after="105"/>
                    <w:jc w:val="center"/>
                  </w:pPr>
                  <w:r>
                    <w:rPr>
                      <w:rFonts w:ascii="仿宋_GB2312" w:hAnsi="仿宋_GB2312" w:eastAsia="仿宋_GB2312" w:cs="仿宋_GB2312"/>
                      <w:sz w:val="21"/>
                    </w:rPr>
                    <w:t>求职意向共享接口</w:t>
                  </w:r>
                </w:p>
              </w:tc>
            </w:tr>
            <w:tr w14:paraId="48E84E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5927D">
                  <w:pPr>
                    <w:pStyle w:val="4"/>
                    <w:spacing w:before="105" w:after="105"/>
                    <w:jc w:val="center"/>
                  </w:pPr>
                  <w:r>
                    <w:rPr>
                      <w:rFonts w:ascii="仿宋_GB2312" w:hAnsi="仿宋_GB2312" w:eastAsia="仿宋_GB2312" w:cs="仿宋_GB2312"/>
                      <w:sz w:val="21"/>
                    </w:rPr>
                    <w:t>6</w:t>
                  </w:r>
                </w:p>
              </w:tc>
              <w:tc>
                <w:tcPr>
                  <w:tcW w:w="476" w:type="dxa"/>
                  <w:vMerge w:val="continue"/>
                  <w:tcBorders>
                    <w:top w:val="nil"/>
                    <w:left w:val="nil"/>
                    <w:bottom w:val="single" w:color="000000" w:sz="4" w:space="0"/>
                    <w:right w:val="single" w:color="000000" w:sz="4" w:space="0"/>
                  </w:tcBorders>
                </w:tcPr>
                <w:p w14:paraId="0A6D79D4"/>
              </w:tc>
              <w:tc>
                <w:tcPr>
                  <w:tcW w:w="130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C0EA3A5">
                  <w:pPr>
                    <w:pStyle w:val="4"/>
                    <w:spacing w:before="105" w:after="105"/>
                    <w:jc w:val="center"/>
                  </w:pPr>
                  <w:r>
                    <w:rPr>
                      <w:rFonts w:ascii="仿宋_GB2312" w:hAnsi="仿宋_GB2312" w:eastAsia="仿宋_GB2312" w:cs="仿宋_GB2312"/>
                      <w:sz w:val="21"/>
                    </w:rPr>
                    <w:t>招聘会数据共享接口</w:t>
                  </w:r>
                </w:p>
              </w:tc>
              <w:tc>
                <w:tcPr>
                  <w:tcW w:w="40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E9170">
                  <w:pPr>
                    <w:pStyle w:val="4"/>
                    <w:spacing w:before="105" w:after="105"/>
                    <w:jc w:val="center"/>
                  </w:pPr>
                  <w:r>
                    <w:rPr>
                      <w:rFonts w:ascii="仿宋_GB2312" w:hAnsi="仿宋_GB2312" w:eastAsia="仿宋_GB2312" w:cs="仿宋_GB2312"/>
                      <w:sz w:val="21"/>
                    </w:rPr>
                    <w:t>招聘会讯共享接口</w:t>
                  </w:r>
                </w:p>
              </w:tc>
            </w:tr>
            <w:tr w14:paraId="15AC7E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F603F">
                  <w:pPr>
                    <w:pStyle w:val="4"/>
                    <w:spacing w:before="105" w:after="105"/>
                    <w:jc w:val="center"/>
                  </w:pPr>
                  <w:r>
                    <w:rPr>
                      <w:rFonts w:ascii="仿宋_GB2312" w:hAnsi="仿宋_GB2312" w:eastAsia="仿宋_GB2312" w:cs="仿宋_GB2312"/>
                      <w:sz w:val="21"/>
                    </w:rPr>
                    <w:t>7</w:t>
                  </w:r>
                </w:p>
              </w:tc>
              <w:tc>
                <w:tcPr>
                  <w:tcW w:w="476" w:type="dxa"/>
                  <w:vMerge w:val="continue"/>
                  <w:tcBorders>
                    <w:top w:val="nil"/>
                    <w:left w:val="nil"/>
                    <w:bottom w:val="single" w:color="000000" w:sz="4" w:space="0"/>
                    <w:right w:val="single" w:color="000000" w:sz="4" w:space="0"/>
                  </w:tcBorders>
                </w:tcPr>
                <w:p w14:paraId="4B4E6972"/>
              </w:tc>
              <w:tc>
                <w:tcPr>
                  <w:tcW w:w="1306" w:type="dxa"/>
                  <w:vMerge w:val="continue"/>
                  <w:tcBorders>
                    <w:top w:val="nil"/>
                    <w:left w:val="nil"/>
                    <w:bottom w:val="single" w:color="000000" w:sz="4" w:space="0"/>
                    <w:right w:val="single" w:color="000000" w:sz="4" w:space="0"/>
                  </w:tcBorders>
                </w:tcPr>
                <w:p w14:paraId="19FA66EA"/>
              </w:tc>
              <w:tc>
                <w:tcPr>
                  <w:tcW w:w="40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382171">
                  <w:pPr>
                    <w:pStyle w:val="4"/>
                    <w:spacing w:before="105" w:after="105"/>
                    <w:jc w:val="center"/>
                  </w:pPr>
                  <w:r>
                    <w:rPr>
                      <w:rFonts w:ascii="仿宋_GB2312" w:hAnsi="仿宋_GB2312" w:eastAsia="仿宋_GB2312" w:cs="仿宋_GB2312"/>
                      <w:sz w:val="21"/>
                    </w:rPr>
                    <w:t>招聘会数据共享接口</w:t>
                  </w:r>
                </w:p>
              </w:tc>
            </w:tr>
            <w:tr w14:paraId="51EE99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48890A">
                  <w:pPr>
                    <w:pStyle w:val="4"/>
                    <w:spacing w:before="105" w:after="105"/>
                    <w:jc w:val="center"/>
                  </w:pPr>
                  <w:r>
                    <w:rPr>
                      <w:rFonts w:ascii="仿宋_GB2312" w:hAnsi="仿宋_GB2312" w:eastAsia="仿宋_GB2312" w:cs="仿宋_GB2312"/>
                      <w:sz w:val="21"/>
                    </w:rPr>
                    <w:t>8</w:t>
                  </w:r>
                </w:p>
              </w:tc>
              <w:tc>
                <w:tcPr>
                  <w:tcW w:w="476" w:type="dxa"/>
                  <w:vMerge w:val="continue"/>
                  <w:tcBorders>
                    <w:top w:val="nil"/>
                    <w:left w:val="nil"/>
                    <w:bottom w:val="single" w:color="000000" w:sz="4" w:space="0"/>
                    <w:right w:val="single" w:color="000000" w:sz="4" w:space="0"/>
                  </w:tcBorders>
                </w:tcPr>
                <w:p w14:paraId="762E7199"/>
              </w:tc>
              <w:tc>
                <w:tcPr>
                  <w:tcW w:w="1306" w:type="dxa"/>
                  <w:vMerge w:val="continue"/>
                  <w:tcBorders>
                    <w:top w:val="nil"/>
                    <w:left w:val="nil"/>
                    <w:bottom w:val="single" w:color="000000" w:sz="4" w:space="0"/>
                    <w:right w:val="single" w:color="000000" w:sz="4" w:space="0"/>
                  </w:tcBorders>
                </w:tcPr>
                <w:p w14:paraId="397429F5"/>
              </w:tc>
              <w:tc>
                <w:tcPr>
                  <w:tcW w:w="40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382D0">
                  <w:pPr>
                    <w:pStyle w:val="4"/>
                    <w:spacing w:before="105" w:after="105"/>
                    <w:jc w:val="center"/>
                  </w:pPr>
                  <w:r>
                    <w:rPr>
                      <w:rFonts w:ascii="仿宋_GB2312" w:hAnsi="仿宋_GB2312" w:eastAsia="仿宋_GB2312" w:cs="仿宋_GB2312"/>
                      <w:sz w:val="21"/>
                    </w:rPr>
                    <w:t>参展单位数据共享接口</w:t>
                  </w:r>
                </w:p>
              </w:tc>
            </w:tr>
            <w:tr w14:paraId="37CAAA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B11CE6">
                  <w:pPr>
                    <w:pStyle w:val="4"/>
                    <w:spacing w:before="105" w:after="105"/>
                    <w:jc w:val="center"/>
                  </w:pPr>
                  <w:r>
                    <w:rPr>
                      <w:rFonts w:ascii="仿宋_GB2312" w:hAnsi="仿宋_GB2312" w:eastAsia="仿宋_GB2312" w:cs="仿宋_GB2312"/>
                      <w:sz w:val="21"/>
                    </w:rPr>
                    <w:t>9</w:t>
                  </w:r>
                </w:p>
              </w:tc>
              <w:tc>
                <w:tcPr>
                  <w:tcW w:w="476" w:type="dxa"/>
                  <w:vMerge w:val="continue"/>
                  <w:tcBorders>
                    <w:top w:val="nil"/>
                    <w:left w:val="nil"/>
                    <w:bottom w:val="single" w:color="000000" w:sz="4" w:space="0"/>
                    <w:right w:val="single" w:color="000000" w:sz="4" w:space="0"/>
                  </w:tcBorders>
                </w:tcPr>
                <w:p w14:paraId="2A130601"/>
              </w:tc>
              <w:tc>
                <w:tcPr>
                  <w:tcW w:w="1306" w:type="dxa"/>
                  <w:vMerge w:val="continue"/>
                  <w:tcBorders>
                    <w:top w:val="nil"/>
                    <w:left w:val="nil"/>
                    <w:bottom w:val="single" w:color="000000" w:sz="4" w:space="0"/>
                    <w:right w:val="single" w:color="000000" w:sz="4" w:space="0"/>
                  </w:tcBorders>
                </w:tcPr>
                <w:p w14:paraId="2CFC0B2A"/>
              </w:tc>
              <w:tc>
                <w:tcPr>
                  <w:tcW w:w="40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1D7097">
                  <w:pPr>
                    <w:pStyle w:val="4"/>
                    <w:spacing w:before="105" w:after="105"/>
                    <w:jc w:val="center"/>
                  </w:pPr>
                  <w:r>
                    <w:rPr>
                      <w:rFonts w:ascii="仿宋_GB2312" w:hAnsi="仿宋_GB2312" w:eastAsia="仿宋_GB2312" w:cs="仿宋_GB2312"/>
                      <w:sz w:val="21"/>
                    </w:rPr>
                    <w:t>协议签订数据共享接口</w:t>
                  </w:r>
                </w:p>
              </w:tc>
            </w:tr>
          </w:tbl>
          <w:p w14:paraId="118B070B">
            <w:pPr>
              <w:pStyle w:val="4"/>
              <w:jc w:val="both"/>
            </w:pPr>
            <w:r>
              <w:rPr>
                <w:rFonts w:ascii="仿宋_GB2312" w:hAnsi="仿宋_GB2312" w:eastAsia="仿宋_GB2312" w:cs="仿宋_GB2312"/>
                <w:sz w:val="21"/>
              </w:rPr>
              <w:t>（四）精准匹配就业岗位</w:t>
            </w:r>
          </w:p>
          <w:p w14:paraId="7A6024A2">
            <w:pPr>
              <w:pStyle w:val="4"/>
              <w:ind w:firstLine="420"/>
              <w:jc w:val="both"/>
            </w:pPr>
            <w:r>
              <w:rPr>
                <w:rFonts w:ascii="仿宋_GB2312" w:hAnsi="仿宋_GB2312" w:eastAsia="仿宋_GB2312" w:cs="仿宋_GB2312"/>
                <w:sz w:val="21"/>
              </w:rPr>
              <w:t xml:space="preserve"> 通过整合平台招聘岗位资源，完善人岗匹配应用功能，</w:t>
            </w:r>
            <w:r>
              <w:rPr>
                <w:rFonts w:ascii="仿宋_GB2312" w:hAnsi="仿宋_GB2312" w:eastAsia="仿宋_GB2312" w:cs="仿宋_GB2312"/>
                <w:color w:val="000000"/>
                <w:sz w:val="21"/>
                <w:shd w:val="clear" w:fill="FFFFFF"/>
              </w:rPr>
              <w:t>人工智能AI发送就业岗位信息，</w:t>
            </w:r>
            <w:r>
              <w:rPr>
                <w:rFonts w:ascii="仿宋_GB2312" w:hAnsi="仿宋_GB2312" w:eastAsia="仿宋_GB2312" w:cs="仿宋_GB2312"/>
                <w:sz w:val="21"/>
              </w:rPr>
              <w:t>为高校毕业生和重点群体失业人员提供精准岗位匹配。</w:t>
            </w:r>
          </w:p>
          <w:p w14:paraId="357A686D">
            <w:pPr>
              <w:pStyle w:val="4"/>
              <w:spacing w:before="105" w:after="105"/>
              <w:jc w:val="both"/>
              <w:outlineLvl w:val="1"/>
            </w:pPr>
            <w:r>
              <w:rPr>
                <w:rFonts w:ascii="仿宋_GB2312" w:hAnsi="仿宋_GB2312" w:eastAsia="仿宋_GB2312" w:cs="仿宋_GB2312"/>
                <w:b/>
                <w:sz w:val="21"/>
              </w:rPr>
              <w:t>（五）信息管理与统计</w:t>
            </w:r>
          </w:p>
          <w:p w14:paraId="788EA0EF">
            <w:pPr>
              <w:pStyle w:val="4"/>
              <w:spacing w:before="105" w:after="105"/>
              <w:jc w:val="both"/>
              <w:outlineLvl w:val="1"/>
            </w:pPr>
            <w:r>
              <w:rPr>
                <w:rFonts w:ascii="仿宋_GB2312" w:hAnsi="仿宋_GB2312" w:eastAsia="仿宋_GB2312" w:cs="仿宋_GB2312"/>
                <w:b/>
                <w:sz w:val="21"/>
              </w:rPr>
              <w:t>陕西人才网管理后台：（1）单位相关：①单位管理模块：单位基本信息查询修改；②申请审核模块：单位审核、营业执照、logo、宣传图片、宣传视频等单位资源审核；（2）个人相关：①普通简历：简历查询；②个人管理：个人信息维护、账号密码重置、快速登录；③附件简历：附件简历查看审核；④求职信：求职信查看审核；⑤身份审核。（3）岗位发布：后台快速发布岗位。（4）敏感词管理：网站岗位、简历等关键信息敏感词过滤。（5）公共管理：文章、宣传图内容发布管理。（6）统计报表：各项报表统计分析。（7）系统设置：工作人员信息、权限管理。</w:t>
            </w:r>
          </w:p>
          <w:p w14:paraId="1A226B14">
            <w:pPr>
              <w:pStyle w:val="4"/>
              <w:ind w:firstLine="361"/>
              <w:jc w:val="both"/>
            </w:pPr>
            <w:r>
              <w:rPr>
                <w:rFonts w:ascii="仿宋_GB2312" w:hAnsi="仿宋_GB2312" w:eastAsia="仿宋_GB2312" w:cs="仿宋_GB2312"/>
                <w:sz w:val="21"/>
              </w:rPr>
              <w:t>个人求职中心：（1）个人帐户管理：个人账户注册、账号密码等信息安全管理、个人基本信息管理。（2）简历管理：在线简历信息维护、附件简历上传、求职信管理、屏蔽管理。（3）岗位搜索：关键字快速搜索、分类精确搜索、定制搜索、</w:t>
            </w:r>
            <w:r>
              <w:rPr>
                <w:rFonts w:ascii="仿宋_GB2312" w:hAnsi="仿宋_GB2312" w:eastAsia="仿宋_GB2312" w:cs="仿宋_GB2312"/>
                <w:color w:val="000000"/>
                <w:sz w:val="21"/>
              </w:rPr>
              <w:t>岗位精准/模糊匹配</w:t>
            </w:r>
            <w:r>
              <w:rPr>
                <w:rFonts w:ascii="仿宋_GB2312" w:hAnsi="仿宋_GB2312" w:eastAsia="仿宋_GB2312" w:cs="仿宋_GB2312"/>
                <w:sz w:val="21"/>
              </w:rPr>
              <w:t>（支持短信接口）、网络招聘现场职位多渠道搜索。（4）求职管理：谁看过我的简历、谁邀请我面试、已申请的职位、已收藏的职位、已关注的单位。（5）职位智能推荐。运用人工智能+就业岗位，为求职者提供可供选择的就业岗位信息。（6）视频面试管理：视频面试功能、语音面试功能、即时聊天功能、聊天消息存储功能、文字、语音、图片消息分类、聊天常用语管理功能、黑名单功能、面试人员管理功能、面试记录管理功能。</w:t>
            </w:r>
          </w:p>
          <w:p w14:paraId="44A81133">
            <w:pPr>
              <w:pStyle w:val="4"/>
              <w:ind w:firstLine="361"/>
              <w:jc w:val="both"/>
            </w:pPr>
            <w:r>
              <w:rPr>
                <w:rFonts w:ascii="仿宋_GB2312" w:hAnsi="仿宋_GB2312" w:eastAsia="仿宋_GB2312" w:cs="仿宋_GB2312"/>
                <w:sz w:val="21"/>
              </w:rPr>
              <w:t>单位管理中心：（1）单位帐户管理：单位账户注册、账号密码等信息安全管理、单位基本资料管理、证照上传、logo上传、子账号管理。（2）网络招聘：网络岗位发布、已发布的岗位、未发布岗位、审核未通过岗位、已下线岗位信息。（3）人才搜索：关键字快速搜索、分类精确搜索、简历搜索器。（4）简历管理：已收简历、已邀请面试简历、已查看联系方式简历、</w:t>
            </w:r>
            <w:r>
              <w:rPr>
                <w:rFonts w:ascii="仿宋_GB2312" w:hAnsi="仿宋_GB2312" w:eastAsia="仿宋_GB2312" w:cs="仿宋_GB2312"/>
                <w:color w:val="000000"/>
                <w:sz w:val="21"/>
              </w:rPr>
              <w:t>简历智能匹配推送、</w:t>
            </w:r>
            <w:r>
              <w:rPr>
                <w:rFonts w:ascii="仿宋_GB2312" w:hAnsi="仿宋_GB2312" w:eastAsia="仿宋_GB2312" w:cs="仿宋_GB2312"/>
                <w:sz w:val="21"/>
              </w:rPr>
              <w:t>已收藏简历、邀请函模板。（5）视频面试管理：视频面试功能、语音面试功能、即时聊天功能、聊天消息存储功能、文字、语音、图片消息分类、聊天常用语管理功能、黑名单功能、面试人员管理功能、面试记录管理功能。</w:t>
            </w:r>
          </w:p>
          <w:p w14:paraId="16E6B8B7">
            <w:pPr>
              <w:pStyle w:val="4"/>
              <w:jc w:val="both"/>
            </w:pPr>
            <w:r>
              <w:rPr>
                <w:rFonts w:ascii="仿宋_GB2312" w:hAnsi="仿宋_GB2312" w:eastAsia="仿宋_GB2312" w:cs="仿宋_GB2312"/>
                <w:sz w:val="21"/>
              </w:rPr>
              <w:t>（六）移动端小程序</w:t>
            </w:r>
            <w:r>
              <w:rPr>
                <w:rFonts w:ascii="仿宋_GB2312" w:hAnsi="仿宋_GB2312" w:eastAsia="仿宋_GB2312" w:cs="仿宋_GB2312"/>
                <w:color w:val="000000"/>
                <w:sz w:val="21"/>
              </w:rPr>
              <w:t>和H5页面</w:t>
            </w:r>
          </w:p>
          <w:p w14:paraId="091F31E6">
            <w:pPr>
              <w:pStyle w:val="4"/>
              <w:ind w:firstLine="360"/>
              <w:jc w:val="both"/>
            </w:pPr>
            <w:r>
              <w:rPr>
                <w:rFonts w:ascii="仿宋_GB2312" w:hAnsi="仿宋_GB2312" w:eastAsia="仿宋_GB2312" w:cs="仿宋_GB2312"/>
                <w:color w:val="000000"/>
                <w:sz w:val="21"/>
              </w:rPr>
              <w:t>在</w:t>
            </w:r>
            <w:r>
              <w:rPr>
                <w:rFonts w:ascii="仿宋_GB2312" w:hAnsi="仿宋_GB2312" w:eastAsia="仿宋_GB2312" w:cs="仿宋_GB2312"/>
                <w:sz w:val="21"/>
              </w:rPr>
              <w:t>升级改造网站</w:t>
            </w:r>
            <w:r>
              <w:rPr>
                <w:rFonts w:ascii="仿宋_GB2312" w:hAnsi="仿宋_GB2312" w:eastAsia="仿宋_GB2312" w:cs="仿宋_GB2312"/>
                <w:color w:val="000000"/>
                <w:sz w:val="21"/>
              </w:rPr>
              <w:t>PC端功能应用的基础上，开发建设陕西人才网微信小程序移动端应用。</w:t>
            </w:r>
            <w:r>
              <w:rPr>
                <w:rFonts w:ascii="仿宋_GB2312" w:hAnsi="仿宋_GB2312" w:eastAsia="仿宋_GB2312" w:cs="仿宋_GB2312"/>
                <w:sz w:val="21"/>
              </w:rPr>
              <w:t>（1）</w:t>
            </w:r>
            <w:r>
              <w:rPr>
                <w:rFonts w:ascii="仿宋_GB2312" w:hAnsi="仿宋_GB2312" w:eastAsia="仿宋_GB2312" w:cs="仿宋_GB2312"/>
                <w:color w:val="000000"/>
                <w:sz w:val="21"/>
              </w:rPr>
              <w:t>首页：</w:t>
            </w:r>
            <w:r>
              <w:rPr>
                <w:rFonts w:ascii="仿宋_GB2312" w:hAnsi="仿宋_GB2312" w:eastAsia="仿宋_GB2312" w:cs="仿宋_GB2312"/>
                <w:sz w:val="21"/>
              </w:rPr>
              <w:t>高校毕业生服务、招聘服务、人才服务、云招聘会场、工作动态、业务办理、互动帮助、下载专区</w:t>
            </w:r>
            <w:r>
              <w:rPr>
                <w:rFonts w:ascii="仿宋_GB2312" w:hAnsi="仿宋_GB2312" w:eastAsia="仿宋_GB2312" w:cs="仿宋_GB2312"/>
                <w:color w:val="000000"/>
                <w:sz w:val="21"/>
              </w:rPr>
              <w:t>等栏目模块。（2）专区专栏：城乡基层岗位专栏、事业单位招录专区、高校毕业省专区、各类就业活动专区等。</w:t>
            </w:r>
            <w:r>
              <w:rPr>
                <w:rFonts w:ascii="仿宋_GB2312" w:hAnsi="仿宋_GB2312" w:eastAsia="仿宋_GB2312" w:cs="仿宋_GB2312"/>
                <w:sz w:val="21"/>
              </w:rPr>
              <w:t>（3）视频面试、招聘会、直播功能：移动小程序端支持视频各类功能、简历投递、数据统计等，适用于视频面试、招聘会、政策宣讲、直播带岗等各种视频场景。（4）PC端其他各项主要功能的迁移开发应用。</w:t>
            </w:r>
          </w:p>
          <w:p w14:paraId="43E7395A">
            <w:pPr>
              <w:pStyle w:val="4"/>
              <w:spacing w:before="105" w:after="105"/>
              <w:jc w:val="both"/>
              <w:outlineLvl w:val="0"/>
            </w:pPr>
            <w:r>
              <w:rPr>
                <w:rFonts w:ascii="仿宋_GB2312" w:hAnsi="仿宋_GB2312" w:eastAsia="仿宋_GB2312" w:cs="仿宋_GB2312"/>
                <w:b/>
                <w:sz w:val="21"/>
              </w:rPr>
              <w:t xml:space="preserve"> 五、项目建设其他要求</w:t>
            </w:r>
          </w:p>
          <w:p w14:paraId="738D3C34">
            <w:pPr>
              <w:pStyle w:val="4"/>
              <w:spacing w:before="105" w:after="105"/>
              <w:jc w:val="both"/>
              <w:outlineLvl w:val="1"/>
            </w:pPr>
            <w:r>
              <w:rPr>
                <w:rFonts w:ascii="仿宋_GB2312" w:hAnsi="仿宋_GB2312" w:eastAsia="仿宋_GB2312" w:cs="仿宋_GB2312"/>
                <w:b/>
                <w:sz w:val="21"/>
              </w:rPr>
              <w:t>（一）项目实施要求：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2010"/>
              <w:gridCol w:w="1826"/>
              <w:gridCol w:w="2070"/>
            </w:tblGrid>
            <w:tr w14:paraId="3AF640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single" w:color="000000" w:sz="4" w:space="0"/>
                    <w:left w:val="single" w:color="000000" w:sz="4" w:space="0"/>
                    <w:bottom w:val="single" w:color="000000" w:sz="4" w:space="0"/>
                    <w:right w:val="single" w:color="000000" w:sz="4" w:space="0"/>
                  </w:tcBorders>
                  <w:shd w:val="clear" w:color="auto" w:fill="E0E0E0"/>
                  <w:tcMar>
                    <w:top w:w="0" w:type="dxa"/>
                    <w:left w:w="105" w:type="dxa"/>
                    <w:bottom w:w="0" w:type="dxa"/>
                    <w:right w:w="105" w:type="dxa"/>
                  </w:tcMar>
                  <w:vAlign w:val="top"/>
                </w:tcPr>
                <w:p w14:paraId="22E5D087">
                  <w:pPr>
                    <w:pStyle w:val="4"/>
                    <w:jc w:val="center"/>
                  </w:pPr>
                  <w:r>
                    <w:rPr>
                      <w:rFonts w:ascii="仿宋_GB2312" w:hAnsi="仿宋_GB2312" w:eastAsia="仿宋_GB2312" w:cs="仿宋_GB2312"/>
                      <w:b/>
                      <w:sz w:val="21"/>
                    </w:rPr>
                    <w:t>序号</w:t>
                  </w:r>
                </w:p>
              </w:tc>
              <w:tc>
                <w:tcPr>
                  <w:tcW w:w="2010" w:type="dxa"/>
                  <w:tcBorders>
                    <w:top w:val="single" w:color="000000" w:sz="4" w:space="0"/>
                    <w:left w:val="single" w:color="000000" w:sz="4" w:space="0"/>
                    <w:bottom w:val="single" w:color="000000" w:sz="4" w:space="0"/>
                    <w:right w:val="single" w:color="000000" w:sz="4" w:space="0"/>
                  </w:tcBorders>
                  <w:shd w:val="clear" w:color="auto" w:fill="E0E0E0"/>
                  <w:tcMar>
                    <w:top w:w="0" w:type="dxa"/>
                    <w:left w:w="105" w:type="dxa"/>
                    <w:bottom w:w="0" w:type="dxa"/>
                    <w:right w:w="105" w:type="dxa"/>
                  </w:tcMar>
                  <w:vAlign w:val="top"/>
                </w:tcPr>
                <w:p w14:paraId="0800A78D">
                  <w:pPr>
                    <w:pStyle w:val="4"/>
                    <w:jc w:val="center"/>
                  </w:pPr>
                  <w:r>
                    <w:rPr>
                      <w:rFonts w:ascii="仿宋_GB2312" w:hAnsi="仿宋_GB2312" w:eastAsia="仿宋_GB2312" w:cs="仿宋_GB2312"/>
                      <w:b/>
                      <w:sz w:val="21"/>
                    </w:rPr>
                    <w:t>产品实施任务阶段</w:t>
                  </w:r>
                </w:p>
              </w:tc>
              <w:tc>
                <w:tcPr>
                  <w:tcW w:w="1826" w:type="dxa"/>
                  <w:tcBorders>
                    <w:top w:val="single" w:color="000000" w:sz="4" w:space="0"/>
                    <w:left w:val="single" w:color="000000" w:sz="4" w:space="0"/>
                    <w:bottom w:val="single" w:color="000000" w:sz="4" w:space="0"/>
                    <w:right w:val="single" w:color="000000" w:sz="4" w:space="0"/>
                  </w:tcBorders>
                  <w:shd w:val="clear" w:color="auto" w:fill="E0E0E0"/>
                  <w:tcMar>
                    <w:top w:w="0" w:type="dxa"/>
                    <w:left w:w="105" w:type="dxa"/>
                    <w:bottom w:w="0" w:type="dxa"/>
                    <w:right w:w="105" w:type="dxa"/>
                  </w:tcMar>
                  <w:vAlign w:val="top"/>
                </w:tcPr>
                <w:p w14:paraId="44E00300">
                  <w:pPr>
                    <w:pStyle w:val="4"/>
                    <w:jc w:val="center"/>
                  </w:pPr>
                  <w:r>
                    <w:rPr>
                      <w:rFonts w:ascii="仿宋_GB2312" w:hAnsi="仿宋_GB2312" w:eastAsia="仿宋_GB2312" w:cs="仿宋_GB2312"/>
                      <w:b/>
                      <w:sz w:val="21"/>
                    </w:rPr>
                    <w:t>任务内容</w:t>
                  </w:r>
                </w:p>
              </w:tc>
              <w:tc>
                <w:tcPr>
                  <w:tcW w:w="2070" w:type="dxa"/>
                  <w:tcBorders>
                    <w:top w:val="single" w:color="000000" w:sz="4" w:space="0"/>
                    <w:left w:val="single" w:color="000000" w:sz="4" w:space="0"/>
                    <w:bottom w:val="single" w:color="000000" w:sz="4" w:space="0"/>
                    <w:right w:val="single" w:color="000000" w:sz="4" w:space="0"/>
                  </w:tcBorders>
                  <w:shd w:val="clear" w:color="auto" w:fill="E0E0E0"/>
                  <w:tcMar>
                    <w:top w:w="0" w:type="dxa"/>
                    <w:left w:w="105" w:type="dxa"/>
                    <w:bottom w:w="0" w:type="dxa"/>
                    <w:right w:w="105" w:type="dxa"/>
                  </w:tcMar>
                  <w:vAlign w:val="top"/>
                </w:tcPr>
                <w:p w14:paraId="0D91A525">
                  <w:pPr>
                    <w:pStyle w:val="4"/>
                    <w:jc w:val="center"/>
                  </w:pPr>
                  <w:r>
                    <w:rPr>
                      <w:rFonts w:ascii="仿宋_GB2312" w:hAnsi="仿宋_GB2312" w:eastAsia="仿宋_GB2312" w:cs="仿宋_GB2312"/>
                      <w:b/>
                      <w:sz w:val="21"/>
                    </w:rPr>
                    <w:t>成果要求</w:t>
                  </w:r>
                </w:p>
              </w:tc>
            </w:tr>
            <w:tr w14:paraId="6BCA9A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B1F838">
                  <w:pPr>
                    <w:pStyle w:val="4"/>
                    <w:jc w:val="center"/>
                  </w:pPr>
                  <w:r>
                    <w:rPr>
                      <w:rFonts w:ascii="仿宋_GB2312" w:hAnsi="仿宋_GB2312" w:eastAsia="仿宋_GB2312" w:cs="仿宋_GB2312"/>
                      <w:sz w:val="21"/>
                    </w:rPr>
                    <w:t>1</w:t>
                  </w:r>
                </w:p>
              </w:tc>
              <w:tc>
                <w:tcPr>
                  <w:tcW w:w="20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6E0067">
                  <w:pPr>
                    <w:pStyle w:val="4"/>
                    <w:jc w:val="left"/>
                  </w:pPr>
                  <w:r>
                    <w:rPr>
                      <w:rFonts w:ascii="仿宋_GB2312" w:hAnsi="仿宋_GB2312" w:eastAsia="仿宋_GB2312" w:cs="仿宋_GB2312"/>
                      <w:sz w:val="21"/>
                    </w:rPr>
                    <w:t>需求分析阶段</w:t>
                  </w:r>
                </w:p>
              </w:tc>
              <w:tc>
                <w:tcPr>
                  <w:tcW w:w="182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371A79">
                  <w:pPr>
                    <w:pStyle w:val="4"/>
                    <w:jc w:val="left"/>
                  </w:pPr>
                  <w:r>
                    <w:rPr>
                      <w:rFonts w:ascii="仿宋_GB2312" w:hAnsi="仿宋_GB2312" w:eastAsia="仿宋_GB2312" w:cs="仿宋_GB2312"/>
                      <w:sz w:val="21"/>
                    </w:rPr>
                    <w:t>开展需求分析设计</w:t>
                  </w:r>
                </w:p>
              </w:tc>
              <w:tc>
                <w:tcPr>
                  <w:tcW w:w="207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6329907">
                  <w:pPr>
                    <w:pStyle w:val="4"/>
                    <w:jc w:val="left"/>
                  </w:pPr>
                  <w:r>
                    <w:rPr>
                      <w:rFonts w:ascii="仿宋_GB2312" w:hAnsi="仿宋_GB2312" w:eastAsia="仿宋_GB2312" w:cs="仿宋_GB2312"/>
                      <w:sz w:val="21"/>
                    </w:rPr>
                    <w:t>需求分析报告</w:t>
                  </w:r>
                </w:p>
              </w:tc>
            </w:tr>
            <w:tr w14:paraId="7B6FCE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5FCF7F">
                  <w:pPr>
                    <w:pStyle w:val="4"/>
                    <w:jc w:val="center"/>
                  </w:pPr>
                  <w:r>
                    <w:rPr>
                      <w:rFonts w:ascii="仿宋_GB2312" w:hAnsi="仿宋_GB2312" w:eastAsia="仿宋_GB2312" w:cs="仿宋_GB2312"/>
                      <w:sz w:val="21"/>
                    </w:rPr>
                    <w:t>2</w:t>
                  </w:r>
                </w:p>
              </w:tc>
              <w:tc>
                <w:tcPr>
                  <w:tcW w:w="20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CF0FAA">
                  <w:pPr>
                    <w:pStyle w:val="4"/>
                    <w:jc w:val="left"/>
                  </w:pPr>
                  <w:r>
                    <w:rPr>
                      <w:rFonts w:ascii="仿宋_GB2312" w:hAnsi="仿宋_GB2312" w:eastAsia="仿宋_GB2312" w:cs="仿宋_GB2312"/>
                      <w:sz w:val="21"/>
                    </w:rPr>
                    <w:t>研发及评审测试</w:t>
                  </w:r>
                </w:p>
              </w:tc>
              <w:tc>
                <w:tcPr>
                  <w:tcW w:w="182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3A77A4">
                  <w:pPr>
                    <w:pStyle w:val="4"/>
                    <w:jc w:val="left"/>
                  </w:pPr>
                  <w:r>
                    <w:rPr>
                      <w:rFonts w:ascii="仿宋_GB2312" w:hAnsi="仿宋_GB2312" w:eastAsia="仿宋_GB2312" w:cs="仿宋_GB2312"/>
                      <w:sz w:val="21"/>
                    </w:rPr>
                    <w:t>根据用户需求进行产品研发</w:t>
                  </w:r>
                </w:p>
              </w:tc>
              <w:tc>
                <w:tcPr>
                  <w:tcW w:w="207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C7CF9EF">
                  <w:pPr>
                    <w:pStyle w:val="4"/>
                    <w:jc w:val="left"/>
                  </w:pPr>
                  <w:r>
                    <w:rPr>
                      <w:rFonts w:ascii="仿宋_GB2312" w:hAnsi="仿宋_GB2312" w:eastAsia="仿宋_GB2312" w:cs="仿宋_GB2312"/>
                      <w:sz w:val="21"/>
                    </w:rPr>
                    <w:t>《系统设计说明书》</w:t>
                  </w:r>
                </w:p>
                <w:p w14:paraId="2A389E75">
                  <w:pPr>
                    <w:pStyle w:val="4"/>
                    <w:jc w:val="left"/>
                  </w:pPr>
                  <w:r>
                    <w:rPr>
                      <w:rFonts w:ascii="仿宋_GB2312" w:hAnsi="仿宋_GB2312" w:eastAsia="仿宋_GB2312" w:cs="仿宋_GB2312"/>
                      <w:sz w:val="21"/>
                    </w:rPr>
                    <w:t>系统开发文档</w:t>
                  </w:r>
                </w:p>
              </w:tc>
            </w:tr>
            <w:tr w14:paraId="44F75F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0AFAD9">
                  <w:pPr>
                    <w:pStyle w:val="4"/>
                    <w:jc w:val="center"/>
                  </w:pPr>
                  <w:r>
                    <w:rPr>
                      <w:rFonts w:ascii="仿宋_GB2312" w:hAnsi="仿宋_GB2312" w:eastAsia="仿宋_GB2312" w:cs="仿宋_GB2312"/>
                      <w:sz w:val="21"/>
                    </w:rPr>
                    <w:t>3</w:t>
                  </w:r>
                </w:p>
              </w:tc>
              <w:tc>
                <w:tcPr>
                  <w:tcW w:w="20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A3AD04">
                  <w:pPr>
                    <w:pStyle w:val="4"/>
                    <w:jc w:val="left"/>
                  </w:pPr>
                  <w:r>
                    <w:rPr>
                      <w:rFonts w:ascii="仿宋_GB2312" w:hAnsi="仿宋_GB2312" w:eastAsia="仿宋_GB2312" w:cs="仿宋_GB2312"/>
                      <w:sz w:val="21"/>
                    </w:rPr>
                    <w:t>系统接口对接</w:t>
                  </w:r>
                </w:p>
              </w:tc>
              <w:tc>
                <w:tcPr>
                  <w:tcW w:w="182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29EA11">
                  <w:pPr>
                    <w:pStyle w:val="4"/>
                    <w:jc w:val="left"/>
                  </w:pPr>
                  <w:r>
                    <w:rPr>
                      <w:rFonts w:ascii="仿宋_GB2312" w:hAnsi="仿宋_GB2312" w:eastAsia="仿宋_GB2312" w:cs="仿宋_GB2312"/>
                      <w:sz w:val="21"/>
                    </w:rPr>
                    <w:t>需要明确系统跟外部需要对接的系统、指标等</w:t>
                  </w:r>
                </w:p>
              </w:tc>
              <w:tc>
                <w:tcPr>
                  <w:tcW w:w="207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4FC27F">
                  <w:pPr>
                    <w:pStyle w:val="4"/>
                    <w:jc w:val="left"/>
                  </w:pPr>
                  <w:r>
                    <w:rPr>
                      <w:rFonts w:ascii="仿宋_GB2312" w:hAnsi="仿宋_GB2312" w:eastAsia="仿宋_GB2312" w:cs="仿宋_GB2312"/>
                      <w:sz w:val="21"/>
                    </w:rPr>
                    <w:t>《接口文档》</w:t>
                  </w:r>
                </w:p>
              </w:tc>
            </w:tr>
            <w:tr w14:paraId="4507B1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C70C23">
                  <w:pPr>
                    <w:pStyle w:val="4"/>
                    <w:jc w:val="center"/>
                  </w:pPr>
                  <w:r>
                    <w:rPr>
                      <w:rFonts w:ascii="仿宋_GB2312" w:hAnsi="仿宋_GB2312" w:eastAsia="仿宋_GB2312" w:cs="仿宋_GB2312"/>
                      <w:sz w:val="21"/>
                    </w:rPr>
                    <w:t>4</w:t>
                  </w:r>
                </w:p>
              </w:tc>
              <w:tc>
                <w:tcPr>
                  <w:tcW w:w="20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3B1EF3">
                  <w:pPr>
                    <w:pStyle w:val="4"/>
                    <w:jc w:val="left"/>
                  </w:pPr>
                  <w:r>
                    <w:rPr>
                      <w:rFonts w:ascii="仿宋_GB2312" w:hAnsi="仿宋_GB2312" w:eastAsia="仿宋_GB2312" w:cs="仿宋_GB2312"/>
                      <w:sz w:val="21"/>
                    </w:rPr>
                    <w:t>数据迁移</w:t>
                  </w:r>
                </w:p>
              </w:tc>
              <w:tc>
                <w:tcPr>
                  <w:tcW w:w="182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839B8C">
                  <w:pPr>
                    <w:pStyle w:val="4"/>
                    <w:jc w:val="left"/>
                  </w:pPr>
                  <w:r>
                    <w:rPr>
                      <w:rFonts w:ascii="仿宋_GB2312" w:hAnsi="仿宋_GB2312" w:eastAsia="仿宋_GB2312" w:cs="仿宋_GB2312"/>
                      <w:sz w:val="21"/>
                    </w:rPr>
                    <w:t>需要对历史数据分析汇总，并开发迁移程序</w:t>
                  </w:r>
                </w:p>
              </w:tc>
              <w:tc>
                <w:tcPr>
                  <w:tcW w:w="207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49A87B">
                  <w:pPr>
                    <w:pStyle w:val="4"/>
                    <w:jc w:val="left"/>
                  </w:pPr>
                  <w:r>
                    <w:rPr>
                      <w:rFonts w:ascii="仿宋_GB2312" w:hAnsi="仿宋_GB2312" w:eastAsia="仿宋_GB2312" w:cs="仿宋_GB2312"/>
                      <w:sz w:val="21"/>
                    </w:rPr>
                    <w:t>《数据迁移报告》</w:t>
                  </w:r>
                </w:p>
              </w:tc>
            </w:tr>
            <w:tr w14:paraId="4E46F3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967CFA">
                  <w:pPr>
                    <w:pStyle w:val="4"/>
                    <w:jc w:val="center"/>
                  </w:pPr>
                  <w:r>
                    <w:rPr>
                      <w:rFonts w:ascii="仿宋_GB2312" w:hAnsi="仿宋_GB2312" w:eastAsia="仿宋_GB2312" w:cs="仿宋_GB2312"/>
                      <w:sz w:val="21"/>
                    </w:rPr>
                    <w:t>5</w:t>
                  </w:r>
                </w:p>
              </w:tc>
              <w:tc>
                <w:tcPr>
                  <w:tcW w:w="20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FE8990">
                  <w:pPr>
                    <w:pStyle w:val="4"/>
                    <w:jc w:val="left"/>
                  </w:pPr>
                  <w:r>
                    <w:rPr>
                      <w:rFonts w:ascii="仿宋_GB2312" w:hAnsi="仿宋_GB2312" w:eastAsia="仿宋_GB2312" w:cs="仿宋_GB2312"/>
                      <w:sz w:val="21"/>
                    </w:rPr>
                    <w:t>准备部署环境</w:t>
                  </w:r>
                </w:p>
              </w:tc>
              <w:tc>
                <w:tcPr>
                  <w:tcW w:w="182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8EFD925">
                  <w:pPr>
                    <w:pStyle w:val="4"/>
                    <w:jc w:val="left"/>
                  </w:pPr>
                  <w:r>
                    <w:rPr>
                      <w:rFonts w:ascii="仿宋_GB2312" w:hAnsi="仿宋_GB2312" w:eastAsia="仿宋_GB2312" w:cs="仿宋_GB2312"/>
                      <w:sz w:val="21"/>
                    </w:rPr>
                    <w:t>系统安装部署</w:t>
                  </w:r>
                </w:p>
              </w:tc>
              <w:tc>
                <w:tcPr>
                  <w:tcW w:w="207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47B797">
                  <w:pPr>
                    <w:pStyle w:val="4"/>
                    <w:jc w:val="left"/>
                  </w:pPr>
                  <w:r>
                    <w:rPr>
                      <w:rFonts w:ascii="仿宋_GB2312" w:hAnsi="仿宋_GB2312" w:eastAsia="仿宋_GB2312" w:cs="仿宋_GB2312"/>
                      <w:sz w:val="21"/>
                    </w:rPr>
                    <w:t>《系统安装报告》</w:t>
                  </w:r>
                </w:p>
              </w:tc>
            </w:tr>
            <w:tr w14:paraId="49ED89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E7C8AC">
                  <w:pPr>
                    <w:pStyle w:val="4"/>
                    <w:jc w:val="center"/>
                  </w:pPr>
                  <w:r>
                    <w:rPr>
                      <w:rFonts w:ascii="仿宋_GB2312" w:hAnsi="仿宋_GB2312" w:eastAsia="仿宋_GB2312" w:cs="仿宋_GB2312"/>
                      <w:sz w:val="21"/>
                    </w:rPr>
                    <w:t>6</w:t>
                  </w:r>
                </w:p>
              </w:tc>
              <w:tc>
                <w:tcPr>
                  <w:tcW w:w="20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FA7BAA">
                  <w:pPr>
                    <w:pStyle w:val="4"/>
                    <w:jc w:val="left"/>
                  </w:pPr>
                  <w:r>
                    <w:rPr>
                      <w:rFonts w:ascii="仿宋_GB2312" w:hAnsi="仿宋_GB2312" w:eastAsia="仿宋_GB2312" w:cs="仿宋_GB2312"/>
                      <w:sz w:val="21"/>
                    </w:rPr>
                    <w:t>安装系统（包括操作系统、数据库和应用服务器中间件的安装）</w:t>
                  </w:r>
                </w:p>
              </w:tc>
              <w:tc>
                <w:tcPr>
                  <w:tcW w:w="182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5C0307">
                  <w:pPr>
                    <w:pStyle w:val="4"/>
                    <w:jc w:val="left"/>
                  </w:pPr>
                  <w:r>
                    <w:rPr>
                      <w:rFonts w:ascii="仿宋_GB2312" w:hAnsi="仿宋_GB2312" w:eastAsia="仿宋_GB2312" w:cs="仿宋_GB2312"/>
                      <w:sz w:val="21"/>
                    </w:rPr>
                    <w:t>系统安装部署和测试维护工作</w:t>
                  </w:r>
                </w:p>
              </w:tc>
              <w:tc>
                <w:tcPr>
                  <w:tcW w:w="207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58C589">
                  <w:pPr>
                    <w:pStyle w:val="4"/>
                    <w:jc w:val="left"/>
                  </w:pPr>
                  <w:r>
                    <w:rPr>
                      <w:rFonts w:ascii="仿宋_GB2312" w:hAnsi="仿宋_GB2312" w:eastAsia="仿宋_GB2312" w:cs="仿宋_GB2312"/>
                      <w:sz w:val="21"/>
                    </w:rPr>
                    <w:t>《系统安装报告》</w:t>
                  </w:r>
                </w:p>
                <w:p w14:paraId="70ED7A93">
                  <w:pPr>
                    <w:pStyle w:val="4"/>
                    <w:jc w:val="left"/>
                  </w:pPr>
                  <w:r>
                    <w:rPr>
                      <w:rFonts w:ascii="仿宋_GB2312" w:hAnsi="仿宋_GB2312" w:eastAsia="仿宋_GB2312" w:cs="仿宋_GB2312"/>
                      <w:sz w:val="21"/>
                    </w:rPr>
                    <w:t>《系统试运行报告》</w:t>
                  </w:r>
                </w:p>
              </w:tc>
            </w:tr>
            <w:tr w14:paraId="4963A5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A4FA38">
                  <w:pPr>
                    <w:pStyle w:val="4"/>
                    <w:jc w:val="center"/>
                  </w:pPr>
                  <w:r>
                    <w:rPr>
                      <w:rFonts w:ascii="仿宋_GB2312" w:hAnsi="仿宋_GB2312" w:eastAsia="仿宋_GB2312" w:cs="仿宋_GB2312"/>
                      <w:sz w:val="21"/>
                    </w:rPr>
                    <w:t>7</w:t>
                  </w:r>
                </w:p>
              </w:tc>
              <w:tc>
                <w:tcPr>
                  <w:tcW w:w="20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CFC361">
                  <w:pPr>
                    <w:pStyle w:val="4"/>
                    <w:jc w:val="left"/>
                  </w:pPr>
                  <w:r>
                    <w:rPr>
                      <w:rFonts w:ascii="仿宋_GB2312" w:hAnsi="仿宋_GB2312" w:eastAsia="仿宋_GB2312" w:cs="仿宋_GB2312"/>
                      <w:sz w:val="21"/>
                    </w:rPr>
                    <w:t>系统日常维护</w:t>
                  </w:r>
                </w:p>
              </w:tc>
              <w:tc>
                <w:tcPr>
                  <w:tcW w:w="182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C06E7A">
                  <w:pPr>
                    <w:pStyle w:val="4"/>
                    <w:jc w:val="left"/>
                  </w:pPr>
                  <w:r>
                    <w:rPr>
                      <w:rFonts w:ascii="仿宋_GB2312" w:hAnsi="仿宋_GB2312" w:eastAsia="仿宋_GB2312" w:cs="仿宋_GB2312"/>
                      <w:sz w:val="21"/>
                    </w:rPr>
                    <w:t>对用户在系统使用过程中遇到的问题进行处理</w:t>
                  </w:r>
                </w:p>
              </w:tc>
              <w:tc>
                <w:tcPr>
                  <w:tcW w:w="207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4C08E0">
                  <w:pPr>
                    <w:pStyle w:val="4"/>
                    <w:jc w:val="left"/>
                  </w:pPr>
                  <w:r>
                    <w:rPr>
                      <w:rFonts w:ascii="仿宋_GB2312" w:hAnsi="仿宋_GB2312" w:eastAsia="仿宋_GB2312" w:cs="仿宋_GB2312"/>
                      <w:sz w:val="21"/>
                    </w:rPr>
                    <w:t>《系统跟踪报告》</w:t>
                  </w:r>
                </w:p>
              </w:tc>
            </w:tr>
          </w:tbl>
          <w:p w14:paraId="3E0E7815">
            <w:pPr>
              <w:pStyle w:val="4"/>
              <w:spacing w:before="105" w:after="105"/>
              <w:jc w:val="both"/>
              <w:outlineLvl w:val="1"/>
            </w:pPr>
            <w:r>
              <w:rPr>
                <w:rFonts w:ascii="仿宋_GB2312" w:hAnsi="仿宋_GB2312" w:eastAsia="仿宋_GB2312" w:cs="仿宋_GB2312"/>
                <w:b/>
                <w:sz w:val="21"/>
              </w:rPr>
              <w:t>（二）项目实施安排要求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1603"/>
              <w:gridCol w:w="3114"/>
              <w:gridCol w:w="1093"/>
            </w:tblGrid>
            <w:tr w14:paraId="4FA415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1E7D0CB">
                  <w:pPr>
                    <w:pStyle w:val="4"/>
                    <w:spacing w:before="105" w:after="105"/>
                    <w:jc w:val="center"/>
                  </w:pPr>
                  <w:r>
                    <w:rPr>
                      <w:rFonts w:ascii="仿宋_GB2312" w:hAnsi="仿宋_GB2312" w:eastAsia="仿宋_GB2312" w:cs="仿宋_GB2312"/>
                      <w:sz w:val="21"/>
                    </w:rPr>
                    <w:t>序号</w:t>
                  </w:r>
                </w:p>
              </w:tc>
              <w:tc>
                <w:tcPr>
                  <w:tcW w:w="16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65A38A">
                  <w:pPr>
                    <w:pStyle w:val="4"/>
                    <w:spacing w:before="105" w:after="105"/>
                    <w:jc w:val="center"/>
                  </w:pPr>
                  <w:r>
                    <w:rPr>
                      <w:rFonts w:ascii="仿宋_GB2312" w:hAnsi="仿宋_GB2312" w:eastAsia="仿宋_GB2312" w:cs="仿宋_GB2312"/>
                      <w:sz w:val="21"/>
                    </w:rPr>
                    <w:t>阶段</w:t>
                  </w:r>
                </w:p>
              </w:tc>
              <w:tc>
                <w:tcPr>
                  <w:tcW w:w="31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88A67B">
                  <w:pPr>
                    <w:pStyle w:val="4"/>
                    <w:spacing w:before="105" w:after="105"/>
                    <w:jc w:val="center"/>
                  </w:pPr>
                  <w:r>
                    <w:rPr>
                      <w:rFonts w:ascii="仿宋_GB2312" w:hAnsi="仿宋_GB2312" w:eastAsia="仿宋_GB2312" w:cs="仿宋_GB2312"/>
                      <w:sz w:val="21"/>
                    </w:rPr>
                    <w:t>项目内容</w:t>
                  </w:r>
                </w:p>
              </w:tc>
              <w:tc>
                <w:tcPr>
                  <w:tcW w:w="109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749510">
                  <w:pPr>
                    <w:pStyle w:val="4"/>
                    <w:spacing w:before="105" w:after="105"/>
                    <w:jc w:val="center"/>
                  </w:pPr>
                  <w:r>
                    <w:rPr>
                      <w:rFonts w:ascii="仿宋_GB2312" w:hAnsi="仿宋_GB2312" w:eastAsia="仿宋_GB2312" w:cs="仿宋_GB2312"/>
                      <w:sz w:val="21"/>
                    </w:rPr>
                    <w:t>工期要求</w:t>
                  </w:r>
                </w:p>
              </w:tc>
            </w:tr>
            <w:tr w14:paraId="787F2E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699A51">
                  <w:pPr>
                    <w:pStyle w:val="4"/>
                    <w:spacing w:before="105" w:after="105"/>
                    <w:jc w:val="center"/>
                  </w:pPr>
                  <w:r>
                    <w:rPr>
                      <w:rFonts w:ascii="仿宋_GB2312" w:hAnsi="仿宋_GB2312" w:eastAsia="仿宋_GB2312" w:cs="仿宋_GB2312"/>
                      <w:sz w:val="21"/>
                    </w:rPr>
                    <w:t>1</w:t>
                  </w:r>
                </w:p>
              </w:tc>
              <w:tc>
                <w:tcPr>
                  <w:tcW w:w="16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5CB6B9">
                  <w:pPr>
                    <w:pStyle w:val="4"/>
                    <w:spacing w:before="105" w:after="105"/>
                    <w:jc w:val="left"/>
                  </w:pPr>
                  <w:r>
                    <w:rPr>
                      <w:rFonts w:ascii="仿宋_GB2312" w:hAnsi="仿宋_GB2312" w:eastAsia="仿宋_GB2312" w:cs="仿宋_GB2312"/>
                      <w:sz w:val="21"/>
                    </w:rPr>
                    <w:t>项目准备阶段</w:t>
                  </w:r>
                </w:p>
              </w:tc>
              <w:tc>
                <w:tcPr>
                  <w:tcW w:w="31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37A798">
                  <w:pPr>
                    <w:pStyle w:val="4"/>
                    <w:spacing w:before="105" w:after="105"/>
                    <w:jc w:val="left"/>
                  </w:pPr>
                  <w:r>
                    <w:rPr>
                      <w:rFonts w:ascii="仿宋_GB2312" w:hAnsi="仿宋_GB2312" w:eastAsia="仿宋_GB2312" w:cs="仿宋_GB2312"/>
                      <w:sz w:val="21"/>
                    </w:rPr>
                    <w:t>制定统一建设标准，制定项目计划，组建项目团队，启动项目建设</w:t>
                  </w:r>
                </w:p>
              </w:tc>
              <w:tc>
                <w:tcPr>
                  <w:tcW w:w="109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848FD0E">
                  <w:pPr>
                    <w:pStyle w:val="4"/>
                    <w:spacing w:before="105" w:after="105"/>
                    <w:jc w:val="center"/>
                  </w:pPr>
                  <w:r>
                    <w:rPr>
                      <w:rFonts w:ascii="仿宋_GB2312" w:hAnsi="仿宋_GB2312" w:eastAsia="仿宋_GB2312" w:cs="仿宋_GB2312"/>
                      <w:sz w:val="21"/>
                    </w:rPr>
                    <w:t>6个月</w:t>
                  </w:r>
                </w:p>
              </w:tc>
            </w:tr>
            <w:tr w14:paraId="496A25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108F8F">
                  <w:pPr>
                    <w:pStyle w:val="4"/>
                    <w:spacing w:before="105" w:after="105"/>
                    <w:jc w:val="center"/>
                  </w:pPr>
                  <w:r>
                    <w:rPr>
                      <w:rFonts w:ascii="仿宋_GB2312" w:hAnsi="仿宋_GB2312" w:eastAsia="仿宋_GB2312" w:cs="仿宋_GB2312"/>
                      <w:sz w:val="21"/>
                    </w:rPr>
                    <w:t>2</w:t>
                  </w:r>
                </w:p>
              </w:tc>
              <w:tc>
                <w:tcPr>
                  <w:tcW w:w="16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E539B">
                  <w:pPr>
                    <w:pStyle w:val="4"/>
                    <w:spacing w:before="105" w:after="105"/>
                    <w:jc w:val="both"/>
                  </w:pPr>
                  <w:r>
                    <w:rPr>
                      <w:rFonts w:ascii="仿宋_GB2312" w:hAnsi="仿宋_GB2312" w:eastAsia="仿宋_GB2312" w:cs="仿宋_GB2312"/>
                      <w:sz w:val="21"/>
                    </w:rPr>
                    <w:t>需求分析阶段</w:t>
                  </w:r>
                </w:p>
              </w:tc>
              <w:tc>
                <w:tcPr>
                  <w:tcW w:w="31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96FD2">
                  <w:pPr>
                    <w:pStyle w:val="4"/>
                    <w:spacing w:before="105" w:after="105"/>
                    <w:jc w:val="both"/>
                  </w:pPr>
                  <w:r>
                    <w:rPr>
                      <w:rFonts w:ascii="仿宋_GB2312" w:hAnsi="仿宋_GB2312" w:eastAsia="仿宋_GB2312" w:cs="仿宋_GB2312"/>
                      <w:sz w:val="21"/>
                    </w:rPr>
                    <w:t>开展需求调研、需求分析及需求确认工作</w:t>
                  </w:r>
                </w:p>
              </w:tc>
              <w:tc>
                <w:tcPr>
                  <w:tcW w:w="1093" w:type="dxa"/>
                  <w:vMerge w:val="continue"/>
                  <w:tcBorders>
                    <w:top w:val="nil"/>
                    <w:left w:val="nil"/>
                    <w:bottom w:val="single" w:color="000000" w:sz="4" w:space="0"/>
                    <w:right w:val="single" w:color="000000" w:sz="4" w:space="0"/>
                  </w:tcBorders>
                </w:tcPr>
                <w:p w14:paraId="5D45A07B"/>
              </w:tc>
            </w:tr>
            <w:tr w14:paraId="49E2AC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167CDC">
                  <w:pPr>
                    <w:pStyle w:val="4"/>
                    <w:spacing w:before="105" w:after="105"/>
                    <w:jc w:val="center"/>
                  </w:pPr>
                  <w:r>
                    <w:rPr>
                      <w:rFonts w:ascii="仿宋_GB2312" w:hAnsi="仿宋_GB2312" w:eastAsia="仿宋_GB2312" w:cs="仿宋_GB2312"/>
                      <w:sz w:val="21"/>
                    </w:rPr>
                    <w:t>3</w:t>
                  </w:r>
                </w:p>
              </w:tc>
              <w:tc>
                <w:tcPr>
                  <w:tcW w:w="16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DE732C">
                  <w:pPr>
                    <w:pStyle w:val="4"/>
                    <w:spacing w:before="105" w:after="105"/>
                    <w:jc w:val="both"/>
                  </w:pPr>
                  <w:r>
                    <w:rPr>
                      <w:rFonts w:ascii="仿宋_GB2312" w:hAnsi="仿宋_GB2312" w:eastAsia="仿宋_GB2312" w:cs="仿宋_GB2312"/>
                      <w:sz w:val="21"/>
                    </w:rPr>
                    <w:t>系统设计阶段</w:t>
                  </w:r>
                </w:p>
              </w:tc>
              <w:tc>
                <w:tcPr>
                  <w:tcW w:w="31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D90178">
                  <w:pPr>
                    <w:pStyle w:val="4"/>
                    <w:spacing w:before="105" w:after="105"/>
                    <w:jc w:val="both"/>
                  </w:pPr>
                  <w:r>
                    <w:rPr>
                      <w:rFonts w:ascii="仿宋_GB2312" w:hAnsi="仿宋_GB2312" w:eastAsia="仿宋_GB2312" w:cs="仿宋_GB2312"/>
                      <w:sz w:val="21"/>
                    </w:rPr>
                    <w:t>进行系统总体设计及系统详细设计</w:t>
                  </w:r>
                </w:p>
              </w:tc>
              <w:tc>
                <w:tcPr>
                  <w:tcW w:w="1093" w:type="dxa"/>
                  <w:vMerge w:val="continue"/>
                  <w:tcBorders>
                    <w:top w:val="nil"/>
                    <w:left w:val="nil"/>
                    <w:bottom w:val="single" w:color="000000" w:sz="4" w:space="0"/>
                    <w:right w:val="single" w:color="000000" w:sz="4" w:space="0"/>
                  </w:tcBorders>
                </w:tcPr>
                <w:p w14:paraId="07A33E07"/>
              </w:tc>
            </w:tr>
            <w:tr w14:paraId="6FC7D8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B9BD3C">
                  <w:pPr>
                    <w:pStyle w:val="4"/>
                    <w:spacing w:before="105" w:after="105"/>
                    <w:jc w:val="center"/>
                  </w:pPr>
                  <w:r>
                    <w:rPr>
                      <w:rFonts w:ascii="仿宋_GB2312" w:hAnsi="仿宋_GB2312" w:eastAsia="仿宋_GB2312" w:cs="仿宋_GB2312"/>
                      <w:sz w:val="21"/>
                    </w:rPr>
                    <w:t>4</w:t>
                  </w:r>
                </w:p>
              </w:tc>
              <w:tc>
                <w:tcPr>
                  <w:tcW w:w="16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78446E">
                  <w:pPr>
                    <w:pStyle w:val="4"/>
                    <w:spacing w:before="105" w:after="105"/>
                    <w:jc w:val="both"/>
                  </w:pPr>
                  <w:r>
                    <w:rPr>
                      <w:rFonts w:ascii="仿宋_GB2312" w:hAnsi="仿宋_GB2312" w:eastAsia="仿宋_GB2312" w:cs="仿宋_GB2312"/>
                      <w:sz w:val="21"/>
                    </w:rPr>
                    <w:t>系统开发阶段</w:t>
                  </w:r>
                </w:p>
              </w:tc>
              <w:tc>
                <w:tcPr>
                  <w:tcW w:w="31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FC14D7">
                  <w:pPr>
                    <w:pStyle w:val="4"/>
                    <w:spacing w:before="105" w:after="105"/>
                    <w:jc w:val="both"/>
                  </w:pPr>
                  <w:r>
                    <w:rPr>
                      <w:rFonts w:ascii="仿宋_GB2312" w:hAnsi="仿宋_GB2312" w:eastAsia="仿宋_GB2312" w:cs="仿宋_GB2312"/>
                      <w:sz w:val="21"/>
                    </w:rPr>
                    <w:t>完成网站平台开发工作</w:t>
                  </w:r>
                </w:p>
              </w:tc>
              <w:tc>
                <w:tcPr>
                  <w:tcW w:w="1093" w:type="dxa"/>
                  <w:vMerge w:val="continue"/>
                  <w:tcBorders>
                    <w:top w:val="nil"/>
                    <w:left w:val="nil"/>
                    <w:bottom w:val="single" w:color="000000" w:sz="4" w:space="0"/>
                    <w:right w:val="single" w:color="000000" w:sz="4" w:space="0"/>
                  </w:tcBorders>
                </w:tcPr>
                <w:p w14:paraId="63F929C6"/>
              </w:tc>
            </w:tr>
            <w:tr w14:paraId="761544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613FBE">
                  <w:pPr>
                    <w:pStyle w:val="4"/>
                    <w:spacing w:before="105" w:after="105"/>
                    <w:jc w:val="center"/>
                  </w:pPr>
                  <w:r>
                    <w:rPr>
                      <w:rFonts w:ascii="仿宋_GB2312" w:hAnsi="仿宋_GB2312" w:eastAsia="仿宋_GB2312" w:cs="仿宋_GB2312"/>
                      <w:sz w:val="21"/>
                    </w:rPr>
                    <w:t>5</w:t>
                  </w:r>
                </w:p>
              </w:tc>
              <w:tc>
                <w:tcPr>
                  <w:tcW w:w="16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54EF8">
                  <w:pPr>
                    <w:pStyle w:val="4"/>
                    <w:spacing w:before="105" w:after="105"/>
                    <w:jc w:val="both"/>
                  </w:pPr>
                  <w:r>
                    <w:rPr>
                      <w:rFonts w:ascii="仿宋_GB2312" w:hAnsi="仿宋_GB2312" w:eastAsia="仿宋_GB2312" w:cs="仿宋_GB2312"/>
                      <w:sz w:val="21"/>
                    </w:rPr>
                    <w:t>项目测试阶段</w:t>
                  </w:r>
                </w:p>
              </w:tc>
              <w:tc>
                <w:tcPr>
                  <w:tcW w:w="31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5DC7A">
                  <w:pPr>
                    <w:pStyle w:val="4"/>
                    <w:spacing w:before="105" w:after="105"/>
                    <w:jc w:val="both"/>
                  </w:pPr>
                  <w:r>
                    <w:rPr>
                      <w:rFonts w:ascii="仿宋_GB2312" w:hAnsi="仿宋_GB2312" w:eastAsia="仿宋_GB2312" w:cs="仿宋_GB2312"/>
                      <w:sz w:val="21"/>
                    </w:rPr>
                    <w:t>完成系统测试工作，包括单元测试、集成测试、专项测试、用户测试及第三方测试等</w:t>
                  </w:r>
                </w:p>
              </w:tc>
              <w:tc>
                <w:tcPr>
                  <w:tcW w:w="1093" w:type="dxa"/>
                  <w:vMerge w:val="continue"/>
                  <w:tcBorders>
                    <w:top w:val="nil"/>
                    <w:left w:val="nil"/>
                    <w:bottom w:val="single" w:color="000000" w:sz="4" w:space="0"/>
                    <w:right w:val="single" w:color="000000" w:sz="4" w:space="0"/>
                  </w:tcBorders>
                </w:tcPr>
                <w:p w14:paraId="24DD8454"/>
              </w:tc>
            </w:tr>
            <w:tr w14:paraId="504EA5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09B0E6">
                  <w:pPr>
                    <w:pStyle w:val="4"/>
                    <w:spacing w:before="105" w:after="105"/>
                    <w:jc w:val="center"/>
                  </w:pPr>
                  <w:r>
                    <w:rPr>
                      <w:rFonts w:ascii="仿宋_GB2312" w:hAnsi="仿宋_GB2312" w:eastAsia="仿宋_GB2312" w:cs="仿宋_GB2312"/>
                      <w:sz w:val="21"/>
                    </w:rPr>
                    <w:t>6</w:t>
                  </w:r>
                </w:p>
              </w:tc>
              <w:tc>
                <w:tcPr>
                  <w:tcW w:w="16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D50F18">
                  <w:pPr>
                    <w:pStyle w:val="4"/>
                    <w:spacing w:before="105" w:after="105"/>
                    <w:jc w:val="both"/>
                  </w:pPr>
                  <w:r>
                    <w:rPr>
                      <w:rFonts w:ascii="仿宋_GB2312" w:hAnsi="仿宋_GB2312" w:eastAsia="仿宋_GB2312" w:cs="仿宋_GB2312"/>
                      <w:sz w:val="21"/>
                    </w:rPr>
                    <w:t>部署实施阶段</w:t>
                  </w:r>
                </w:p>
              </w:tc>
              <w:tc>
                <w:tcPr>
                  <w:tcW w:w="31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DEFFBB">
                  <w:pPr>
                    <w:pStyle w:val="4"/>
                    <w:spacing w:before="105" w:after="105"/>
                    <w:jc w:val="both"/>
                  </w:pPr>
                  <w:r>
                    <w:rPr>
                      <w:rFonts w:ascii="仿宋_GB2312" w:hAnsi="仿宋_GB2312" w:eastAsia="仿宋_GB2312" w:cs="仿宋_GB2312"/>
                      <w:sz w:val="21"/>
                    </w:rPr>
                    <w:t>完成应用部署及联调</w:t>
                  </w:r>
                </w:p>
              </w:tc>
              <w:tc>
                <w:tcPr>
                  <w:tcW w:w="1093" w:type="dxa"/>
                  <w:vMerge w:val="continue"/>
                  <w:tcBorders>
                    <w:top w:val="nil"/>
                    <w:left w:val="nil"/>
                    <w:bottom w:val="single" w:color="000000" w:sz="4" w:space="0"/>
                    <w:right w:val="single" w:color="000000" w:sz="4" w:space="0"/>
                  </w:tcBorders>
                </w:tcPr>
                <w:p w14:paraId="28A42B16"/>
              </w:tc>
            </w:tr>
            <w:tr w14:paraId="71669D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CCE4AC">
                  <w:pPr>
                    <w:pStyle w:val="4"/>
                    <w:spacing w:before="105" w:after="105"/>
                    <w:jc w:val="center"/>
                  </w:pPr>
                  <w:r>
                    <w:rPr>
                      <w:rFonts w:ascii="仿宋_GB2312" w:hAnsi="仿宋_GB2312" w:eastAsia="仿宋_GB2312" w:cs="仿宋_GB2312"/>
                      <w:sz w:val="21"/>
                    </w:rPr>
                    <w:t>7</w:t>
                  </w:r>
                </w:p>
              </w:tc>
              <w:tc>
                <w:tcPr>
                  <w:tcW w:w="16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E5C857">
                  <w:pPr>
                    <w:pStyle w:val="4"/>
                    <w:spacing w:before="105" w:after="105"/>
                    <w:jc w:val="both"/>
                  </w:pPr>
                  <w:r>
                    <w:rPr>
                      <w:rFonts w:ascii="仿宋_GB2312" w:hAnsi="仿宋_GB2312" w:eastAsia="仿宋_GB2312" w:cs="仿宋_GB2312"/>
                      <w:sz w:val="21"/>
                    </w:rPr>
                    <w:t>项目培训阶段</w:t>
                  </w:r>
                </w:p>
              </w:tc>
              <w:tc>
                <w:tcPr>
                  <w:tcW w:w="31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74268">
                  <w:pPr>
                    <w:pStyle w:val="4"/>
                    <w:spacing w:before="105" w:after="105"/>
                    <w:jc w:val="both"/>
                  </w:pPr>
                  <w:r>
                    <w:rPr>
                      <w:rFonts w:ascii="仿宋_GB2312" w:hAnsi="仿宋_GB2312" w:eastAsia="仿宋_GB2312" w:cs="仿宋_GB2312"/>
                      <w:sz w:val="21"/>
                    </w:rPr>
                    <w:t>完成技术培训、业务操作培训等培训工作</w:t>
                  </w:r>
                </w:p>
              </w:tc>
              <w:tc>
                <w:tcPr>
                  <w:tcW w:w="1093" w:type="dxa"/>
                  <w:vMerge w:val="continue"/>
                  <w:tcBorders>
                    <w:top w:val="nil"/>
                    <w:left w:val="nil"/>
                    <w:bottom w:val="single" w:color="000000" w:sz="4" w:space="0"/>
                    <w:right w:val="single" w:color="000000" w:sz="4" w:space="0"/>
                  </w:tcBorders>
                </w:tcPr>
                <w:p w14:paraId="4B39AC96"/>
              </w:tc>
            </w:tr>
            <w:tr w14:paraId="76A48C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DD4081">
                  <w:pPr>
                    <w:pStyle w:val="4"/>
                    <w:spacing w:before="105" w:after="105"/>
                    <w:jc w:val="center"/>
                  </w:pPr>
                  <w:r>
                    <w:rPr>
                      <w:rFonts w:ascii="仿宋_GB2312" w:hAnsi="仿宋_GB2312" w:eastAsia="仿宋_GB2312" w:cs="仿宋_GB2312"/>
                      <w:sz w:val="21"/>
                    </w:rPr>
                    <w:t>8</w:t>
                  </w:r>
                </w:p>
              </w:tc>
              <w:tc>
                <w:tcPr>
                  <w:tcW w:w="16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0059FC">
                  <w:pPr>
                    <w:pStyle w:val="4"/>
                    <w:spacing w:before="105" w:after="105"/>
                    <w:jc w:val="both"/>
                  </w:pPr>
                  <w:r>
                    <w:rPr>
                      <w:rFonts w:ascii="仿宋_GB2312" w:hAnsi="仿宋_GB2312" w:eastAsia="仿宋_GB2312" w:cs="仿宋_GB2312"/>
                      <w:sz w:val="21"/>
                    </w:rPr>
                    <w:t>系统试运行阶段</w:t>
                  </w:r>
                </w:p>
              </w:tc>
              <w:tc>
                <w:tcPr>
                  <w:tcW w:w="31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9C8FAD">
                  <w:pPr>
                    <w:pStyle w:val="4"/>
                    <w:spacing w:before="105" w:after="105"/>
                    <w:jc w:val="both"/>
                  </w:pPr>
                  <w:r>
                    <w:rPr>
                      <w:rFonts w:ascii="仿宋_GB2312" w:hAnsi="仿宋_GB2312" w:eastAsia="仿宋_GB2312" w:cs="仿宋_GB2312"/>
                      <w:sz w:val="21"/>
                    </w:rPr>
                    <w:t>完成系统试运行</w:t>
                  </w:r>
                </w:p>
              </w:tc>
              <w:tc>
                <w:tcPr>
                  <w:tcW w:w="1093" w:type="dxa"/>
                  <w:vMerge w:val="continue"/>
                  <w:tcBorders>
                    <w:top w:val="nil"/>
                    <w:left w:val="nil"/>
                    <w:bottom w:val="single" w:color="000000" w:sz="4" w:space="0"/>
                    <w:right w:val="single" w:color="000000" w:sz="4" w:space="0"/>
                  </w:tcBorders>
                </w:tcPr>
                <w:p w14:paraId="0B2D781E"/>
              </w:tc>
            </w:tr>
            <w:tr w14:paraId="4375A2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DE9AFC">
                  <w:pPr>
                    <w:pStyle w:val="4"/>
                    <w:spacing w:before="105" w:after="105"/>
                    <w:jc w:val="center"/>
                  </w:pPr>
                  <w:r>
                    <w:rPr>
                      <w:rFonts w:ascii="仿宋_GB2312" w:hAnsi="仿宋_GB2312" w:eastAsia="仿宋_GB2312" w:cs="仿宋_GB2312"/>
                      <w:sz w:val="21"/>
                    </w:rPr>
                    <w:t>9</w:t>
                  </w:r>
                </w:p>
              </w:tc>
              <w:tc>
                <w:tcPr>
                  <w:tcW w:w="16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6399DC">
                  <w:pPr>
                    <w:pStyle w:val="4"/>
                    <w:spacing w:before="105" w:after="105"/>
                    <w:jc w:val="both"/>
                  </w:pPr>
                  <w:r>
                    <w:rPr>
                      <w:rFonts w:ascii="仿宋_GB2312" w:hAnsi="仿宋_GB2312" w:eastAsia="仿宋_GB2312" w:cs="仿宋_GB2312"/>
                      <w:sz w:val="21"/>
                    </w:rPr>
                    <w:t>项目验收阶段</w:t>
                  </w:r>
                </w:p>
              </w:tc>
              <w:tc>
                <w:tcPr>
                  <w:tcW w:w="31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D72C2">
                  <w:pPr>
                    <w:pStyle w:val="4"/>
                    <w:spacing w:before="105" w:after="105"/>
                    <w:jc w:val="both"/>
                  </w:pPr>
                  <w:r>
                    <w:rPr>
                      <w:rFonts w:ascii="仿宋_GB2312" w:hAnsi="仿宋_GB2312" w:eastAsia="仿宋_GB2312" w:cs="仿宋_GB2312"/>
                      <w:sz w:val="21"/>
                    </w:rPr>
                    <w:t>进行项目验收及交付物提交</w:t>
                  </w:r>
                </w:p>
              </w:tc>
              <w:tc>
                <w:tcPr>
                  <w:tcW w:w="1093" w:type="dxa"/>
                  <w:vMerge w:val="continue"/>
                  <w:tcBorders>
                    <w:top w:val="nil"/>
                    <w:left w:val="nil"/>
                    <w:bottom w:val="single" w:color="000000" w:sz="4" w:space="0"/>
                    <w:right w:val="single" w:color="000000" w:sz="4" w:space="0"/>
                  </w:tcBorders>
                </w:tcPr>
                <w:p w14:paraId="114D867D"/>
              </w:tc>
            </w:tr>
            <w:tr w14:paraId="228B78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7A38C">
                  <w:pPr>
                    <w:pStyle w:val="4"/>
                    <w:spacing w:before="105" w:after="105"/>
                    <w:jc w:val="center"/>
                  </w:pPr>
                  <w:r>
                    <w:rPr>
                      <w:rFonts w:ascii="仿宋_GB2312" w:hAnsi="仿宋_GB2312" w:eastAsia="仿宋_GB2312" w:cs="仿宋_GB2312"/>
                      <w:sz w:val="21"/>
                    </w:rPr>
                    <w:t>10</w:t>
                  </w:r>
                </w:p>
              </w:tc>
              <w:tc>
                <w:tcPr>
                  <w:tcW w:w="16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7E7706">
                  <w:pPr>
                    <w:pStyle w:val="4"/>
                    <w:spacing w:before="105" w:after="105"/>
                    <w:jc w:val="both"/>
                  </w:pPr>
                  <w:r>
                    <w:rPr>
                      <w:rFonts w:ascii="仿宋_GB2312" w:hAnsi="仿宋_GB2312" w:eastAsia="仿宋_GB2312" w:cs="仿宋_GB2312"/>
                      <w:sz w:val="21"/>
                    </w:rPr>
                    <w:t>系统正式上线</w:t>
                  </w:r>
                </w:p>
              </w:tc>
              <w:tc>
                <w:tcPr>
                  <w:tcW w:w="31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785F5">
                  <w:pPr>
                    <w:pStyle w:val="4"/>
                    <w:spacing w:before="105" w:after="105"/>
                    <w:jc w:val="both"/>
                  </w:pPr>
                  <w:r>
                    <w:rPr>
                      <w:rFonts w:ascii="仿宋_GB2312" w:hAnsi="仿宋_GB2312" w:eastAsia="仿宋_GB2312" w:cs="仿宋_GB2312"/>
                      <w:sz w:val="21"/>
                    </w:rPr>
                    <w:t>进行系统正式上线运行</w:t>
                  </w:r>
                </w:p>
              </w:tc>
              <w:tc>
                <w:tcPr>
                  <w:tcW w:w="1093" w:type="dxa"/>
                  <w:vMerge w:val="continue"/>
                  <w:tcBorders>
                    <w:top w:val="nil"/>
                    <w:left w:val="nil"/>
                    <w:bottom w:val="single" w:color="000000" w:sz="4" w:space="0"/>
                    <w:right w:val="single" w:color="000000" w:sz="4" w:space="0"/>
                  </w:tcBorders>
                </w:tcPr>
                <w:p w14:paraId="06994FF1"/>
              </w:tc>
            </w:tr>
            <w:tr w14:paraId="2C0D45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53A026">
                  <w:pPr>
                    <w:pStyle w:val="4"/>
                    <w:spacing w:before="105" w:after="105"/>
                    <w:jc w:val="center"/>
                  </w:pPr>
                  <w:r>
                    <w:rPr>
                      <w:rFonts w:ascii="仿宋_GB2312" w:hAnsi="仿宋_GB2312" w:eastAsia="仿宋_GB2312" w:cs="仿宋_GB2312"/>
                      <w:sz w:val="21"/>
                    </w:rPr>
                    <w:t>11</w:t>
                  </w:r>
                </w:p>
              </w:tc>
              <w:tc>
                <w:tcPr>
                  <w:tcW w:w="16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9BA73B">
                  <w:pPr>
                    <w:pStyle w:val="4"/>
                    <w:spacing w:before="105" w:after="105"/>
                    <w:jc w:val="both"/>
                  </w:pPr>
                  <w:r>
                    <w:rPr>
                      <w:rFonts w:ascii="仿宋_GB2312" w:hAnsi="仿宋_GB2312" w:eastAsia="仿宋_GB2312" w:cs="仿宋_GB2312"/>
                      <w:sz w:val="21"/>
                    </w:rPr>
                    <w:t>售后服务阶段</w:t>
                  </w:r>
                </w:p>
              </w:tc>
              <w:tc>
                <w:tcPr>
                  <w:tcW w:w="31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46820">
                  <w:pPr>
                    <w:pStyle w:val="4"/>
                    <w:spacing w:before="105" w:after="105"/>
                    <w:jc w:val="both"/>
                  </w:pPr>
                  <w:r>
                    <w:rPr>
                      <w:rFonts w:ascii="仿宋_GB2312" w:hAnsi="仿宋_GB2312" w:eastAsia="仿宋_GB2312" w:cs="仿宋_GB2312"/>
                      <w:sz w:val="21"/>
                    </w:rPr>
                    <w:t>项目维护</w:t>
                  </w:r>
                </w:p>
              </w:tc>
              <w:tc>
                <w:tcPr>
                  <w:tcW w:w="10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98ABA">
                  <w:pPr>
                    <w:pStyle w:val="4"/>
                    <w:spacing w:before="105" w:after="105"/>
                    <w:jc w:val="center"/>
                  </w:pPr>
                  <w:r>
                    <w:rPr>
                      <w:rFonts w:ascii="仿宋_GB2312" w:hAnsi="仿宋_GB2312" w:eastAsia="仿宋_GB2312" w:cs="仿宋_GB2312"/>
                      <w:sz w:val="21"/>
                    </w:rPr>
                    <w:t>3年</w:t>
                  </w:r>
                </w:p>
              </w:tc>
            </w:tr>
          </w:tbl>
          <w:p w14:paraId="44C54B80">
            <w:pPr>
              <w:pStyle w:val="4"/>
              <w:jc w:val="both"/>
            </w:pPr>
            <w:r>
              <w:rPr>
                <w:rFonts w:ascii="仿宋_GB2312" w:hAnsi="仿宋_GB2312" w:eastAsia="仿宋_GB2312" w:cs="仿宋_GB2312"/>
                <w:sz w:val="21"/>
              </w:rPr>
              <w:t>（三）安全要求</w:t>
            </w:r>
          </w:p>
          <w:p w14:paraId="1ED21926">
            <w:pPr>
              <w:pStyle w:val="4"/>
              <w:ind w:firstLine="560"/>
              <w:jc w:val="both"/>
            </w:pPr>
            <w:r>
              <w:rPr>
                <w:rFonts w:ascii="仿宋_GB2312" w:hAnsi="仿宋_GB2312" w:eastAsia="仿宋_GB2312" w:cs="仿宋_GB2312"/>
                <w:color w:val="000000"/>
                <w:sz w:val="21"/>
              </w:rPr>
              <w:t>安全：配合安全服务商开展网络安全等级保护测评（三级）工作，实施网络安全等级保护测评整改工作；采用符合国家标准的云主机、网络要求，并提供防病毒、防攻击、容灾备份等必要手段和安全措施；系统用户信息数据必须使用符合国家密码安全要求的加密算法和手段进行加密，数据展示时，必须进行脱敏处理，提供必要的安全日志系统。</w:t>
            </w:r>
          </w:p>
          <w:p w14:paraId="591A1B7A">
            <w:pPr>
              <w:pStyle w:val="4"/>
              <w:jc w:val="both"/>
            </w:pPr>
            <w:r>
              <w:rPr>
                <w:rFonts w:ascii="仿宋_GB2312" w:hAnsi="仿宋_GB2312" w:eastAsia="仿宋_GB2312" w:cs="仿宋_GB2312"/>
                <w:sz w:val="21"/>
              </w:rPr>
              <w:t>（四）系统架构</w:t>
            </w:r>
          </w:p>
          <w:p w14:paraId="76A03DC9">
            <w:pPr>
              <w:pStyle w:val="4"/>
              <w:ind w:firstLine="560"/>
              <w:jc w:val="both"/>
            </w:pPr>
            <w:r>
              <w:rPr>
                <w:rFonts w:ascii="仿宋_GB2312" w:hAnsi="仿宋_GB2312" w:eastAsia="仿宋_GB2312" w:cs="仿宋_GB2312"/>
                <w:sz w:val="21"/>
              </w:rPr>
              <w:t>架构说明：1.终端访问层：作为用户接入系统的核心入口，全面覆盖方案要求的三大终端场景。其中PC端兼容Chrome、Edge、Firefox等主流浏览器，保障桌面端用户操作流畅性；移动端H5适配安卓、IOS全版本操作系统，支持自适应屏幕显示；微信小程序实现PC端核心功能的全迁移，涵盖视频面试、岗位搜索、直播带岗等服务，真正实现全场景、多终端无缝访问适配，实现“PC端移动端一体化”的建设要求。2.接入层：承担终端访问承接与系统安全第一道管控职责，实现安全性防护原则。负载均衡器可根据访问量动态分配资源，有效应对招聘高峰期高并发访问场景，避免系统卡顿；API网关实现所有业务接口的统一管理、调度与监控，简化接口对接流程，支撑省市公共就业招聘数据共享对接；安全网关严格落实数据脱敏处理要求，对用户敏感信息进行加密展示，同时具备防病毒、防攻击、防注入等防护能力，为系统安全筑牢基础。3.应用层：是系统核心业务逻辑的实现载体，为核心建设内容，各模块独立运行且数据互联互通。页面功能模块完成首页、专区专栏（城乡基层岗位、高校毕业生就业创业等）、各类服务栏目的优化迭代，新增云招聘会场模块；视频云平台模块实现视频面试间、直播带岗、直播就业指导等功能，支持直播前筹备、直播中管控、直播后回放归档全流程；岗位信息资源库模块完成多平台数据共享接口开发，实现与“秦云就业”及社会第三方平台的数据对接，通过AI人岗智能匹配，为高校毕业生和重点群体推送精准岗位；后台管理模块实现单位、个人信息全流程管理，包含敏感词过滤、业务数据统计报表生成等功能；移动端适配模块完成小程序、H5页面的功能迁移，确保移动终端可正常使用所有核心服务。4.数据层：承担系统所有数据的存储、管理与调度职责，聚焦“省级岗位信息资源库”建设核心需求。省级岗位信息资源库归集整合企业基本信息、岗位招聘信息、个人求职信息、线上线下招聘会信息等，实现省市（区）县全方位覆盖；业务数据库存储用户账号信息、系统操作日志、业务办理记录等核心数据，保障业务可追溯；文件存储专门用于存放个人简历、面试视频、企业宣传素材、附件资料等，满足大容量文件存储需求；缓存数据库对高频访问数据（如热门岗位、首页推荐内容）进行缓存，大幅提升系统访问速度，优化用户体验。5.技术支撑层：为应用层提供全方位技术能力支撑，提升可扩展性。基础技术框架采用前后端分离、微服务架构，支持容器化部署，可灵活扩容，适配后续功能迭代升级，同时兼容主流浏览器及各类终端，支持IPv6，降低运维成本；AI智能引擎依托人工智能技术，分析用户求职意向与岗位需求，实现岗位智能推荐；视频处理引擎支撑直播推流、视频面试、回放剪辑等功能，保障跨终端视频流畅运行；数据交互引擎实现系统与外部平台（秦云就业、第三方招聘平台）的数据共享对接，确保数据实时同步、互通共用。6.基础设施层：作为系统运行的基础保障，云主机采用符合国家标准的产品，满足系统运行的硬件资源需求；网络设备符合安全合规规范，支撑系统稳定运行与数据高速传输；安全设施包含防病毒软件、容灾备份系统，配合安全服务商完成网络安全等级保护三级测评及整改工作，确保系统与数据安全；运维系统实现系统日常巡检、性能监控、故障告警、日志分析等功能，可及时发现并处理系统运行中的问题，同时支撑系统日常运维管理，满足方案运行维护相关要求。</w:t>
            </w:r>
          </w:p>
          <w:p w14:paraId="7350E53C">
            <w:pPr>
              <w:pStyle w:val="4"/>
              <w:spacing w:before="105" w:after="105"/>
              <w:jc w:val="both"/>
              <w:outlineLvl w:val="0"/>
            </w:pPr>
            <w:r>
              <w:rPr>
                <w:rFonts w:ascii="仿宋_GB2312" w:hAnsi="仿宋_GB2312" w:eastAsia="仿宋_GB2312" w:cs="仿宋_GB2312"/>
                <w:b/>
                <w:sz w:val="21"/>
              </w:rPr>
              <w:t>（五）售后服务要求</w:t>
            </w:r>
          </w:p>
          <w:p w14:paraId="3448EB5B">
            <w:pPr>
              <w:pStyle w:val="4"/>
              <w:ind w:firstLine="360"/>
              <w:jc w:val="both"/>
            </w:pPr>
            <w:r>
              <w:rPr>
                <w:rFonts w:ascii="仿宋_GB2312" w:hAnsi="仿宋_GB2312" w:eastAsia="仿宋_GB2312" w:cs="仿宋_GB2312"/>
                <w:sz w:val="21"/>
                <w:shd w:val="clear" w:fill="FFFFFF"/>
              </w:rPr>
              <w:t>建立健全售后服务管理体系。以技术支持平台、电话、传真等多种方式受理服务请求，建立完整的服务记录台账。根据服务请求的性质与紧急程度，合理分配和调配人力资源，并对服务请求的解决全过程进行跟踪管理，确保闭环处理。保障网站网络与数据安全。针对潜在隐患问题及时提出预防性建议，主动防范问题的发生，确保系统持续稳定运行。服务范围包括但不限于：系统平台突发性故障的诊断与解决、技术咨询、运行情况定期监控等。</w:t>
            </w:r>
          </w:p>
          <w:p w14:paraId="769DE053">
            <w:pPr>
              <w:pStyle w:val="4"/>
              <w:jc w:val="both"/>
            </w:pPr>
            <w:r>
              <w:rPr>
                <w:rFonts w:ascii="仿宋_GB2312" w:hAnsi="仿宋_GB2312" w:eastAsia="仿宋_GB2312" w:cs="仿宋_GB2312"/>
                <w:sz w:val="21"/>
              </w:rPr>
              <w:t>1.值班服务</w:t>
            </w:r>
          </w:p>
          <w:p w14:paraId="3B95EFA5">
            <w:pPr>
              <w:pStyle w:val="4"/>
              <w:ind w:firstLine="180"/>
              <w:jc w:val="both"/>
            </w:pPr>
            <w:r>
              <w:rPr>
                <w:rFonts w:ascii="仿宋_GB2312" w:hAnsi="仿宋_GB2312" w:eastAsia="仿宋_GB2312" w:cs="仿宋_GB2312"/>
                <w:sz w:val="21"/>
              </w:rPr>
              <w:t>为了保证及时快速地响应服务请求，研发机构需在法定节假日和非工作时间提供7×24小时全时间段的值班服务，指定值班人员并保持通讯畅通，指定值班人员在接到服务请求后一小时内到达指定工作岗位，开展相关工作。</w:t>
            </w:r>
          </w:p>
          <w:p w14:paraId="379494C0">
            <w:pPr>
              <w:pStyle w:val="4"/>
              <w:jc w:val="both"/>
            </w:pPr>
            <w:r>
              <w:rPr>
                <w:rFonts w:ascii="仿宋_GB2312" w:hAnsi="仿宋_GB2312" w:eastAsia="仿宋_GB2312" w:cs="仿宋_GB2312"/>
                <w:sz w:val="21"/>
              </w:rPr>
              <w:t>2.协助服务</w:t>
            </w:r>
          </w:p>
          <w:p w14:paraId="0A08DEA0">
            <w:pPr>
              <w:pStyle w:val="4"/>
              <w:ind w:firstLine="180"/>
              <w:jc w:val="both"/>
            </w:pPr>
            <w:r>
              <w:rPr>
                <w:rFonts w:ascii="仿宋_GB2312" w:hAnsi="仿宋_GB2312" w:eastAsia="仿宋_GB2312" w:cs="仿宋_GB2312"/>
                <w:sz w:val="21"/>
              </w:rPr>
              <w:t>针对软件运行而进行的使用咨询、疑难问题解决和系统升级方案设计等，协助做好如业务培训、参数设置、数据整合转移、突发事件处理等工作。</w:t>
            </w:r>
          </w:p>
          <w:p w14:paraId="1CF528FE">
            <w:pPr>
              <w:pStyle w:val="4"/>
              <w:jc w:val="both"/>
            </w:pPr>
            <w:r>
              <w:rPr>
                <w:rFonts w:ascii="仿宋_GB2312" w:hAnsi="仿宋_GB2312" w:eastAsia="仿宋_GB2312" w:cs="仿宋_GB2312"/>
                <w:sz w:val="21"/>
              </w:rPr>
              <w:t>3.文档服务</w:t>
            </w:r>
          </w:p>
          <w:p w14:paraId="53BF436F">
            <w:pPr>
              <w:pStyle w:val="4"/>
              <w:jc w:val="both"/>
            </w:pPr>
            <w:r>
              <w:rPr>
                <w:rFonts w:ascii="仿宋_GB2312" w:hAnsi="仿宋_GB2312" w:eastAsia="仿宋_GB2312" w:cs="仿宋_GB2312"/>
                <w:sz w:val="21"/>
              </w:rPr>
              <w:t xml:space="preserve">    根据工作内容的实际情况，编写提供相关技术文档，包括各阶段文档、报告等。</w:t>
            </w:r>
          </w:p>
          <w:p w14:paraId="4484D5B5">
            <w:pPr>
              <w:pStyle w:val="4"/>
              <w:jc w:val="both"/>
            </w:pPr>
            <w:r>
              <w:rPr>
                <w:rFonts w:ascii="仿宋_GB2312" w:hAnsi="仿宋_GB2312" w:eastAsia="仿宋_GB2312" w:cs="仿宋_GB2312"/>
                <w:sz w:val="21"/>
              </w:rPr>
              <w:t>4.云服务支持</w:t>
            </w:r>
          </w:p>
          <w:p w14:paraId="01551D51">
            <w:pPr>
              <w:pStyle w:val="4"/>
              <w:ind w:firstLine="180"/>
              <w:jc w:val="both"/>
            </w:pPr>
            <w:r>
              <w:rPr>
                <w:rFonts w:ascii="仿宋_GB2312" w:hAnsi="仿宋_GB2312" w:eastAsia="仿宋_GB2312" w:cs="仿宋_GB2312"/>
                <w:sz w:val="21"/>
              </w:rPr>
              <w:t>云服务支持内容包括：云资源配置、运行监控、性能优化、安全防护、故障排除等技术保障服务。</w:t>
            </w:r>
          </w:p>
          <w:p w14:paraId="20F4CB0F">
            <w:pPr>
              <w:pStyle w:val="4"/>
              <w:spacing w:before="105" w:after="105"/>
              <w:jc w:val="both"/>
              <w:outlineLvl w:val="0"/>
            </w:pPr>
            <w:r>
              <w:rPr>
                <w:rFonts w:ascii="仿宋_GB2312" w:hAnsi="仿宋_GB2312" w:eastAsia="仿宋_GB2312" w:cs="仿宋_GB2312"/>
                <w:b/>
                <w:sz w:val="21"/>
              </w:rPr>
              <w:t>六、服务期及付款要求：</w:t>
            </w:r>
          </w:p>
          <w:p w14:paraId="35AFB07F">
            <w:pPr>
              <w:pStyle w:val="4"/>
              <w:ind w:firstLine="360"/>
              <w:jc w:val="both"/>
            </w:pPr>
            <w:r>
              <w:rPr>
                <w:rFonts w:ascii="仿宋_GB2312" w:hAnsi="仿宋_GB2312" w:eastAsia="仿宋_GB2312" w:cs="仿宋_GB2312"/>
                <w:sz w:val="21"/>
              </w:rPr>
              <w:t>1.服务期：建设期6个月（启动至上线5个月，试运行至验收1个月）；自项目最终验收合格之日起，免费提供3年的运维服务（运维期内提供包括按照采购人需求完成系统的新创适配迁改工作和每年提供不少于4次功能性优化服务等内容）；自系统正式上线运行之日起，提供1年的云服务支持。</w:t>
            </w:r>
          </w:p>
          <w:p w14:paraId="43740BD9">
            <w:pPr>
              <w:pStyle w:val="4"/>
              <w:ind w:firstLine="360"/>
              <w:jc w:val="both"/>
            </w:pPr>
            <w:r>
              <w:rPr>
                <w:rFonts w:ascii="仿宋_GB2312" w:hAnsi="仿宋_GB2312" w:eastAsia="仿宋_GB2312" w:cs="仿宋_GB2312"/>
                <w:sz w:val="21"/>
              </w:rPr>
              <w:t>2.付款方式：合同签订生效后1个月内，采购人向成交供应商支付合同总金额的60%；项目最终验收通过后，采购人向成交供应商支付合同总金额的40%。成交供应商每次申请付款前，须向采购人提供等额有效的税务发票。</w:t>
            </w:r>
          </w:p>
        </w:tc>
      </w:tr>
    </w:tbl>
    <w:p w14:paraId="6120E3F0">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1E1F63"/>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7163</Words>
  <Characters>7317</Characters>
  <Lines>0</Lines>
  <Paragraphs>0</Paragraphs>
  <TotalTime>0</TotalTime>
  <ScaleCrop>false</ScaleCrop>
  <LinksUpToDate>false</LinksUpToDate>
  <CharactersWithSpaces>7352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对方正在输入.....</cp:lastModifiedBy>
  <dcterms:modified xsi:type="dcterms:W3CDTF">2026-05-29T09:11:29Z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eyJoZGlkIjoiMWZhOGU2NzgxMWE3NDY0ZTBjODBjMzY2ZTA2OWQzZjUiLCJ1c2VySWQiOiIyNDEyODExMTAifQ==</vt:lpwstr>
  </property>
  <property fmtid="{D5CDD505-2E9C-101B-9397-08002B2CF9AE}" pid="4" name="ICV">
    <vt:lpwstr>01AF8950BA4D4510966AB38B59D0A69A_12</vt:lpwstr>
  </property>
</Properties>
</file>