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305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2807"/>
        <w:gridCol w:w="3855"/>
        <w:gridCol w:w="44"/>
        <w:gridCol w:w="68"/>
        <w:gridCol w:w="644"/>
        <w:gridCol w:w="648"/>
      </w:tblGrid>
      <w:tr w14:paraId="77F3C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8C1BBE">
            <w:pPr>
              <w:pStyle w:val="7"/>
              <w:jc w:val="center"/>
              <w:rPr>
                <w:rFonts w:ascii="黑体" w:hAnsi="黑体" w:eastAsia="黑体" w:cs="黑体"/>
                <w:color w:val="auto"/>
              </w:rPr>
            </w:pPr>
            <w:bookmarkStart w:id="0" w:name="_GoBack"/>
            <w:bookmarkEnd w:id="0"/>
            <w:r>
              <w:rPr>
                <w:rFonts w:ascii="黑体" w:hAnsi="黑体" w:eastAsia="黑体" w:cs="黑体"/>
                <w:color w:val="auto"/>
              </w:rPr>
              <w:t>序号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13E1C">
            <w:pPr>
              <w:pStyle w:val="7"/>
              <w:jc w:val="center"/>
              <w:rPr>
                <w:rFonts w:ascii="黑体" w:hAnsi="黑体" w:eastAsia="黑体" w:cs="黑体"/>
                <w:color w:val="auto"/>
              </w:rPr>
            </w:pPr>
            <w:r>
              <w:rPr>
                <w:rFonts w:ascii="黑体" w:hAnsi="黑体" w:eastAsia="黑体" w:cs="黑体"/>
                <w:color w:val="auto"/>
              </w:rPr>
              <w:t>名称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889C33">
            <w:pPr>
              <w:pStyle w:val="7"/>
              <w:jc w:val="center"/>
              <w:rPr>
                <w:rFonts w:ascii="黑体" w:hAnsi="黑体" w:eastAsia="黑体" w:cs="黑体"/>
                <w:color w:val="auto"/>
              </w:rPr>
            </w:pPr>
            <w:r>
              <w:rPr>
                <w:rFonts w:ascii="黑体" w:hAnsi="黑体" w:eastAsia="黑体" w:cs="黑体"/>
                <w:color w:val="auto"/>
              </w:rPr>
              <w:t>参数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D3D2C">
            <w:pPr>
              <w:pStyle w:val="7"/>
              <w:jc w:val="center"/>
              <w:rPr>
                <w:rFonts w:ascii="黑体" w:hAnsi="黑体" w:eastAsia="黑体" w:cs="黑体"/>
                <w:color w:val="auto"/>
              </w:rPr>
            </w:pPr>
            <w:r>
              <w:rPr>
                <w:rFonts w:ascii="黑体" w:hAnsi="黑体" w:eastAsia="黑体" w:cs="黑体"/>
                <w:color w:val="auto"/>
              </w:rPr>
              <w:t>单位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0A983">
            <w:pPr>
              <w:pStyle w:val="7"/>
              <w:jc w:val="center"/>
              <w:rPr>
                <w:rFonts w:ascii="黑体" w:hAnsi="黑体" w:eastAsia="黑体" w:cs="黑体"/>
                <w:color w:val="auto"/>
              </w:rPr>
            </w:pPr>
            <w:r>
              <w:rPr>
                <w:rFonts w:ascii="黑体" w:hAnsi="黑体" w:eastAsia="黑体" w:cs="黑体"/>
                <w:color w:val="auto"/>
              </w:rPr>
              <w:t>数量</w:t>
            </w:r>
          </w:p>
        </w:tc>
      </w:tr>
      <w:tr w14:paraId="4FA55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71F61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46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FB818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无人机智能巡查及应急指挥调度平台</w:t>
            </w:r>
          </w:p>
        </w:tc>
      </w:tr>
      <w:tr w14:paraId="316D84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19E1E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1.1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FC0553">
            <w:pPr>
              <w:pStyle w:val="7"/>
              <w:rPr>
                <w:color w:val="auto"/>
                <w:highlight w:val="yellow"/>
              </w:rPr>
            </w:pPr>
            <w:r>
              <w:rPr>
                <w:color w:val="auto"/>
              </w:rPr>
              <w:t>设备运行管理子系统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53A03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1.支持设备信息“增删改查”，建立完整设备台账，支持不少于5000条设备资产记录。</w:t>
            </w:r>
          </w:p>
          <w:p w14:paraId="4A6F5E7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2.同时管理电池、配件等相关资源，记录各型号无人机的性能参数；检修记录和保险信息可追溯，到期自动提醒。</w:t>
            </w:r>
          </w:p>
          <w:p w14:paraId="2D8862E9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3.提醒支持按时间周期（日/周/月/年）或使用时长自定义配置，系统应记录每台设备的累计飞行时长、起降次数。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475065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E42509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37FAED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8C0DE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1.2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FE2C91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监测对象管理子系统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05B64">
            <w:pPr>
              <w:pStyle w:val="7"/>
              <w:rPr>
                <w:color w:val="auto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  <w:lang w:bidi="ar"/>
              </w:rPr>
              <w:t>▲1.</w:t>
            </w:r>
            <w:r>
              <w:rPr>
                <w:color w:val="auto"/>
              </w:rPr>
              <w:t>实现风险源、承灾体、防护目标的“一源一档、一护一档”的信息管理。</w:t>
            </w:r>
          </w:p>
          <w:p w14:paraId="76BEE550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2.支持GIS地图上的风险源、承灾体、防护目标标注数量≥10000个，地图加载响应时间≤3秒（在标注数量满负荷下）。支持与无人机巡航数据自动关联，实现动态更新。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70340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890E6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196296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83628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1.3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6837A0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应急指挥调度子系统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AD9C1">
            <w:pPr>
              <w:pStyle w:val="7"/>
              <w:rPr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  <w:lang w:bidi="ar"/>
              </w:rPr>
              <w:t>1.</w:t>
            </w:r>
            <w:r>
              <w:rPr>
                <w:color w:val="auto"/>
                <w:highlight w:val="none"/>
              </w:rPr>
              <w:t>实现突发事件和预警信息应急指挥和处置。突发事件接入后，周边资源检索响应时间≤5秒，辅助决策和处置。</w:t>
            </w:r>
          </w:p>
          <w:p w14:paraId="0EF098C8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2.支持临时任务执行，可快速检索周边无人机，同时并发调度无人机数量≥10架，制定临时任务并下达指令。</w:t>
            </w:r>
          </w:p>
          <w:p w14:paraId="3F21F810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3.实时接入巡航视频与AI预警信息，实现“边飞边判”，AI预警信息推送成功率≥99%，推送延迟≤30秒，状态动态更新，形成处置闭环。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365BA0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65CC7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6AA37E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29049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1.4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A2A599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飞行任务管理子系统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57CE6E">
            <w:pPr>
              <w:pStyle w:val="7"/>
              <w:rPr>
                <w:rFonts w:hint="default"/>
                <w:color w:val="auto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highlight w:val="none"/>
                <w:lang w:bidi="ar"/>
              </w:rPr>
              <w:t>1.</w:t>
            </w:r>
            <w:r>
              <w:rPr>
                <w:color w:val="auto"/>
                <w:highlight w:val="none"/>
              </w:rPr>
              <w:t>航线管理，单条航线支持不少于100个航点</w:t>
            </w:r>
            <w:r>
              <w:rPr>
                <w:rFonts w:ascii="Segoe UI" w:hAnsi="Segoe UI" w:eastAsia="Segoe UI" w:cs="Segoe UI"/>
                <w:color w:val="auto"/>
                <w:sz w:val="22"/>
                <w:szCs w:val="22"/>
                <w:highlight w:val="none"/>
                <w:shd w:val="clear" w:color="auto" w:fill="FFFFFF"/>
              </w:rPr>
              <w:t>（手动/自动）</w:t>
            </w:r>
            <w:r>
              <w:rPr>
                <w:color w:val="auto"/>
                <w:highlight w:val="none"/>
              </w:rPr>
              <w:t>；任务配置实现巡检巡航，实时监控飞行状态，并支持任务记录查询、数据导出及事件报告生成。</w:t>
            </w:r>
          </w:p>
          <w:p w14:paraId="2A3C65BD">
            <w:pPr>
              <w:pStyle w:val="7"/>
              <w:rPr>
                <w:rFonts w:hint="default"/>
                <w:color w:val="auto"/>
              </w:rPr>
            </w:pPr>
            <w:r>
              <w:rPr>
                <w:rFonts w:hint="default" w:ascii="仿宋" w:hAnsi="仿宋" w:eastAsia="仿宋" w:cs="仿宋"/>
                <w:color w:val="auto"/>
                <w:lang w:bidi="ar"/>
              </w:rPr>
              <w:t>★</w:t>
            </w:r>
            <w:r>
              <w:rPr>
                <w:color w:val="auto"/>
              </w:rPr>
              <w:t>2</w:t>
            </w:r>
            <w:r>
              <w:rPr>
                <w:rFonts w:ascii="Cambria" w:hAnsi="Cambria"/>
                <w:color w:val="auto"/>
              </w:rPr>
              <w:t>.</w:t>
            </w:r>
            <w:r>
              <w:rPr>
                <w:color w:val="auto"/>
              </w:rPr>
              <w:t>历史记录存储年限≥3年，支持按多种条件组合查询。</w:t>
            </w:r>
          </w:p>
          <w:p w14:paraId="7E680FBD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</w:t>
            </w:r>
            <w:r>
              <w:rPr>
                <w:rFonts w:ascii="Cambria" w:hAnsi="Cambria"/>
                <w:color w:val="auto"/>
              </w:rPr>
              <w:t>.</w:t>
            </w:r>
            <w:r>
              <w:rPr>
                <w:color w:val="auto"/>
              </w:rPr>
              <w:t>事件报告支持导出为PDF、Word、Excel格式。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930B40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775FCF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794575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37A6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1.5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EC4365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远程飞控子系统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140AF">
            <w:pPr>
              <w:pStyle w:val="7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</w:rPr>
            </w:pPr>
            <w:r>
              <w:rPr>
                <w:rFonts w:hint="default" w:ascii="仿宋" w:hAnsi="仿宋" w:eastAsia="仿宋" w:cs="仿宋"/>
                <w:color w:val="auto"/>
                <w:lang w:bidi="ar"/>
              </w:rPr>
              <w:t>▲</w:t>
            </w:r>
            <w:r>
              <w:rPr>
                <w:rFonts w:hint="eastAsia" w:ascii="仿宋" w:hAnsi="仿宋" w:eastAsia="仿宋" w:cs="仿宋"/>
                <w:color w:val="auto"/>
                <w:lang w:val="en-US" w:eastAsia="zh-CN" w:bidi="ar"/>
              </w:rPr>
              <w:t>1.</w:t>
            </w:r>
            <w:r>
              <w:rPr>
                <w:color w:val="auto"/>
              </w:rPr>
              <w:t>飞行监控、一键出警、多机协同、智能避障、自动巡航、智能返航等，视频回传延迟（从无人机到指挥中心）≤500ms（在4G/5G网络环境下）。</w:t>
            </w:r>
          </w:p>
          <w:p w14:paraId="57C7B79C">
            <w:pPr>
              <w:pStyle w:val="7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color w:val="auto"/>
              </w:rPr>
              <w:t>多机协同控制时平台可同时显示无人机视频路数≥4路。</w:t>
            </w:r>
          </w:p>
          <w:p w14:paraId="1AD4A0DC">
            <w:pPr>
              <w:pStyle w:val="7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3.</w:t>
            </w:r>
            <w:r>
              <w:rPr>
                <w:color w:val="auto"/>
                <w:highlight w:val="none"/>
              </w:rPr>
              <w:t>一键返航精度（以返航点为中心）≤2米。</w:t>
            </w:r>
          </w:p>
          <w:p w14:paraId="34E26271">
            <w:pPr>
              <w:pStyle w:val="7"/>
              <w:numPr>
                <w:ilvl w:val="0"/>
                <w:numId w:val="0"/>
              </w:numPr>
              <w:ind w:leftChars="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4.</w:t>
            </w:r>
            <w:r>
              <w:rPr>
                <w:color w:val="auto"/>
              </w:rPr>
              <w:t>支持将无人机拍摄的视频图片实时回传至指挥中心，实时感知全域风险态势。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E7605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67DAE6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577BC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BDA328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1.6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292C72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AI智能应用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215D16">
            <w:pPr>
              <w:pStyle w:val="7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1.</w:t>
            </w:r>
            <w:r>
              <w:rPr>
                <w:color w:val="auto"/>
              </w:rPr>
              <w:t>集成多种图像识别算法模型（如滑坡识别、烟火识别、边坡落石），滑坡识别、烟火识别、边坡落石识别的准确率≥85%（在标准测试集下），误报率≤10%，通过云端协同AI自动识别、AI监控告警，AI识别单张图像的处理时间≤2秒。支持AI模型算法管理，进行AI算法调优及更新。</w:t>
            </w:r>
          </w:p>
          <w:p w14:paraId="2C9ACF15">
            <w:pPr>
              <w:pStyle w:val="7"/>
              <w:numPr>
                <w:ilvl w:val="0"/>
                <w:numId w:val="0"/>
              </w:numPr>
              <w:ind w:leftChars="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color w:val="auto"/>
              </w:rPr>
              <w:t>对当前组织权限下的无人机飞行过程中拍摄的图像影像进行AI智能识别，标注“滑坡识别、烟火识别、边坡落石”隐患；并自动生成预警工单及报告，预警工单自动生成后可通过短信、系统消息两种方式推送，记录预警时间、预警地点、隐患图片等重要信息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071EE9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39B906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3A6EE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D93306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1.7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7375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无人机和机场接入授权</w:t>
            </w:r>
          </w:p>
        </w:tc>
        <w:tc>
          <w:tcPr>
            <w:tcW w:w="219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51372">
            <w:pPr>
              <w:pStyle w:val="7"/>
              <w:numPr>
                <w:ilvl w:val="0"/>
                <w:numId w:val="0"/>
              </w:numPr>
              <w:ind w:leftChars="0"/>
              <w:rPr>
                <w:rFonts w:hint="default"/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1.</w:t>
            </w:r>
            <w:r>
              <w:rPr>
                <w:color w:val="auto"/>
                <w:highlight w:val="none"/>
              </w:rPr>
              <w:t>应提供与本项目3套无人机机场及3台无人机配套的接入授权。</w:t>
            </w:r>
          </w:p>
          <w:p w14:paraId="24639785">
            <w:pPr>
              <w:pStyle w:val="7"/>
              <w:numPr>
                <w:ilvl w:val="0"/>
                <w:numId w:val="0"/>
              </w:numPr>
              <w:ind w:leftChars="0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2.</w:t>
            </w:r>
            <w:r>
              <w:rPr>
                <w:color w:val="auto"/>
                <w:highlight w:val="none"/>
              </w:rPr>
              <w:t>支持符合MQTT、HTTP API或GB/T 28181等标准协议对接。质保期内提供免费软件升级，若原厂商停止技术支持，中标人需提供替代方案并承担费用。授权应满足本项目建设规模和使用期限要求，且在质保期内包含升级维护与技术支持服务。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88DB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21EC32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4A0DA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F61164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46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05FED2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安全生产智慧管控系统</w:t>
            </w:r>
          </w:p>
        </w:tc>
      </w:tr>
      <w:tr w14:paraId="4B65FA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04CAF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2.1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EBB7AE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企业监管档案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2866A">
            <w:pPr>
              <w:pStyle w:val="7"/>
              <w:bidi w:val="0"/>
              <w:rPr>
                <w:rFonts w:hint="eastAsia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8"/>
                <w:szCs w:val="28"/>
                <w:u w:val="none"/>
                <w:lang w:val="en-US" w:eastAsia="zh-CN" w:bidi="ar"/>
              </w:rPr>
              <w:t>▲</w:t>
            </w: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1.企业信息（镇巴县内矿山、危化、加油站等）建档，支持企业信息批量导入（Excel/CSV），单次导入记录数≥5000条。</w:t>
            </w:r>
          </w:p>
          <w:p w14:paraId="496FD6B5">
            <w:pPr>
              <w:pStyle w:val="7"/>
              <w:rPr>
                <w:color w:val="auto"/>
              </w:rPr>
            </w:pPr>
            <w:r>
              <w:rPr>
                <w:rFonts w:hint="eastAsia"/>
                <w:b w:val="0"/>
                <w:bCs w:val="0"/>
                <w:color w:val="auto"/>
                <w:lang w:val="en-US" w:eastAsia="zh-CN"/>
              </w:rPr>
              <w:t>2.支持不少于10种行业分类且可自定义；支持企业分类查询、精准定位，可以快速查看指定区域、指定行业的企业分布与基本情况，同时关联企业的风险、隐患、执法等其他相关信息。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9FBE7D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5B8765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228227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C151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2.2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023E1D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风险隐患管理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5DD2A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.隐患排查整改汇聚企业的所有隐患数据，包括企业自查、执法检查发现和群众举报等各个方面的隐患数据。隐患信息包括隐患的位置、隐患的等级、隐患的描述、隐患的整改责任人、整改期限、整改完成情况、是否挂牌等。</w:t>
            </w:r>
          </w:p>
          <w:p w14:paraId="14D26D33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.系统采用智能表单形成隐患列表，列表信息包括：隐患类型、等级、位置、整改期限等。同时支持隐患排查整改的全链路跟踪，隐患整改临期提醒支持提前1天、3天、7天多级提醒，对于超时未整改的隐患信息，系统给出告警和提示。隐患数据支持导出为PDF、Excel。</w:t>
            </w:r>
          </w:p>
          <w:p w14:paraId="67B4084E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3.风险管控汇聚企业的所有风险信息，包括风险的类型（火灾、爆炸、中毒等）、风险的等级（一般、较大、重大、特别重大）、风险的位置、风险的管控措施、管控等级、管控科室及负责人等信息。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AF7CD2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5427A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0E4DF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926B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2.3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8FE30D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安全生产一张图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061ACC">
            <w:pPr>
              <w:pStyle w:val="7"/>
              <w:rPr>
                <w:color w:val="auto"/>
                <w:highlight w:val="none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  <w:highlight w:val="none"/>
                <w:lang w:bidi="ar"/>
              </w:rPr>
              <w:t>★1.</w:t>
            </w:r>
            <w:r>
              <w:rPr>
                <w:color w:val="auto"/>
                <w:highlight w:val="none"/>
              </w:rPr>
              <w:t>依托GIS地图，将镇巴县内危化品企业、煤矿、非煤矿山、加油站、烟花爆竹批发公司等进行上图展示和相关风险隐患、生产事故信息进行关联展示。</w:t>
            </w:r>
          </w:p>
          <w:p w14:paraId="353F0357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2.支持筛选查询、统计分析和GIS空间定位。</w:t>
            </w:r>
          </w:p>
          <w:p w14:paraId="4D6FE491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3.支持矢量切片地图，缩放级别≥18级，图层叠加数量≥10层，切换图层响应时间≤2秒。</w:t>
            </w:r>
          </w:p>
          <w:p w14:paraId="58A05ED9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4.安全生产一张图提供各类图层展示，包括：企业图层、高危企业图层、重大危险源图层、企业视频图层、感知设备图层。各图层以企业为核心，支持通过圈选和任意多边形选择，进行企业安全生产大数据分析。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39250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F0B49E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280540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A37D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2.4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CDF04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视频AI智能分析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7A93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1.依托部署于非煤矿山、加油站、工贸企业各关键点位的视频AI智能分析设备，对接设备AI识别研判结果，依托原有监控资源开展智能化视频解析，自动识别各类安全生产违规行为与安全隐患，并触发告警提示。</w:t>
            </w:r>
          </w:p>
          <w:p w14:paraId="32735928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2.接入加油站重点管控区域AI设备智能识别的现场吸烟、接打电话、出现明火烟雾、卸油作业脱岗、灭火器摆放不规范、卸油管接驳不合规等研判结果。</w:t>
            </w:r>
          </w:p>
          <w:p w14:paraId="0E301386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接入非煤矿山爆破区、堆料场、运输通道的烟火险情、无关人员闯入、车辆违规停放问题等研判结果；同时接入采石加工车间对未按规定穿戴工装安全帽、作业期间抽烟打电话、无关人员擅自入厂等违章行为的研判结果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69B3CD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239B30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754CF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8853F3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2.5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098F3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预警分析及告警通知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C8B150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1.整合多源监测预警信息，一是对接煤矿物联感知设备预警数据，包括：甲烷、压力、一氧化碳、温度、风速、烟雾、风筒风量等实时监测预警数据；二是对接加油站、非煤矿山、工贸企业安全生产的物联感知监测设备（可燃气体报警器、烟雾报警器、温湿度传感器）预警信息；三是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接入</w:t>
            </w:r>
            <w:r>
              <w:rPr>
                <w:color w:val="auto"/>
                <w:highlight w:val="none"/>
              </w:rPr>
              <w:t>煤矿、加油站、非煤矿山、工贸企业的视频监控AI分析预警信息；四是接入各类风险隐患超期未处置预警信息，进行综合分析和告警通知。支持按不同等级、不同类型进行统计和分析。</w:t>
            </w:r>
          </w:p>
          <w:p w14:paraId="20470C9A">
            <w:pPr>
              <w:pStyle w:val="7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2.针对系统推送的各类预警信息，进行人工复核和分析后，可通过系统消息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,支持通过现有短信平台</w:t>
            </w:r>
            <w:r>
              <w:rPr>
                <w:color w:val="auto"/>
                <w:highlight w:val="none"/>
              </w:rPr>
              <w:t>，将重要预警信息推送给对应的监管人员和企业负责人，支持系统消息通知并发能力≥100条/分钟。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B2ECF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FFA441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1A2E06C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B19F4D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46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8DDB0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镇巴应急物联感知底座</w:t>
            </w:r>
          </w:p>
        </w:tc>
      </w:tr>
      <w:tr w14:paraId="0297898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62AA8B2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3.1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5AF14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接入适配子系统</w:t>
            </w:r>
          </w:p>
        </w:tc>
        <w:tc>
          <w:tcPr>
            <w:tcW w:w="2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89013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提供</w:t>
            </w:r>
            <w:r>
              <w:rPr>
                <w:color w:val="auto"/>
              </w:rPr>
              <w:t>设备直连、库表接入、接口接入、文件接入等多类型感知设备接入能力</w:t>
            </w:r>
            <w:r>
              <w:rPr>
                <w:rFonts w:hint="eastAsia"/>
                <w:color w:val="auto"/>
                <w:lang w:eastAsia="zh-CN"/>
              </w:rPr>
              <w:t>；</w:t>
            </w:r>
            <w:r>
              <w:rPr>
                <w:color w:val="auto"/>
              </w:rPr>
              <w:t>平台通过设备模型，对设备的功能、状态等进行数字建模，实现不同厂家设备与平台的互联互通</w:t>
            </w:r>
            <w:r>
              <w:rPr>
                <w:rFonts w:hint="eastAsia"/>
                <w:color w:val="auto"/>
                <w:lang w:eastAsia="zh-CN"/>
              </w:rPr>
              <w:t>：</w:t>
            </w:r>
          </w:p>
          <w:p w14:paraId="147205AD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default"/>
                <w:color w:val="auto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1.</w:t>
            </w:r>
            <w:r>
              <w:rPr>
                <w:color w:val="auto"/>
              </w:rPr>
              <w:t>支持设备直连接入，协议适配功能包括支持MQTT、TCP、UDP标准协议的接入，支持水利SL651、环境HJ212、交通JT/T 808行标协议内置和免编码接入，支持通过脚本插件等形式实现私有协议的支持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130DDD87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default"/>
                <w:color w:val="auto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color w:val="auto"/>
              </w:rPr>
              <w:t>支持接口接入，通过提供标准级联接口，实现其他感知相关业务平台的接入，支持接口鉴权和接口在线调试功能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6AF65870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</w:t>
            </w:r>
            <w:r>
              <w:rPr>
                <w:color w:val="auto"/>
              </w:rPr>
              <w:t>支持库表接入，通过库表数据的定期调度和加工，实现其他感知相关业务平台的接入，支持postgresql、sqlsever、mysql等常见数据库的库表调度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10083F83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</w:t>
            </w:r>
            <w:r>
              <w:rPr>
                <w:color w:val="auto"/>
              </w:rPr>
              <w:t>支持文件接入，通过FTP、SFTP等文件协议，实现远程文件的调度和下载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67D622CC">
            <w:pPr>
              <w:pStyle w:val="7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5.</w:t>
            </w:r>
            <w:r>
              <w:rPr>
                <w:color w:val="auto"/>
              </w:rPr>
              <w:t>支持城市部件的接入，可将楼房等城市部件进行接入，支持部件与子部件的绑定和部件与子设备的绑定。</w:t>
            </w:r>
          </w:p>
        </w:tc>
        <w:tc>
          <w:tcPr>
            <w:tcW w:w="4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57BA11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F1D57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7B72F92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4784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3.2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776DCF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设备管理子系统</w:t>
            </w:r>
          </w:p>
        </w:tc>
        <w:tc>
          <w:tcPr>
            <w:tcW w:w="2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DE8193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提供</w:t>
            </w:r>
            <w:r>
              <w:rPr>
                <w:color w:val="auto"/>
              </w:rPr>
              <w:t>设备</w:t>
            </w:r>
            <w:r>
              <w:rPr>
                <w:rFonts w:hint="eastAsia"/>
                <w:color w:val="auto"/>
                <w:lang w:val="en-US" w:eastAsia="zh-CN"/>
              </w:rPr>
              <w:t>的</w:t>
            </w:r>
            <w:r>
              <w:rPr>
                <w:color w:val="auto"/>
              </w:rPr>
              <w:t>日常</w:t>
            </w:r>
            <w:r>
              <w:rPr>
                <w:rFonts w:hint="eastAsia"/>
                <w:color w:val="auto"/>
                <w:lang w:val="en-US" w:eastAsia="zh-CN"/>
              </w:rPr>
              <w:t>感知</w:t>
            </w:r>
            <w:r>
              <w:rPr>
                <w:color w:val="auto"/>
              </w:rPr>
              <w:t>维护，包含设备分布、告警管理、感知报表、服务监控等维护能力</w:t>
            </w:r>
            <w:r>
              <w:rPr>
                <w:rFonts w:hint="eastAsia"/>
                <w:color w:val="auto"/>
                <w:lang w:eastAsia="zh-CN"/>
              </w:rPr>
              <w:t>：</w:t>
            </w:r>
          </w:p>
          <w:p w14:paraId="7175B1C2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1.支持按区划、模型、部件等维度展示设备分布。</w:t>
            </w:r>
          </w:p>
          <w:p w14:paraId="6EC882E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2.支持活动告警转工单处置、短信通知功能。</w:t>
            </w:r>
          </w:p>
          <w:p w14:paraId="7FCCDF8E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3.支持大屏报表的在线维护。</w:t>
            </w:r>
          </w:p>
        </w:tc>
        <w:tc>
          <w:tcPr>
            <w:tcW w:w="4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0E6F0D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38326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5FDF67E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1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558FDE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3.3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48C68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数据管理子系统</w:t>
            </w:r>
          </w:p>
        </w:tc>
        <w:tc>
          <w:tcPr>
            <w:tcW w:w="2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4A5AC5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提供感知设备的数据管理，包括数据建模、数据治理、数据库构建、数据分析等功能</w:t>
            </w:r>
            <w:r>
              <w:rPr>
                <w:rFonts w:hint="eastAsia"/>
                <w:color w:val="auto"/>
                <w:lang w:val="en-US" w:eastAsia="zh-CN"/>
              </w:rPr>
              <w:t>：</w:t>
            </w:r>
          </w:p>
          <w:p w14:paraId="688B0D2D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</w:t>
            </w:r>
            <w:r>
              <w:rPr>
                <w:rFonts w:hint="default"/>
                <w:color w:val="auto"/>
                <w:lang w:val="en-US" w:eastAsia="zh-CN"/>
              </w:rPr>
              <w:t>支持通过分析指标和分析任务配置自动生成数据分析报表</w:t>
            </w:r>
            <w:r>
              <w:rPr>
                <w:rFonts w:hint="eastAsia"/>
                <w:color w:val="auto"/>
                <w:lang w:val="en-US" w:eastAsia="zh-CN"/>
              </w:rPr>
              <w:t>。</w:t>
            </w:r>
          </w:p>
          <w:p w14:paraId="5ED6C049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rFonts w:hint="default"/>
                <w:color w:val="auto"/>
                <w:lang w:val="en-US" w:eastAsia="zh-CN"/>
              </w:rPr>
              <w:t>支持感知数据专题库构建，包括感知设备库、感知部件库、感知模型库、感知协议库</w:t>
            </w:r>
            <w:r>
              <w:rPr>
                <w:rFonts w:hint="eastAsia"/>
                <w:color w:val="auto"/>
                <w:lang w:val="en-US" w:eastAsia="zh-CN"/>
              </w:rPr>
              <w:t>。</w:t>
            </w:r>
          </w:p>
          <w:p w14:paraId="263E92E6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3.支持按区域、类型、部门等维度进行数据专题分析。</w:t>
            </w:r>
          </w:p>
        </w:tc>
        <w:tc>
          <w:tcPr>
            <w:tcW w:w="4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376CF9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46754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3922592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C9B52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3.4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50F10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运维保障子系统</w:t>
            </w:r>
          </w:p>
        </w:tc>
        <w:tc>
          <w:tcPr>
            <w:tcW w:w="2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41F8C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提供覆盖设备日常运维、定期巡检、应急事件处置等场景的运维保障</w:t>
            </w:r>
            <w:r>
              <w:rPr>
                <w:rFonts w:hint="eastAsia"/>
                <w:color w:val="auto"/>
                <w:lang w:val="en-US" w:eastAsia="zh-CN"/>
              </w:rPr>
              <w:t>：</w:t>
            </w:r>
          </w:p>
          <w:p w14:paraId="5AA14B00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1.</w:t>
            </w:r>
            <w:r>
              <w:rPr>
                <w:rFonts w:hint="default"/>
                <w:color w:val="auto"/>
                <w:lang w:val="en-US" w:eastAsia="zh-CN"/>
              </w:rPr>
              <w:t>支持设备日常工单、用户对发现问题进行工单处置</w:t>
            </w:r>
            <w:r>
              <w:rPr>
                <w:rFonts w:hint="eastAsia"/>
                <w:color w:val="auto"/>
                <w:lang w:val="en-US" w:eastAsia="zh-CN"/>
              </w:rPr>
              <w:t>。</w:t>
            </w:r>
          </w:p>
          <w:p w14:paraId="013AFF1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rFonts w:hint="default"/>
                <w:color w:val="auto"/>
                <w:lang w:val="en-US" w:eastAsia="zh-CN"/>
              </w:rPr>
              <w:t>支持设备巡检工单、用户对负责设备进行定期巡检</w:t>
            </w:r>
            <w:r>
              <w:rPr>
                <w:rFonts w:hint="eastAsia"/>
                <w:color w:val="auto"/>
                <w:lang w:val="en-US" w:eastAsia="zh-CN"/>
              </w:rPr>
              <w:t>。</w:t>
            </w:r>
          </w:p>
          <w:p w14:paraId="0FA56CB6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3.支持资产维护，对负责的软硬件资产进行综合维护。</w:t>
            </w:r>
          </w:p>
          <w:p w14:paraId="5DFC69FC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4.支持运维组织管理，对运维机构、人员信息进行综合管理。</w:t>
            </w:r>
          </w:p>
          <w:p w14:paraId="506EE75B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5.支持运维统计，对组织、个人运维开展情况进行综合统计。</w:t>
            </w:r>
          </w:p>
        </w:tc>
        <w:tc>
          <w:tcPr>
            <w:tcW w:w="4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61AEA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B905A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0E1600C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DDD809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3.5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F12F8F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统一门户子系统</w:t>
            </w:r>
          </w:p>
        </w:tc>
        <w:tc>
          <w:tcPr>
            <w:tcW w:w="2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27C33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val="en-US" w:eastAsia="zh-CN"/>
              </w:rPr>
            </w:pPr>
            <w:r>
              <w:rPr>
                <w:color w:val="auto"/>
              </w:rPr>
              <w:t>提供组织管理、部门管理、用户管理、角色管理、标签管理、菜单管理、资源权限管理等管理</w:t>
            </w:r>
            <w:r>
              <w:rPr>
                <w:rFonts w:hint="eastAsia"/>
                <w:color w:val="auto"/>
                <w:lang w:eastAsia="zh-CN"/>
              </w:rPr>
              <w:t>：</w:t>
            </w:r>
          </w:p>
          <w:p w14:paraId="1404DCA3">
            <w:pPr>
              <w:pStyle w:val="7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1.</w:t>
            </w:r>
            <w:r>
              <w:rPr>
                <w:color w:val="auto"/>
              </w:rPr>
              <w:t>支持组织管理、部门管理、用户管理、角色管理、菜单管理，对平台组织权限、菜单等进行综合管理。</w:t>
            </w:r>
          </w:p>
          <w:p w14:paraId="763AB154">
            <w:pPr>
              <w:pStyle w:val="7"/>
              <w:numPr>
                <w:ilvl w:val="0"/>
                <w:numId w:val="0"/>
              </w:numPr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color w:val="auto"/>
              </w:rPr>
              <w:t>支持平台定时任务的管理和维护。</w:t>
            </w:r>
          </w:p>
          <w:p w14:paraId="2DDCEE68">
            <w:pPr>
              <w:pStyle w:val="7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3.</w:t>
            </w:r>
            <w:r>
              <w:rPr>
                <w:color w:val="auto"/>
              </w:rPr>
              <w:t>支持系统和服务的综合监控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6D9A34AB">
            <w:pPr>
              <w:pStyle w:val="7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4.</w:t>
            </w:r>
            <w:r>
              <w:rPr>
                <w:color w:val="auto"/>
              </w:rPr>
              <w:t>支持登录日志、操作日志、请求日志的综合查看。</w:t>
            </w:r>
          </w:p>
        </w:tc>
        <w:tc>
          <w:tcPr>
            <w:tcW w:w="4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D8D723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4015C4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40A5CFB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8DE69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3.6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DFEA25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统一服务子系统</w:t>
            </w:r>
          </w:p>
        </w:tc>
        <w:tc>
          <w:tcPr>
            <w:tcW w:w="2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438F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提供感知数据对外的统一API和消息推送服务</w:t>
            </w:r>
            <w:r>
              <w:rPr>
                <w:rFonts w:hint="eastAsia"/>
                <w:color w:val="auto"/>
                <w:lang w:val="en-US" w:eastAsia="zh-CN"/>
              </w:rPr>
              <w:t>：</w:t>
            </w:r>
          </w:p>
          <w:p w14:paraId="1B5DE376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default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  <w:lang w:val="en-US" w:eastAsia="zh-CN"/>
              </w:rPr>
              <w:t>1.</w:t>
            </w:r>
            <w:r>
              <w:rPr>
                <w:rFonts w:hint="default"/>
                <w:color w:val="auto"/>
                <w:lang w:val="en-US" w:eastAsia="zh-CN"/>
              </w:rPr>
              <w:t>接口服务提供开放渠道、接口的综合管理，</w:t>
            </w:r>
            <w:r>
              <w:rPr>
                <w:rFonts w:hint="eastAsia"/>
                <w:color w:val="auto"/>
                <w:lang w:val="en-US" w:eastAsia="zh-CN"/>
              </w:rPr>
              <w:t>提供对渠道基本信息的定义，黑白名单、有效失效和渠道key的设定。</w:t>
            </w:r>
          </w:p>
          <w:p w14:paraId="32D69C9B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>
              <w:rPr>
                <w:rFonts w:hint="default"/>
                <w:color w:val="auto"/>
                <w:lang w:val="en-US" w:eastAsia="zh-CN"/>
              </w:rPr>
              <w:t>数据服务提供数据推送消息队列的主体、实例、规则主动配置管理。</w:t>
            </w:r>
          </w:p>
          <w:p w14:paraId="68A6DE81">
            <w:pPr>
              <w:pStyle w:val="7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3.轻应用提供对P</w:t>
            </w:r>
            <w:r>
              <w:rPr>
                <w:rFonts w:hint="default"/>
                <w:color w:val="auto"/>
                <w:lang w:val="en-US" w:eastAsia="zh-CN"/>
              </w:rPr>
              <w:t>C端和移动端轻量级应用的配置管理。</w:t>
            </w:r>
          </w:p>
        </w:tc>
        <w:tc>
          <w:tcPr>
            <w:tcW w:w="4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62D2D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C85BB0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5BEA094D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0790ED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3.7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18D612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灾害风险视频子系统</w:t>
            </w:r>
          </w:p>
        </w:tc>
        <w:tc>
          <w:tcPr>
            <w:tcW w:w="21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DB15C">
            <w:pPr>
              <w:pStyle w:val="7"/>
              <w:numPr>
                <w:ilvl w:val="0"/>
                <w:numId w:val="0"/>
              </w:num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提供视频的统一汇聚、视频预案、实时预览云台控制、轮巡、地图联动等应用：</w:t>
            </w:r>
          </w:p>
          <w:p w14:paraId="58F5400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1.支持道路交通、河道水情、安全生产等领域GB28181、ONVIF等协议视频设备的统一汇聚，支持接入数量不少于2000路，单路视频打开不超过3秒。</w:t>
            </w:r>
          </w:p>
          <w:p w14:paraId="4EEB2AB1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2.支持视频预案数量≥50个；支持实时预览，支持视频抓图、回放、播放控制，多屏播放支持可切换画面为1、4、9、16及自定义屏幕分屏，支持画面以4:3或16:9展示，可全屏播放。</w:t>
            </w:r>
          </w:p>
          <w:p w14:paraId="2672A918">
            <w:pPr>
              <w:pStyle w:val="7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3.</w:t>
            </w:r>
            <w:r>
              <w:rPr>
                <w:rFonts w:hint="default"/>
                <w:color w:val="auto"/>
                <w:lang w:val="en-US" w:eastAsia="zh-CN"/>
              </w:rPr>
              <w:t>支持视频设备的</w:t>
            </w:r>
            <w:r>
              <w:rPr>
                <w:rFonts w:hint="eastAsia"/>
                <w:color w:val="auto"/>
                <w:lang w:val="en-US" w:eastAsia="zh-CN"/>
              </w:rPr>
              <w:t>云台控制、视频轮巡、地图联动等功能应用。</w:t>
            </w:r>
          </w:p>
        </w:tc>
        <w:tc>
          <w:tcPr>
            <w:tcW w:w="41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C4FC7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15A37A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</w:tr>
      <w:tr w14:paraId="328FC73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148816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46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1833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国产服务器及平台部署环境搭建</w:t>
            </w:r>
          </w:p>
        </w:tc>
      </w:tr>
      <w:tr w14:paraId="45EC832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884455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4.1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60E40C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国产数据库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B6E4B">
            <w:pPr>
              <w:pStyle w:val="7"/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cs="方正仿宋_GB2312"/>
                <w:color w:val="auto"/>
                <w:sz w:val="22"/>
                <w:szCs w:val="22"/>
                <w:shd w:val="clear" w:color="auto" w:fill="FFFFFF"/>
              </w:rPr>
              <w:t>通过安全测评或GB/T 20273-2019；支持鲲鹏/飞腾/海光/龙芯CPU及统信/银河麒麟OS；按项目授权（不限用户/核数/容器）；支持全文检索（含流式/版式文件）、逻辑日志异地容灾；支持虚拟机/容器/裸金属部署；提供迁移工具（并行化、批量加载、异常记录）；支持闪回、完全/增量/差异/归档备份；兼容OCI/JDBC/ODBC等接口及C++/Java/Python/Go等语言；支持PL/SQL自定义子类型/自治事务/文本加密；监控主机CPU/内存/磁盘/网络；</w:t>
            </w:r>
            <w:r>
              <w:rPr>
                <w:rFonts w:hint="eastAsia" w:cs="方正仿宋_GB2312"/>
                <w:color w:val="auto"/>
                <w:sz w:val="22"/>
                <w:szCs w:val="22"/>
                <w:highlight w:val="none"/>
                <w:shd w:val="clear" w:color="auto" w:fill="FFFFFF"/>
              </w:rPr>
              <w:t>单机并发≥1000，单表≥5TB</w:t>
            </w:r>
            <w:r>
              <w:rPr>
                <w:rFonts w:hint="eastAsia" w:cs="方正仿宋_GB2312"/>
                <w:color w:val="auto"/>
                <w:sz w:val="22"/>
                <w:szCs w:val="22"/>
                <w:highlight w:val="none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F48996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BCB5AE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14:paraId="7AD4EDE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78FCD4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4.2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DB32A7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国产操作系统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C7F5F">
            <w:pPr>
              <w:pStyle w:val="7"/>
              <w:rPr>
                <w:color w:val="auto"/>
              </w:rPr>
            </w:pPr>
            <w:r>
              <w:rPr>
                <w:rFonts w:cs="方正仿宋_GB2312"/>
                <w:color w:val="auto"/>
                <w:sz w:val="22"/>
                <w:szCs w:val="22"/>
                <w:shd w:val="clear" w:color="auto" w:fill="FFFFFF"/>
              </w:rPr>
              <w:t>通过安全测评或符合国产OS标准；提供3年安全补丁更新服务。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6FF378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4BC3ED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</w:tr>
      <w:tr w14:paraId="0D738DB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F0A59E">
            <w:pPr>
              <w:pStyle w:val="7"/>
              <w:rPr>
                <w:rFonts w:hint="eastAsia" w:eastAsia="方正仿宋_GB2312"/>
                <w:color w:val="auto"/>
                <w:lang w:val="en-US" w:eastAsia="zh-CN"/>
              </w:rPr>
            </w:pPr>
            <w:r>
              <w:rPr>
                <w:color w:val="auto"/>
              </w:rPr>
              <w:t>4.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5954E4">
            <w:pPr>
              <w:pStyle w:val="7"/>
              <w:rPr>
                <w:rFonts w:hint="eastAsia" w:eastAsia="方正仿宋_GB2312"/>
                <w:color w:val="auto"/>
                <w:lang w:val="en-US" w:eastAsia="zh-CN"/>
              </w:rPr>
            </w:pPr>
            <w:r>
              <w:rPr>
                <w:color w:val="auto"/>
              </w:rPr>
              <w:t>国产服务器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6062D1">
            <w:pPr>
              <w:pStyle w:val="7"/>
              <w:numPr>
                <w:ilvl w:val="0"/>
                <w:numId w:val="0"/>
              </w:numPr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CPU≥16核，内存≥32GB，硬盘≥2TB，数量4。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E8B3DB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台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576B5E">
            <w:pPr>
              <w:pStyle w:val="7"/>
              <w:rPr>
                <w:rFonts w:hint="eastAsia" w:eastAsia="方正仿宋_GB2312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</w:p>
        </w:tc>
      </w:tr>
      <w:tr w14:paraId="3101F4C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4A4E6">
            <w:pPr>
              <w:pStyle w:val="7"/>
              <w:ind w:firstLine="0" w:firstLineChars="0"/>
              <w:rPr>
                <w:rFonts w:hint="eastAsia" w:ascii="方正仿宋_GB2312" w:hAnsi="方正仿宋_GB2312" w:eastAsia="方正仿宋_GB2312" w:cs="Times New Roman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color w:val="auto"/>
              </w:rPr>
              <w:t>4.4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51D208">
            <w:pPr>
              <w:pStyle w:val="7"/>
              <w:rPr>
                <w:rFonts w:hint="eastAsia" w:ascii="仿宋" w:hAnsi="仿宋" w:eastAsia="方正仿宋_GB2312" w:cs="仿宋"/>
                <w:color w:val="auto"/>
                <w:lang w:val="en-US" w:eastAsia="zh-CN" w:bidi="ar"/>
              </w:rPr>
            </w:pPr>
            <w:r>
              <w:rPr>
                <w:color w:val="auto"/>
              </w:rPr>
              <w:t>国产服务器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595A07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CPU≥32核，内存≥64GB，硬盘≥16TB，GPU显存≥24G，数量1。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7A1AE">
            <w:pPr>
              <w:pStyle w:val="7"/>
              <w:rPr>
                <w:color w:val="auto"/>
              </w:rPr>
            </w:pPr>
            <w:r>
              <w:rPr>
                <w:color w:val="auto"/>
              </w:rPr>
              <w:t>台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507C7A7">
            <w:pPr>
              <w:pStyle w:val="7"/>
              <w:rPr>
                <w:rFonts w:hint="eastAsia" w:eastAsia="方正仿宋_GB2312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</w:tr>
      <w:tr w14:paraId="715E2E8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2490E">
            <w:pPr>
              <w:pStyle w:val="7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446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B1A22">
            <w:pPr>
              <w:pStyle w:val="7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无人机及机场建设</w:t>
            </w:r>
          </w:p>
        </w:tc>
      </w:tr>
      <w:tr w14:paraId="5A7533A4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E350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5.1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B754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无人机机场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803D1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1.尺寸：≤650mm×750mm×800mm。整机重量：≤55kg。工作温度范围：≥-20℃至50℃。IP防护等级：≥IP56。允许降落风速：设备允许降落风速不小于6级。运行海拔高度：设备运行海拔高度不小于4500米。                 ▲2.RTK基站定位精准度：水平±0.1米（rtk)垂直±0.1米（rtk）。</w:t>
            </w:r>
          </w:p>
          <w:p w14:paraId="3485B571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▲3.充电时间：从15%充至95%＜40分钟。</w:t>
            </w:r>
          </w:p>
          <w:p w14:paraId="36D3B52B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4.媒体下载速率：无人机及机场间的下载速率≥15MB/s。</w:t>
            </w:r>
          </w:p>
          <w:p w14:paraId="5C526FD7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5.空调类型：内置压缩机空调。续航时间：备用电池续航≥4小时。机场标识灯：机场集成标识灯，可以用于夜间返航。4G或5G接入：设备可使用蜂窝模块和SIM卡通过4G或5G实现网络接入。</w:t>
            </w:r>
          </w:p>
          <w:p w14:paraId="3B7365C1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.传感器：内置风速传感器、雨量传感器、环境温度传感器、水浸传感器、舱内温度传感器、舱内湿度传感器。分辨率：设备同时配备内部及外部监控相机，且视频分辨率≥1080P。视角范围（FOV）：设备同时配备内部及外部监控相机，且视角范围≥150°。补光灯：设备同时配备内部及外部监控相机，且具备补光能力。</w:t>
            </w:r>
          </w:p>
          <w:p w14:paraId="1B3B7AE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7.应用程序：支持使用手机APP对机场进行部署、调试。</w:t>
            </w:r>
          </w:p>
          <w:p w14:paraId="36745C00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8.边缘计算：设备具备边缘计算模块接口。</w:t>
            </w:r>
          </w:p>
          <w:p w14:paraId="187A4DB2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▲9.快速起飞：下达任务后，需要15秒内起飞。</w:t>
            </w:r>
          </w:p>
          <w:p w14:paraId="7BC4353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10.边飞边传：在执行自动任务时，能够实时查看采集的媒体数据。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EEF5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套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D0E3C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 w14:paraId="7F4D117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26EFE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5.2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4F0D6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无人机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1AAEE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1.飞行平台裸机重量：≤1850g。起飞重量≥2000g。信号有效距离（FCC）≥25km。飞行时间：≥54分钟。可抗风速：≥12m/s。折叠后尺寸（长×宽×高）：≤380×420×220mm</w:t>
            </w:r>
          </w:p>
          <w:p w14:paraId="27FA26AE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2.对角线轴距：≤500mm。全向感知系统：支持全向双目视觉避障系统，下方具备三维红外传感器。</w:t>
            </w:r>
          </w:p>
          <w:p w14:paraId="47EC06FC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工作环境温度：≥-20℃至40℃。防护等级：≥IP54。GNSS定位悬停精度：垂直±0.5m，水平±0.5m。RTK定位悬停精度：垂直±0.1m，水平±0.1m。上升速度：≥10m/s。下降速度：≥8m/s。水平飞行速度：≥20m/s。上升速度：≥6m/s。起飞海拔高度：≥6500米。</w:t>
            </w:r>
          </w:p>
          <w:p w14:paraId="5E19D056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4.RTK：RTK集成在无人机上。</w:t>
            </w:r>
          </w:p>
          <w:p w14:paraId="42967FB7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云台相机相机类型：具有长焦可见光、中长焦可见光、广角可见光和红外热成像相机。广角相机：≥1/1.3英寸CMOS相机，有效像素不低于4800万。中长焦相机：≥1/1.3英寸CMOS相机，有效像素不低于4800万。长焦相机：≥1/1.5英寸CMOS相机，有效像素不低于4800万。可见光相机变焦倍数：变焦倍数≥112倍。红外传感器分辨率：≥640×512，超分模式≥1280×1024，帧率：≥30Hz。红外热成像功能：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支持点测温和区域测温</w:t>
            </w:r>
            <w:r>
              <w:rPr>
                <w:rFonts w:hint="eastAsia"/>
                <w:color w:val="auto"/>
                <w:lang w:val="en-US" w:eastAsia="zh-CN"/>
              </w:rPr>
              <w:t>，支持≥28倍数码变焦，支持可见光与红外热成像联动变焦。稳定系统：具备三轴机械增稳云台（俯仰、横滚、平移）。可见光相机视频：支持≥4k30p视频录制。激光测距模块：正入射量程≥1800m。红外补光：支持近红外补光灯。云台俯仰：支持≥-90°至90°的俯仰范围。夜景模式：支持全彩夜视、黑白夜视。</w:t>
            </w:r>
          </w:p>
          <w:p w14:paraId="381B2BDF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6.软件功能支持智能任务规划，远程控制，多路直播，开放ai生态。智能识别功能：可见光支持人车船目标的AI识别。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F55E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台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2911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 w14:paraId="01F5514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3DC73F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5.3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F5D6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保险（三年）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68A6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1.提供不少于3年的无人机设备保障服务，覆盖因意外导致的设备损坏维修或置换服务；服务范围、除外责任、维修流程、服务时效及保障额度应在投标文件中明确说明。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BE26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年/台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47FB1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 w14:paraId="15693DC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D081EF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5.4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84C6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图传增强模块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EB41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1.可将无人机设备接入4G或5G网络，兼容4G/5G全网通，支持电信、移动、联通，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>提供安装支架及天线，</w:t>
            </w:r>
            <w:r>
              <w:rPr>
                <w:rFonts w:hint="eastAsia"/>
                <w:color w:val="auto"/>
                <w:lang w:val="en-US" w:eastAsia="zh-CN"/>
              </w:rPr>
              <w:t>不影响无人机原有折叠与收纳，提供高速稳定的联网服务，实现增强图传等多项功能。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4BFA6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DE135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 w14:paraId="77FEC9F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B311E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5.5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6FCC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物联网卡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2336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1.国内基础电信运营商，流量不低于2000GB/月。流量池可共享，支持多张卡流量共享，提供管理平台查看流量使用情况。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FC18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57431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 w14:paraId="0B3488F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AF150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5.6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ED49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喊话器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96BD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1.重量：≤95g。尺寸：≤长75×宽70×高55mm。响度：≥114dB@1m。有效广播距离：≥300m。</w:t>
            </w:r>
          </w:p>
          <w:p w14:paraId="0DB66A45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2.广播方式：实时喊话（支持回声啸叫抑制）、录音喊话、媒体导入（支持边传边播）、文字转语音。工作环境温度：-20℃至50℃。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6845F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A7D8C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 w14:paraId="3BCA3EE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7730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5.7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718E02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探照灯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30579">
            <w:pPr>
              <w:pStyle w:val="7"/>
              <w:numPr>
                <w:ilvl w:val="0"/>
                <w:numId w:val="0"/>
              </w:num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1.重量：≤100g。尺寸：≤长100×宽170×高30mm。照度：≥4.3±0.2lux@100m，。有效照明角度：≥23°。有效照明面积：≥1300㎡@100m。</w:t>
            </w:r>
          </w:p>
          <w:p w14:paraId="7B220426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2.工作方式：常亮、爆闪。云台结构设计范围：俯仰范围不小于：-140°至50°。云台可控转动范围：俯仰：-90°至35°。云台对齐精度：≤±0.1°。工作环境温度：-20℃至50℃。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057D3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个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A42A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  <w:tr w14:paraId="4E651663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CBDE2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5.8</w:t>
            </w:r>
          </w:p>
        </w:tc>
        <w:tc>
          <w:tcPr>
            <w:tcW w:w="15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8265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机场安装施工服务</w:t>
            </w:r>
          </w:p>
        </w:tc>
        <w:tc>
          <w:tcPr>
            <w:tcW w:w="21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E1B8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根据用户行业需求，进行机场选址、信号测试，出具部署规划及具体方案等。【安装部署】设备防水、接地、接网、交换机/路由器等，含运输、防水电源盒、线材套管、五金器件、辅料等耗材，施工后提供3年质保（非人为损坏）。【人工服务】施工人工费、运输安装、设备调试、自动航线部署规划等专业技术服务。</w:t>
            </w:r>
          </w:p>
        </w:tc>
        <w:tc>
          <w:tcPr>
            <w:tcW w:w="3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37854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次</w:t>
            </w:r>
          </w:p>
        </w:tc>
        <w:tc>
          <w:tcPr>
            <w:tcW w:w="3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689BC">
            <w:pPr>
              <w:pStyle w:val="7"/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</w:tr>
    </w:tbl>
    <w:p w14:paraId="71A6DF2F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1、标</w:t>
      </w:r>
      <w:r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“★”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的参数为核心参数，</w:t>
      </w:r>
      <w:r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对标注“★”的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参数</w:t>
      </w:r>
      <w:r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实质性要求必须全部满足。任意1项不满足或未响应的，否决其投标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。</w:t>
      </w:r>
    </w:p>
    <w:p w14:paraId="191DAF90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响应的证明材料包括但不限于检测报告、产品白皮书、官网截图、功能截图、彩页、</w:t>
      </w:r>
      <w:r>
        <w:rPr>
          <w:rFonts w:hint="default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系统功能性截图说明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等（有其中一项证明材料即可）；</w:t>
      </w:r>
    </w:p>
    <w:p w14:paraId="4F02B285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</w:p>
    <w:p w14:paraId="1B9D938E">
      <w:pP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u w:val="none"/>
          <w:lang w:val="en-US" w:eastAsia="zh-CN" w:bidi="ar"/>
        </w:rPr>
        <w:t>2、本项目核心产品（两个）为：国产服务器1、国产服务器2。</w:t>
      </w:r>
    </w:p>
    <w:p w14:paraId="092D4CE7">
      <w:pPr>
        <w:ind w:left="0" w:leftChars="0" w:firstLine="0" w:firstLine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EF1981B-1C03-4232-B64C-EBFB6C5FB07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F3676E0-3B56-49B9-9475-2AF70260AE59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2D87EE1-753A-460A-B9D7-CF9B9C45EF5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4327A44-7C84-4B10-960C-EAC328A71776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5" w:fontKey="{783DADAB-94B7-4BEE-9DA3-A71F921DE09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6" w:fontKey="{00C97C5B-7345-46D4-AE0B-ECB2ED47AE2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315"/>
    <w:rsid w:val="00116315"/>
    <w:rsid w:val="00125861"/>
    <w:rsid w:val="00347B7E"/>
    <w:rsid w:val="00641BB2"/>
    <w:rsid w:val="008B0676"/>
    <w:rsid w:val="00DA2AF7"/>
    <w:rsid w:val="00E146C8"/>
    <w:rsid w:val="012A0989"/>
    <w:rsid w:val="02353A89"/>
    <w:rsid w:val="02B524D4"/>
    <w:rsid w:val="02EB7B61"/>
    <w:rsid w:val="039667A9"/>
    <w:rsid w:val="043A7135"/>
    <w:rsid w:val="04936845"/>
    <w:rsid w:val="04DA0918"/>
    <w:rsid w:val="06163BD1"/>
    <w:rsid w:val="06450013"/>
    <w:rsid w:val="06C278B5"/>
    <w:rsid w:val="07F7358F"/>
    <w:rsid w:val="08273E74"/>
    <w:rsid w:val="089247D2"/>
    <w:rsid w:val="08A2174C"/>
    <w:rsid w:val="08FC5AAB"/>
    <w:rsid w:val="099866AB"/>
    <w:rsid w:val="0ACC1FD2"/>
    <w:rsid w:val="0ADD081A"/>
    <w:rsid w:val="0B224DC6"/>
    <w:rsid w:val="0BC1638D"/>
    <w:rsid w:val="0C3C45B6"/>
    <w:rsid w:val="0D046532"/>
    <w:rsid w:val="0D4829AA"/>
    <w:rsid w:val="0D576FA9"/>
    <w:rsid w:val="0D584ACF"/>
    <w:rsid w:val="0D5C28B8"/>
    <w:rsid w:val="0DEA27C5"/>
    <w:rsid w:val="0E1E3623"/>
    <w:rsid w:val="0E341099"/>
    <w:rsid w:val="0E88682E"/>
    <w:rsid w:val="0F786D63"/>
    <w:rsid w:val="0FD61CDB"/>
    <w:rsid w:val="10797237"/>
    <w:rsid w:val="10EC5C5A"/>
    <w:rsid w:val="114D7DC2"/>
    <w:rsid w:val="125C0BBE"/>
    <w:rsid w:val="12704669"/>
    <w:rsid w:val="13182D37"/>
    <w:rsid w:val="1382348A"/>
    <w:rsid w:val="13F05A62"/>
    <w:rsid w:val="141F00F5"/>
    <w:rsid w:val="1432607A"/>
    <w:rsid w:val="15437E13"/>
    <w:rsid w:val="154C4F1A"/>
    <w:rsid w:val="162243B4"/>
    <w:rsid w:val="16AB3EC2"/>
    <w:rsid w:val="172D0D7B"/>
    <w:rsid w:val="173E0892"/>
    <w:rsid w:val="1787048B"/>
    <w:rsid w:val="181A12FF"/>
    <w:rsid w:val="19120228"/>
    <w:rsid w:val="199D3F96"/>
    <w:rsid w:val="1A09162B"/>
    <w:rsid w:val="1A3A7A37"/>
    <w:rsid w:val="1AA82AB2"/>
    <w:rsid w:val="1B0E2C71"/>
    <w:rsid w:val="1B9D5DED"/>
    <w:rsid w:val="1BB00E34"/>
    <w:rsid w:val="1C177904"/>
    <w:rsid w:val="1CC57360"/>
    <w:rsid w:val="1D2624F4"/>
    <w:rsid w:val="1D436C02"/>
    <w:rsid w:val="1DA33030"/>
    <w:rsid w:val="1E69338D"/>
    <w:rsid w:val="1E6A6411"/>
    <w:rsid w:val="1E90231B"/>
    <w:rsid w:val="1F06438B"/>
    <w:rsid w:val="1FC16504"/>
    <w:rsid w:val="2062491A"/>
    <w:rsid w:val="20C77B4A"/>
    <w:rsid w:val="20E14312"/>
    <w:rsid w:val="224F6049"/>
    <w:rsid w:val="241A569F"/>
    <w:rsid w:val="247C6E9E"/>
    <w:rsid w:val="25781413"/>
    <w:rsid w:val="25E92311"/>
    <w:rsid w:val="262D66A1"/>
    <w:rsid w:val="26E33204"/>
    <w:rsid w:val="280653FC"/>
    <w:rsid w:val="28447CD2"/>
    <w:rsid w:val="2874680A"/>
    <w:rsid w:val="289F315B"/>
    <w:rsid w:val="28C01A4F"/>
    <w:rsid w:val="28EC45F2"/>
    <w:rsid w:val="29057462"/>
    <w:rsid w:val="2B876854"/>
    <w:rsid w:val="2BC5737C"/>
    <w:rsid w:val="2CD51841"/>
    <w:rsid w:val="2D3B5B48"/>
    <w:rsid w:val="2DDD763F"/>
    <w:rsid w:val="305807BF"/>
    <w:rsid w:val="30711881"/>
    <w:rsid w:val="30FC55EE"/>
    <w:rsid w:val="33105381"/>
    <w:rsid w:val="33296443"/>
    <w:rsid w:val="344A48C2"/>
    <w:rsid w:val="34A77B71"/>
    <w:rsid w:val="34C74165"/>
    <w:rsid w:val="34E95F8C"/>
    <w:rsid w:val="356B5778"/>
    <w:rsid w:val="36854BA4"/>
    <w:rsid w:val="36932551"/>
    <w:rsid w:val="376D2DA2"/>
    <w:rsid w:val="37920A5A"/>
    <w:rsid w:val="379F4F25"/>
    <w:rsid w:val="37B26A07"/>
    <w:rsid w:val="37F05781"/>
    <w:rsid w:val="38507FCD"/>
    <w:rsid w:val="38997BC6"/>
    <w:rsid w:val="38EC7CF6"/>
    <w:rsid w:val="395B30CE"/>
    <w:rsid w:val="39754190"/>
    <w:rsid w:val="3A833686"/>
    <w:rsid w:val="3B4E2EEA"/>
    <w:rsid w:val="3B7D557D"/>
    <w:rsid w:val="3D711112"/>
    <w:rsid w:val="3DB17760"/>
    <w:rsid w:val="3F2C335C"/>
    <w:rsid w:val="3FDB3EA9"/>
    <w:rsid w:val="406311E6"/>
    <w:rsid w:val="416C6AFA"/>
    <w:rsid w:val="41A43864"/>
    <w:rsid w:val="41C061C4"/>
    <w:rsid w:val="4436451B"/>
    <w:rsid w:val="44A973E3"/>
    <w:rsid w:val="44D0671E"/>
    <w:rsid w:val="4513485D"/>
    <w:rsid w:val="453E7B2C"/>
    <w:rsid w:val="46195EA3"/>
    <w:rsid w:val="46843C64"/>
    <w:rsid w:val="47D97FDF"/>
    <w:rsid w:val="494616A5"/>
    <w:rsid w:val="499441BE"/>
    <w:rsid w:val="49C60F7D"/>
    <w:rsid w:val="4DF74D1B"/>
    <w:rsid w:val="4DFC67D6"/>
    <w:rsid w:val="4E802F63"/>
    <w:rsid w:val="519F5DF6"/>
    <w:rsid w:val="51C23892"/>
    <w:rsid w:val="53C2401E"/>
    <w:rsid w:val="53E45D42"/>
    <w:rsid w:val="54176117"/>
    <w:rsid w:val="54232D0E"/>
    <w:rsid w:val="54C067AF"/>
    <w:rsid w:val="54D51B2F"/>
    <w:rsid w:val="55004DFD"/>
    <w:rsid w:val="55943798"/>
    <w:rsid w:val="55EE10FA"/>
    <w:rsid w:val="55F552E0"/>
    <w:rsid w:val="55F67FAE"/>
    <w:rsid w:val="56DC71A4"/>
    <w:rsid w:val="57607DD5"/>
    <w:rsid w:val="587F428B"/>
    <w:rsid w:val="58816255"/>
    <w:rsid w:val="58E97957"/>
    <w:rsid w:val="5AE66844"/>
    <w:rsid w:val="5B8F2A37"/>
    <w:rsid w:val="5CC20BEA"/>
    <w:rsid w:val="5D4D6706"/>
    <w:rsid w:val="5D5B5434"/>
    <w:rsid w:val="5D8660BC"/>
    <w:rsid w:val="5E084D23"/>
    <w:rsid w:val="5F9F3465"/>
    <w:rsid w:val="5FC103FE"/>
    <w:rsid w:val="60915396"/>
    <w:rsid w:val="60CD7F37"/>
    <w:rsid w:val="6170330B"/>
    <w:rsid w:val="61B41449"/>
    <w:rsid w:val="61F94C3C"/>
    <w:rsid w:val="6220263B"/>
    <w:rsid w:val="62383234"/>
    <w:rsid w:val="62AC0373"/>
    <w:rsid w:val="62C92CD3"/>
    <w:rsid w:val="635C21B5"/>
    <w:rsid w:val="63F21DB5"/>
    <w:rsid w:val="6477327D"/>
    <w:rsid w:val="654F3237"/>
    <w:rsid w:val="661204ED"/>
    <w:rsid w:val="66C57C55"/>
    <w:rsid w:val="671B1623"/>
    <w:rsid w:val="67D363A2"/>
    <w:rsid w:val="67E20393"/>
    <w:rsid w:val="68255E1E"/>
    <w:rsid w:val="69CC30A8"/>
    <w:rsid w:val="69D33B54"/>
    <w:rsid w:val="69F10D61"/>
    <w:rsid w:val="6A1C4030"/>
    <w:rsid w:val="6C884E83"/>
    <w:rsid w:val="6C88775B"/>
    <w:rsid w:val="6D0C5E17"/>
    <w:rsid w:val="6F202DDD"/>
    <w:rsid w:val="6FD827A7"/>
    <w:rsid w:val="6FF11ABB"/>
    <w:rsid w:val="70074E3A"/>
    <w:rsid w:val="706D08D3"/>
    <w:rsid w:val="70875F7B"/>
    <w:rsid w:val="70A00DEB"/>
    <w:rsid w:val="71C034F3"/>
    <w:rsid w:val="724C2FD8"/>
    <w:rsid w:val="73027B3B"/>
    <w:rsid w:val="74471CA9"/>
    <w:rsid w:val="74A76BEC"/>
    <w:rsid w:val="75093403"/>
    <w:rsid w:val="75483F2B"/>
    <w:rsid w:val="75846F2D"/>
    <w:rsid w:val="758D5DE2"/>
    <w:rsid w:val="763D3F02"/>
    <w:rsid w:val="77C17FC5"/>
    <w:rsid w:val="78191BAF"/>
    <w:rsid w:val="78782D79"/>
    <w:rsid w:val="7A794B87"/>
    <w:rsid w:val="7A9279F6"/>
    <w:rsid w:val="7B4F7695"/>
    <w:rsid w:val="7BA9149B"/>
    <w:rsid w:val="7C3A63C9"/>
    <w:rsid w:val="7C4411C4"/>
    <w:rsid w:val="7C5D5623"/>
    <w:rsid w:val="7CA81753"/>
    <w:rsid w:val="7CAA1027"/>
    <w:rsid w:val="7D545437"/>
    <w:rsid w:val="7DFA5FDE"/>
    <w:rsid w:val="7E5F5E41"/>
    <w:rsid w:val="7F0A3FFF"/>
    <w:rsid w:val="7F8518D8"/>
    <w:rsid w:val="7FB1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uto"/>
      <w:ind w:firstLine="1044" w:firstLineChars="200"/>
      <w:jc w:val="both"/>
    </w:pPr>
    <w:rPr>
      <w:rFonts w:ascii="微软雅黑" w:hAnsi="微软雅黑" w:eastAsia="宋体" w:cs="Times New Roman"/>
      <w:kern w:val="2"/>
      <w:sz w:val="28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表格正文"/>
    <w:basedOn w:val="1"/>
    <w:qFormat/>
    <w:uiPriority w:val="0"/>
    <w:pPr>
      <w:widowControl/>
      <w:ind w:firstLine="0" w:firstLineChars="0"/>
      <w:jc w:val="left"/>
      <w:textAlignment w:val="center"/>
    </w:pPr>
    <w:rPr>
      <w:rFonts w:hint="eastAsia" w:ascii="方正仿宋_GB2312" w:hAnsi="方正仿宋_GB2312" w:eastAsia="方正仿宋_GB2312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5846</Words>
  <Characters>6504</Characters>
  <Lines>354</Lines>
  <Paragraphs>211</Paragraphs>
  <TotalTime>39</TotalTime>
  <ScaleCrop>false</ScaleCrop>
  <LinksUpToDate>false</LinksUpToDate>
  <CharactersWithSpaces>6525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2026-06-10T08:08:00Z</dcterms:created>
  <dc:creator>Administrator</dc:creator>
  <cp:lastModifiedBy>从66888开始</cp:lastModifiedBy>
  <cp:lastPrinted>2026-07-09T08:53:00Z</cp:lastPrinted>
  <dcterms:modified xsi:type="dcterms:W3CDTF">2026-07-11T09:10:32Z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eyJoZGlkIjoiMzViODhkNzIxYjJmYTg4NTA5NWJmZWU4MTVkNGI2YmUiLCJ1c2VySWQiOiI0MDIyMjc5NjcifQ==</vt:lpwstr>
  </property>
  <property fmtid="{D5CDD505-2E9C-101B-9397-08002B2CF9AE}" pid="4" name="ICV">
    <vt:lpwstr>49CC60251D2D4409BE6B6FF2CBA4AC59_13</vt:lpwstr>
  </property>
</Properties>
</file>