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版本号：SXJHZB-2026-0608-001.1B120260711002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镇巴县安全生产智慧管控平台建设项目(二次)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SXJHZB-2026-0608-001.1B1</w:t>
      </w:r>
      <w:r>
        <w:br/>
      </w:r>
      <w:r>
        <w:br/>
      </w:r>
      <w:r>
        <w:br/>
      </w:r>
    </w:p>
    <w:p>
      <w:pPr>
        <w:pStyle w:val="null3"/>
        <w:jc w:val="center"/>
        <w:outlineLvl w:val="2"/>
      </w:pPr>
      <w:r>
        <w:rPr>
          <w:rFonts w:ascii="仿宋_GB2312" w:hAnsi="仿宋_GB2312" w:cs="仿宋_GB2312" w:eastAsia="仿宋_GB2312"/>
          <w:sz w:val="28"/>
          <w:b/>
        </w:rPr>
        <w:t>镇巴县应急管理局</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镇巴县应急管理局</w:t>
      </w:r>
      <w:r>
        <w:rPr>
          <w:rFonts w:ascii="仿宋_GB2312" w:hAnsi="仿宋_GB2312" w:cs="仿宋_GB2312" w:eastAsia="仿宋_GB2312"/>
        </w:rPr>
        <w:t>委托，拟对</w:t>
      </w:r>
      <w:r>
        <w:rPr>
          <w:rFonts w:ascii="仿宋_GB2312" w:hAnsi="仿宋_GB2312" w:cs="仿宋_GB2312" w:eastAsia="仿宋_GB2312"/>
        </w:rPr>
        <w:t>镇巴县安全生产智慧管控平台建设项目(二次)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SXJHZB-2026-0608-001.1B1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镇巴县安全生产智慧管控平台建设项目(二次)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按照“突出重点、补齐短板、夯实基础、实战赋能”原则，打造“1+1+3+N”总体架构：建设1个低空应急及安全生产智慧管控平台，构建1个县域物联感知及低空应急网络，具备无人机智能巡查、物联感知数据汇聚、安全生产风险监测3大核心模块，赋能自然灾害防治、安全生产监管、地质灾害监测、应急救援处置等N类业务场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p>
      <w:pPr>
        <w:pStyle w:val="null3"/>
      </w:pPr>
      <w:r>
        <w:rPr>
          <w:rFonts w:ascii="仿宋_GB2312" w:hAnsi="仿宋_GB2312" w:cs="仿宋_GB2312" w:eastAsia="仿宋_GB2312"/>
        </w:rPr>
        <w:t>2、法定代表人授权书或法定代表人身份证明：法定代表人参加投标须提供《法定代表人身份证明》及身份证复印件;法定代表人授权他人参加投标，须提供《法定代表人授权委托书》、委托代理人身份证复印件，投标人需在项目电子化交易系统中按要求上传相应证明文件并进行电子签章;</w:t>
      </w:r>
    </w:p>
    <w:p>
      <w:pPr>
        <w:pStyle w:val="null3"/>
      </w:pPr>
      <w:r>
        <w:rPr>
          <w:rFonts w:ascii="仿宋_GB2312" w:hAnsi="仿宋_GB2312" w:cs="仿宋_GB2312" w:eastAsia="仿宋_GB2312"/>
        </w:rPr>
        <w:t>3、资格承诺函：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投标人需在项目电子化交易系统中按要求上传相应证明文件并进行电子签章;</w:t>
      </w:r>
    </w:p>
    <w:p>
      <w:pPr>
        <w:pStyle w:val="null3"/>
      </w:pPr>
      <w:r>
        <w:rPr>
          <w:rFonts w:ascii="仿宋_GB2312" w:hAnsi="仿宋_GB2312" w:cs="仿宋_GB2312" w:eastAsia="仿宋_GB2312"/>
        </w:rPr>
        <w:t>4、非联合体、不分包响应证明：本项目不接受联合体投标，不允许分包。投标人应提供《非联合体不分包投标声明》，视为独立响应，不分包，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13389163288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开户名称：陕西巨和项目管理有限责任公司</w:t>
            </w:r>
          </w:p>
          <w:p>
            <w:pPr>
              <w:pStyle w:val="null3"/>
            </w:pPr>
            <w:r>
              <w:rPr>
                <w:rFonts w:ascii="仿宋_GB2312" w:hAnsi="仿宋_GB2312" w:cs="仿宋_GB2312" w:eastAsia="仿宋_GB2312"/>
              </w:rPr>
              <w:t>开户银行：长安银行股份有限公司镇巴县小微支行</w:t>
            </w:r>
          </w:p>
          <w:p>
            <w:pPr>
              <w:pStyle w:val="null3"/>
            </w:pPr>
            <w:r>
              <w:rPr>
                <w:rFonts w:ascii="仿宋_GB2312" w:hAnsi="仿宋_GB2312" w:cs="仿宋_GB2312" w:eastAsia="仿宋_GB2312"/>
              </w:rPr>
              <w:t>银行账号：806061701421002903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镇巴县应急管理局</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设备、软件系统、集成实施、培训服务、技术资料等全部内容，严格遵照采购文件、合同约定及国家、行业技术标准执行。系统运行平稳，各项功能达标，试运行期间故障已全部整改，达到采购人使用要求，采购人审核通过即完成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按照“突出重点、补齐短板、夯实基础、实战赋能”原则，打造“1+1+3+N”总体架构：建设1个低空应急及安全生产智慧管控平台，构建1个县域物联感知及低空应急网络，具备无人机智能巡查、物联感知数据汇聚、安全生产风险监测3大核心模块，赋能自然灾害防治、安全生产监管、地质灾害监测、应急救援处置等N类业务场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3,400,000.00</w:t>
      </w:r>
    </w:p>
    <w:p>
      <w:pPr>
        <w:pStyle w:val="null3"/>
      </w:pPr>
      <w:r>
        <w:rPr>
          <w:rFonts w:ascii="仿宋_GB2312" w:hAnsi="仿宋_GB2312" w:cs="仿宋_GB2312" w:eastAsia="仿宋_GB2312"/>
        </w:rPr>
        <w:t>采购包最高限价（元）: 3,400,000.00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镇巴县安全生产智慧管控平台项目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标的名称：镇巴县安全生产智慧管控平台项目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708"/>
              <w:jc w:val="both"/>
            </w:pPr>
            <w:r>
              <w:rPr>
                <w:rFonts w:ascii="仿宋_GB2312" w:hAnsi="仿宋_GB2312" w:cs="仿宋_GB2312" w:eastAsia="仿宋_GB2312"/>
                <w:sz w:val="28"/>
              </w:rPr>
              <w:t xml:space="preserve">      </w:t>
            </w:r>
            <w:r>
              <w:rPr>
                <w:rFonts w:ascii="仿宋_GB2312" w:hAnsi="仿宋_GB2312" w:cs="仿宋_GB2312" w:eastAsia="仿宋_GB2312"/>
                <w:sz w:val="28"/>
              </w:rPr>
              <w:t>详细参数与性能指标详见附件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90日历天，后期运行维护3年。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预付款，项目政府采购合同签订生效后，中标供应商完成项目方案深化设计、全部软硬件设备备货、项目实施团队进场就位，提交合法有效等额发票后，达到付款条件起30个工作日内，支付合同总金额的30.0%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进度款，项目硬件设备安装部署、软件系统开发集成、功能联调全部完成，平台投入试运行，经建设单位组织验收合格后，提交剩余对应金额合法有效发票，达到付款条件起30个工作日内，支付合同总金额的30.0%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进度款，试运行期满、正式竣工验收通过，全套资料归档、运维交接完成，收票后支付，达到付款条件起30个工作日内，支付合同总金额的35.0%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进度款，质保期届满，无质量问题、无运维投诉，无息付清，达到付款条件起30个工作日内，支付合同总金额的5.0%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产品数量、规格、参数、功能、性能、安装部署、系统联调、试运行效果、培训服务、售后服务及交付资料均满足采购文件、合同、技术标准要求及采购人实际使用要求，系统运行稳定，各项业务功能可正常使用，试运行期间无重大故障、问题整改完毕，并经采购人确认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保修范围 涵盖本项目全部硬件设备、平台软件、定制模块及配套集成服务，正常使用下的故障、缺陷、功能异常均纳入保修。 因人为误操作、擅自改装、外力破坏、不可抗力、环境异常及正常耗材损耗引发的问题，不在保修范围内。 2. 保修期限 整体保修期自项目终验合格之日起计算，共计3年。硬件设备质保不低于原厂标准，且不短于本项目整体保修期，软件质保期满前升级至最新版本。 3. 保修服务 提供7×24小时技术支持，一般故障1小时内响应、24小时内修复；重大故障30分钟内响应，4小时内到场处置、48小时内恢复运行。质保期内免费提供安全补丁、常规系统优化。 4. 顺延规则 因乙方原因造成系统停机超24小时，保修期相应顺延。质保期满后，后续运维服务双方另行协商。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如是中小企业，中小企业声明函必须按照财政部财〔2020]46号关于印发《政府采购促进中小企业发展管理办法》执行，“标的名称”逐条按照设备清单名称填写。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供应商应提交的相关资格证明材料(1)(2).pdf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本项目不接受联合体投标，不允许分包。投标人应提供《非联合体不分包投标声明》，视为独立响应，不分包，供应商需在项目电子化交易系统中按要求上传相应证明文件并进行电子签章;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分项报价表9.pdf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投标文件中，凡格式要求法定代表人或其授权委托人签字或盖章的地方，均须由法定代表人或其授权委托人签字或盖章；同时，整本投标文件须逐页加盖投标供应商的公章。</w:t>
            </w:r>
          </w:p>
        </w:tc>
        <w:tc>
          <w:tcPr>
            <w:tcW w:type="dxa" w:w="1661"/>
          </w:tcPr>
          <w:p>
            <w:pPr>
              <w:pStyle w:val="null3"/>
            </w:pPr>
            <w:r>
              <w:rPr>
                <w:rFonts w:ascii="仿宋_GB2312" w:hAnsi="仿宋_GB2312" w:cs="仿宋_GB2312" w:eastAsia="仿宋_GB2312"/>
              </w:rPr>
              <w:t>开标一览表 技术方案.pdf 分项报价表9.pdf 中小企业声明函 商务应答表 业绩一览表.pdf 供应商承诺书.pdf 供应商应提交的相关资格证明材料(1)(2).pdf 产品技术参数表 投标函 项目负责人简历表.docx 残疾人福利性单位声明函 标的清单 投标文件封面 监狱企业的证明文件 供应商认为需要补充的其他内容.pdf 拟投入项目团队人员配备一览表.pdf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1、报价唯一；2、报价货币符合招标文件要求;3、未超出采购预算或招标文件规定的最高限价;4、超出采购预算或招标文件规定的最高限价的按废标处理。</w:t>
            </w:r>
          </w:p>
        </w:tc>
        <w:tc>
          <w:tcPr>
            <w:tcW w:type="dxa" w:w="1661"/>
          </w:tcPr>
          <w:p>
            <w:pPr>
              <w:pStyle w:val="null3"/>
            </w:pPr>
            <w:r>
              <w:rPr>
                <w:rFonts w:ascii="仿宋_GB2312" w:hAnsi="仿宋_GB2312" w:cs="仿宋_GB2312" w:eastAsia="仿宋_GB2312"/>
              </w:rPr>
              <w:t>开标一览表 投标函 分项报价表9.pdf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投标文件封面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核心参数的佐证资料</w:t>
            </w:r>
          </w:p>
        </w:tc>
        <w:tc>
          <w:tcPr>
            <w:tcW w:type="dxa" w:w="3322"/>
          </w:tcPr>
          <w:p>
            <w:pPr>
              <w:pStyle w:val="null3"/>
            </w:pPr>
            <w:r>
              <w:rPr>
                <w:rFonts w:ascii="仿宋_GB2312" w:hAnsi="仿宋_GB2312" w:cs="仿宋_GB2312" w:eastAsia="仿宋_GB2312"/>
              </w:rPr>
              <w:t>标“★”的参数为核心参数，对标注“★”的参数实质性要求必须全部满足。任意1项不满足或未响应的，否决其投标。 响应的证明材料包括但不限于检测报告、产品白皮书、官网截图、功能截图、彩页、系统功能性截图说明等（有其中一项证明材料即可）</w:t>
            </w:r>
          </w:p>
        </w:tc>
        <w:tc>
          <w:tcPr>
            <w:tcW w:type="dxa" w:w="1661"/>
          </w:tcPr>
          <w:p>
            <w:pPr>
              <w:pStyle w:val="null3"/>
            </w:pPr>
            <w:r>
              <w:rPr>
                <w:rFonts w:ascii="仿宋_GB2312" w:hAnsi="仿宋_GB2312" w:cs="仿宋_GB2312" w:eastAsia="仿宋_GB2312"/>
              </w:rPr>
              <w:t>开标一览表 产品技术参数表 分项报价表9.pdf 投标文件封面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投标文件封面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拟安排项目负责人（仅限1人）为投标人自有员工（提供社保证明），否则本项不得分，在此基础上： 1、具有计算机类、电子信息类、安全工程类相关专业本科及以上学历的得2分； 2、具有人社部门或工信部门颁发的计算机、电子信息、安全工程相关专业中级及以上工程师职称的得2分。 证明文件： 1、提供开标日前由投标人为拟投入本项目的负责人缴交的载有政府部门公章（或专用章）的2026年1月至今任意三个月的社保缴交证明材料（已退休返聘人员需提供聘用合同）；社保资料至少显示缴交养老保险信息，未显示该信息的该社保资料则不符合要求，原件备查。如供应商为新成立企业且成立时间不足3个月的，需承诺相关人员为投标人自有员工，承诺函格式自拟并加盖公章视为符合； 2、第1项提供毕业证书、学位证书以及学历信息在学信网查询结果截图（https://www.chsi.com.cn/xlcx/index.jsp），由于日期较早无法查询的，需提供毕业院校或者人社部门或教育主管部门出具的证明，国外学历证书提供教育部留学服务中心出具的国外学历认证书以及教育部留学服务中心官网查询截图（查询网址https://zwfw.cscse.edu.cn/）； 3、第2项提供证书扫描件； 4、未提供或未按要求提供或提供的不清晰导致专家无法判断的，不得分。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项目团队成员（项目负责人除外）</w:t>
            </w:r>
          </w:p>
        </w:tc>
        <w:tc>
          <w:tcPr>
            <w:tcW w:type="dxa" w:w="2492"/>
          </w:tcPr>
          <w:p>
            <w:pPr>
              <w:pStyle w:val="null3"/>
            </w:pPr>
            <w:r>
              <w:rPr>
                <w:rFonts w:ascii="仿宋_GB2312" w:hAnsi="仿宋_GB2312" w:cs="仿宋_GB2312" w:eastAsia="仿宋_GB2312"/>
              </w:rPr>
              <w:t>拟投入项目核心团队成员为投标人自有员工的，本项予以计分，否则本项不得分。在此基础上： 团队核心成员持有人社部门核发的计算机软件（项目管理方向）专业技术资格证书或通信专业技术人员（传输与接入方向）职业资格证书，每提供1人得1.5分，本项最高得6分。 证明材料要求 1. 社保材料：提供开标日前，投标人（含分公司）为对应人员缴纳、加盖社保经办机构公章/专用章的2026年1月至今任意三个月养老保险缴纳证明。已退休返聘人员，须提供正式聘用合同。 新设立企业成立时间不足3个月的，可出具加盖单位公章的自有员工承诺函（格式自拟），视同满足要求。所有社保材料原件备查；材料未体现养老保险缴纳信息的，不予计分。 2. 资格证书：提供有效证书扫描件。 3. 凡未按要求提供材料、材料缺失或影像模糊无法辨识的，该项均不得分。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拟投入项目团队人员配备一览表.pdf</w:t>
            </w:r>
          </w:p>
        </w:tc>
      </w:tr>
      <w:tr>
        <w:tc>
          <w:tcPr>
            <w:tcW w:type="dxa" w:w="831"/>
            <w:vMerge/>
          </w:tcPr>
          <w:p/>
        </w:tc>
        <w:tc>
          <w:tcPr>
            <w:tcW w:type="dxa" w:w="1661"/>
          </w:tcPr>
          <w:p>
            <w:pPr>
              <w:pStyle w:val="null3"/>
            </w:pPr>
            <w:r>
              <w:rPr>
                <w:rFonts w:ascii="仿宋_GB2312" w:hAnsi="仿宋_GB2312" w:cs="仿宋_GB2312" w:eastAsia="仿宋_GB2312"/>
              </w:rPr>
              <w:t>投标人通过相关认证情况</w:t>
            </w:r>
          </w:p>
        </w:tc>
        <w:tc>
          <w:tcPr>
            <w:tcW w:type="dxa" w:w="2492"/>
          </w:tcPr>
          <w:p>
            <w:pPr>
              <w:pStyle w:val="null3"/>
            </w:pPr>
            <w:r>
              <w:rPr>
                <w:rFonts w:ascii="仿宋_GB2312" w:hAnsi="仿宋_GB2312" w:cs="仿宋_GB2312" w:eastAsia="仿宋_GB2312"/>
              </w:rPr>
              <w:t>1、投标人具有质量管理体系认证、环境管理体系认证、职业健康安全管理体系认证且认证范围包含物联网平台系统软件的研发和销售相关的，每具有一个体系认证得1.5分，本项最高得分得4.5分。 2、投标人通过CMMI软件能力成熟度模型集成3级（或以上）认证的，得2分。 证明文件： 1、第1项提供有效期内的体系认证证书扫描件）及在全国认证认可信息公共服务平台（认e云）（http://cx.cnca.cn/CertECloud/index/index/page）查询有效的截图； 2、第2项提供证书扫描件； 3、未提供或未按要求提供或提供的不清晰导致专家无法判断的，不得分。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供应商认为需要补充的其他内容.pdf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标人知识产权产品情况</w:t>
            </w:r>
          </w:p>
        </w:tc>
        <w:tc>
          <w:tcPr>
            <w:tcW w:type="dxa" w:w="2492"/>
          </w:tcPr>
          <w:p>
            <w:pPr>
              <w:pStyle w:val="null3"/>
            </w:pPr>
            <w:r>
              <w:rPr>
                <w:rFonts w:ascii="仿宋_GB2312" w:hAnsi="仿宋_GB2312" w:cs="仿宋_GB2312" w:eastAsia="仿宋_GB2312"/>
              </w:rPr>
              <w:t>投标人拥有国家版权部门核发的软件著作权或国家专利管理部门核发的专利证书，与物联网平台及设备管理、数据传输、应用运维等相关即可计分（证书名称无需完全一致，功能相关即可）： • 每提供1项有效软件著作权证书：1分 • 每提供1项有效专利证书：1.5分 • 本项最高9分 相关技术方向参考（供判断相关性） 1. 物联网平台管理 2. 物联网设备接入与管理 3. 物联网数据传输与处理 4. 物联网应用服务管理 5. 物联网安全与运维管理 证明文件 1. 自有证书：提供证书扫描件，著作权/专利权人须为投标人。 2. 非自有证书：提供证书扫描件+有效授权合同，授权范围须覆盖本项目，有效期须覆盖本项目服务期。 3. 未提供、提供不全或模糊无法辨识的，该项不得分。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供应商认为需要补充的其他内容.pdf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同类型项目案列</w:t>
            </w:r>
          </w:p>
        </w:tc>
        <w:tc>
          <w:tcPr>
            <w:tcW w:type="dxa" w:w="2492"/>
          </w:tcPr>
          <w:p>
            <w:pPr>
              <w:pStyle w:val="null3"/>
            </w:pPr>
            <w:r>
              <w:rPr>
                <w:rFonts w:ascii="仿宋_GB2312" w:hAnsi="仿宋_GB2312" w:cs="仿宋_GB2312" w:eastAsia="仿宋_GB2312"/>
              </w:rPr>
              <w:t>自2022年1月1日至本项目投标截止之日（以合同签订时间为准），投标人承担过物联网平台、智慧监管平台、信息化管控平台相关项目业绩的，每提供1项有效业绩得1分，本项最高得5分。 证明文件要求 1. 提供合同关键页扫描件，须包含甲乙双方单位名称、项目名称、服务内容、签订日期及双方盖章页。 2. 若合同内容无法清晰判定项目类型，须另行提供验收报告或中标通知书作为补充佐证。 3. 未按要求提供材料、材料信息不全、影像模糊导致评审委员会无法判定的，该项业绩不得分。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业绩一览表.pdf</w:t>
            </w:r>
          </w:p>
        </w:tc>
      </w:tr>
      <w:tr>
        <w:tc>
          <w:tcPr>
            <w:tcW w:type="dxa" w:w="831"/>
            <w:vMerge/>
          </w:tcP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（1）标注“▲”项为重要技术参数项，总分13分。每满足1项且按要求提供有效证明材料的，得1分；未满足或未按要求提供证明材料的，对应项不得分。 （2）一般技术参数项总分7分。一般参数全部满足的，得7分；每出现1项负偏离扣0.1分，扣完为止。 （3）重要技术参数评审依据为技术参数响应表及招标文件要求的证明材料，包括但不限于检测报告、产品白皮书、官网截图、功能截图、彩页、系统功能性截图说明等（有其中一项证明材料即可）；未提供证明材料或无法判断的，对应项不得分。（4）一般技术参数评审依据为技术参数响应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供应商认为需要补充的其他内容.pdf</w:t>
            </w:r>
          </w:p>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分项报价表9.pdf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提出适用于本项目的方案，方案包括：①实施部署与交付管理；②巡检运维与培训；③服务与保障支撑；二、评审标准1、完整性：方案必须全面，对评审内容中的各项要求有详细描述；2、可实施性：切合本项目实际情况，提出步骤清晰、合理的方案；3、针对性：方案能够紧扣项目实际情况，内容科学合理。 三、赋分标准（满分6分） ①实施部署与交付管理：每完全满足一个评审标准得1.0分，满分3.0分； ②巡检运维与培训：每完全满足一个评审标准得0.5分，满分1.5分； ③服务与保障支撑：每完全满足一个评审标准得0.5分，满分1.5分；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团队建设方案</w:t>
            </w:r>
          </w:p>
        </w:tc>
        <w:tc>
          <w:tcPr>
            <w:tcW w:type="dxa" w:w="2492"/>
          </w:tcPr>
          <w:p>
            <w:pPr>
              <w:pStyle w:val="null3"/>
            </w:pPr>
            <w:r>
              <w:rPr>
                <w:rFonts w:ascii="仿宋_GB2312" w:hAnsi="仿宋_GB2312" w:cs="仿宋_GB2312" w:eastAsia="仿宋_GB2312"/>
              </w:rPr>
              <w:t>一、评审内容根据本项目提供团队建设方案，方案内容包括：①团队组织管理②专业服务团队人员的职能分工。 二、评审标准1、完整性：方案必须全面，对评审内容中的各项要求有详细描述；2、可实施性：切合本项目实际情况，提出步骤清晰、合理的方案；3、针对性：方案能够紧扣项目实际情况，人员分工及职责等内容科学合理。三、赋分标准（满分4.5分）①团队组织管理：每完全满足一个评审标准得1.0分，满分3.0分；②专业服务团队人员的职能分工: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拟投入项目团队人员配备一览表.pdf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用于本项目的方案，包括：①保密措施方案；②保密实施细则；③人员保密管理。 二、评审标准 1、完整性：方案必须全面，对评审内容中的各项要求有详细描述； 2、可实施性：切合本项目实际情况，提出步骤清晰、合理的方案； 3、针对性：方案能够紧扣项目实际情况，内容科学合理。 三、赋分标准（满分4.5分） ①保密措施方案：每完全满足一个评审标准得0.5分，满分1.5分；②保密实施细则：每完全满足一个评审标准得0.5分，满分1.5分；③人员保密管理：每完全满足一个评审标准得0.5分，满分1.5分。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采购需求提出适用于本项目的应急处理方案，方案包括：①应急方案②应急预案③处理措施二、评审标准1、完整性：方案必须全面，对评审内容中的各项要求有详细描述；2、可实施性：切合本项目实际情况，提出步骤清晰、合理的方案；3、针对性：方案能够紧扣项目实际情况，内容科学合理。三、赋分标准（满分4.5分） ①应急方案：每完全满足一个评审标准得0.5分，满分1.5分； ②应急预案：每完全满足一个评审标准得0.5分，满分1.5分； ③处理措施：每完全满足一个评审标准得0.5分，满分1.5分。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x30%x100。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详见附件：供应商应提交的相关资格证明材料(1)(2).pdf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详见附件：拟投入项目团队人员配备一览表.pdf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详见附件：分项报价表9.pdf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