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B0482">
      <w:pPr>
        <w:spacing w:line="560" w:lineRule="exact"/>
        <w:jc w:val="center"/>
        <w:rPr>
          <w:rFonts w:ascii="仿宋" w:hAnsi="仿宋" w:eastAsia="仿宋" w:cs="方正小标宋简体"/>
          <w:sz w:val="52"/>
          <w:szCs w:val="52"/>
        </w:rPr>
      </w:pPr>
    </w:p>
    <w:p w14:paraId="1615F1CB">
      <w:pPr>
        <w:jc w:val="center"/>
        <w:rPr>
          <w:rFonts w:ascii="仿宋" w:hAnsi="仿宋" w:eastAsia="仿宋" w:cs="方正小标宋简体"/>
          <w:sz w:val="52"/>
          <w:szCs w:val="52"/>
        </w:rPr>
      </w:pPr>
    </w:p>
    <w:p w14:paraId="18800E74">
      <w:pPr>
        <w:jc w:val="center"/>
        <w:rPr>
          <w:rFonts w:ascii="仿宋" w:hAnsi="仿宋" w:eastAsia="仿宋" w:cs="方正小标宋简体"/>
          <w:sz w:val="52"/>
          <w:szCs w:val="52"/>
        </w:rPr>
      </w:pPr>
    </w:p>
    <w:p w14:paraId="104D18B7">
      <w:pPr>
        <w:jc w:val="center"/>
        <w:rPr>
          <w:rFonts w:ascii="仿宋" w:hAnsi="仿宋" w:eastAsia="仿宋"/>
          <w:b/>
          <w:sz w:val="52"/>
          <w:szCs w:val="52"/>
        </w:rPr>
      </w:pPr>
      <w:r>
        <w:rPr>
          <w:rFonts w:hint="eastAsia" w:ascii="仿宋" w:hAnsi="仿宋" w:eastAsia="仿宋" w:cs="方正小标宋简体"/>
          <w:sz w:val="52"/>
          <w:szCs w:val="52"/>
        </w:rPr>
        <w:t>合同协议书</w:t>
      </w:r>
    </w:p>
    <w:p w14:paraId="4E92D0BA">
      <w:pPr>
        <w:pStyle w:val="71"/>
        <w:rPr>
          <w:rFonts w:ascii="仿宋" w:hAnsi="仿宋" w:eastAsia="仿宋"/>
          <w:b/>
          <w:sz w:val="46"/>
          <w:szCs w:val="36"/>
        </w:rPr>
      </w:pPr>
    </w:p>
    <w:p w14:paraId="51B5BC24">
      <w:pPr>
        <w:rPr>
          <w:rFonts w:ascii="仿宋" w:hAnsi="仿宋" w:eastAsia="仿宋"/>
        </w:rPr>
      </w:pPr>
    </w:p>
    <w:p w14:paraId="6D1AB6C8">
      <w:pPr>
        <w:rPr>
          <w:rFonts w:ascii="仿宋" w:hAnsi="仿宋" w:eastAsia="仿宋"/>
        </w:rPr>
      </w:pPr>
    </w:p>
    <w:p w14:paraId="604B6C98">
      <w:pPr>
        <w:rPr>
          <w:rFonts w:ascii="仿宋" w:hAnsi="仿宋" w:eastAsia="仿宋"/>
        </w:rPr>
      </w:pPr>
    </w:p>
    <w:p w14:paraId="7507D191">
      <w:pPr>
        <w:rPr>
          <w:rFonts w:ascii="仿宋" w:hAnsi="仿宋" w:eastAsia="仿宋"/>
        </w:rPr>
      </w:pPr>
    </w:p>
    <w:p w14:paraId="15E82001">
      <w:pPr>
        <w:rPr>
          <w:rFonts w:ascii="仿宋" w:hAnsi="仿宋" w:eastAsia="仿宋"/>
        </w:rPr>
      </w:pPr>
    </w:p>
    <w:p w14:paraId="525291F2">
      <w:pPr>
        <w:spacing w:line="360" w:lineRule="auto"/>
        <w:jc w:val="center"/>
        <w:rPr>
          <w:rFonts w:ascii="仿宋" w:hAnsi="仿宋" w:eastAsia="仿宋" w:cs="仿宋_GB2312"/>
          <w:b/>
          <w:sz w:val="30"/>
          <w:szCs w:val="30"/>
        </w:rPr>
      </w:pPr>
    </w:p>
    <w:p w14:paraId="413EC09A">
      <w:pPr>
        <w:pStyle w:val="28"/>
        <w:rPr>
          <w:rFonts w:ascii="仿宋" w:hAnsi="仿宋" w:eastAsia="仿宋"/>
        </w:rPr>
      </w:pPr>
    </w:p>
    <w:p w14:paraId="68DA3344">
      <w:pPr>
        <w:pStyle w:val="28"/>
        <w:rPr>
          <w:rFonts w:ascii="仿宋" w:hAnsi="仿宋" w:eastAsia="仿宋" w:cs="仿宋_GB2312"/>
          <w:b/>
          <w:sz w:val="30"/>
          <w:szCs w:val="30"/>
        </w:rPr>
      </w:pPr>
    </w:p>
    <w:p w14:paraId="1DCF5572">
      <w:pPr>
        <w:rPr>
          <w:rFonts w:ascii="仿宋" w:hAnsi="仿宋" w:eastAsia="仿宋"/>
        </w:rPr>
      </w:pPr>
    </w:p>
    <w:p w14:paraId="6E3CD0E2">
      <w:pPr>
        <w:rPr>
          <w:rFonts w:ascii="仿宋" w:hAnsi="仿宋" w:eastAsia="仿宋"/>
        </w:rPr>
      </w:pPr>
    </w:p>
    <w:p w14:paraId="7965F810">
      <w:pPr>
        <w:spacing w:line="360" w:lineRule="auto"/>
        <w:rPr>
          <w:rFonts w:ascii="仿宋" w:hAnsi="仿宋" w:eastAsia="仿宋" w:cs="仿宋_GB2312"/>
          <w:b/>
          <w:sz w:val="30"/>
          <w:szCs w:val="30"/>
        </w:rPr>
      </w:pPr>
    </w:p>
    <w:p w14:paraId="104845DF">
      <w:pPr>
        <w:spacing w:line="360" w:lineRule="auto"/>
        <w:rPr>
          <w:rFonts w:ascii="仿宋" w:hAnsi="仿宋" w:eastAsia="仿宋" w:cs="仿宋_GB2312"/>
          <w:b/>
          <w:sz w:val="30"/>
          <w:szCs w:val="30"/>
        </w:rPr>
      </w:pPr>
    </w:p>
    <w:p w14:paraId="13196C1F">
      <w:pPr>
        <w:spacing w:line="360" w:lineRule="auto"/>
        <w:rPr>
          <w:rFonts w:ascii="仿宋" w:hAnsi="仿宋" w:eastAsia="仿宋" w:cs="仿宋_GB2312"/>
          <w:b/>
          <w:sz w:val="30"/>
          <w:szCs w:val="30"/>
        </w:rPr>
      </w:pPr>
    </w:p>
    <w:p w14:paraId="7678E930">
      <w:pPr>
        <w:spacing w:line="480" w:lineRule="auto"/>
        <w:ind w:firstLine="1205" w:firstLineChars="400"/>
        <w:rPr>
          <w:rFonts w:ascii="仿宋" w:hAnsi="仿宋" w:eastAsia="仿宋" w:cs="方正小标宋简体"/>
          <w:b/>
          <w:sz w:val="30"/>
          <w:szCs w:val="30"/>
        </w:rPr>
      </w:pPr>
      <w:r>
        <w:rPr>
          <w:rFonts w:hint="eastAsia" w:ascii="仿宋" w:hAnsi="仿宋" w:eastAsia="仿宋" w:cs="方正小标宋简体"/>
          <w:b/>
          <w:sz w:val="30"/>
          <w:szCs w:val="30"/>
        </w:rPr>
        <w:t>采购人：</w:t>
      </w:r>
      <w:r>
        <w:rPr>
          <w:rFonts w:hint="eastAsia" w:ascii="仿宋" w:hAnsi="仿宋" w:eastAsia="仿宋" w:cs="方正小标宋简体"/>
          <w:b/>
          <w:sz w:val="30"/>
          <w:szCs w:val="30"/>
          <w:u w:val="single"/>
        </w:rPr>
        <w:t>陕西省第十八届运动会渭南市筹委会办公室</w:t>
      </w:r>
    </w:p>
    <w:p w14:paraId="079BF2F0">
      <w:pPr>
        <w:spacing w:line="480" w:lineRule="auto"/>
        <w:ind w:firstLine="1205" w:firstLineChars="400"/>
        <w:rPr>
          <w:rFonts w:ascii="仿宋" w:hAnsi="仿宋" w:eastAsia="仿宋" w:cs="仿宋_GB2312"/>
          <w:b/>
          <w:sz w:val="28"/>
          <w:szCs w:val="28"/>
        </w:rPr>
      </w:pPr>
      <w:r>
        <w:rPr>
          <w:rFonts w:hint="eastAsia" w:ascii="仿宋" w:hAnsi="仿宋" w:eastAsia="仿宋" w:cs="方正小标宋简体"/>
          <w:b/>
          <w:sz w:val="30"/>
          <w:szCs w:val="30"/>
        </w:rPr>
        <w:t>供应商：</w:t>
      </w:r>
      <w:r>
        <w:rPr>
          <w:rFonts w:hint="eastAsia" w:ascii="仿宋" w:hAnsi="仿宋" w:eastAsia="仿宋" w:cs="方正小标宋简体"/>
          <w:b/>
          <w:sz w:val="30"/>
          <w:szCs w:val="30"/>
          <w:u w:val="single"/>
        </w:rPr>
        <w:t xml:space="preserve">           </w:t>
      </w:r>
      <w:r>
        <w:rPr>
          <w:rFonts w:ascii="仿宋" w:hAnsi="仿宋" w:eastAsia="仿宋" w:cs="方正小标宋简体"/>
          <w:b/>
          <w:sz w:val="30"/>
          <w:szCs w:val="30"/>
          <w:u w:val="single"/>
        </w:rPr>
        <w:t xml:space="preserve">                      </w:t>
      </w:r>
      <w:r>
        <w:rPr>
          <w:rFonts w:hint="eastAsia" w:ascii="仿宋" w:hAnsi="仿宋" w:eastAsia="仿宋" w:cs="方正小标宋简体"/>
          <w:b/>
          <w:sz w:val="30"/>
          <w:szCs w:val="30"/>
          <w:u w:val="single"/>
        </w:rPr>
        <w:t xml:space="preserve">     </w:t>
      </w:r>
    </w:p>
    <w:p w14:paraId="323C88E7">
      <w:pPr>
        <w:spacing w:line="480" w:lineRule="auto"/>
        <w:ind w:firstLine="1205" w:firstLineChars="400"/>
        <w:rPr>
          <w:rFonts w:ascii="仿宋" w:hAnsi="仿宋" w:eastAsia="仿宋"/>
          <w:b/>
        </w:rPr>
        <w:sectPr>
          <w:headerReference r:id="rId5" w:type="default"/>
          <w:footerReference r:id="rId6" w:type="default"/>
          <w:pgSz w:w="11906" w:h="16838"/>
          <w:pgMar w:top="1440" w:right="1080" w:bottom="1440" w:left="1080" w:header="851" w:footer="992" w:gutter="0"/>
          <w:pgNumType w:start="2"/>
          <w:cols w:space="720" w:num="1"/>
          <w:docGrid w:type="lines" w:linePitch="312" w:charSpace="0"/>
        </w:sectPr>
      </w:pPr>
      <w:r>
        <w:rPr>
          <w:rFonts w:hint="eastAsia" w:ascii="仿宋" w:hAnsi="仿宋" w:eastAsia="仿宋" w:cs="方正小标宋简体"/>
          <w:b/>
          <w:sz w:val="30"/>
          <w:szCs w:val="30"/>
        </w:rPr>
        <w:t xml:space="preserve">日 </w:t>
      </w:r>
      <w:r>
        <w:rPr>
          <w:rFonts w:ascii="仿宋" w:hAnsi="仿宋" w:eastAsia="仿宋" w:cs="方正小标宋简体"/>
          <w:b/>
          <w:sz w:val="30"/>
          <w:szCs w:val="30"/>
        </w:rPr>
        <w:t xml:space="preserve"> </w:t>
      </w:r>
      <w:r>
        <w:rPr>
          <w:rFonts w:hint="eastAsia" w:ascii="仿宋" w:hAnsi="仿宋" w:eastAsia="仿宋" w:cs="方正小标宋简体"/>
          <w:b/>
          <w:sz w:val="30"/>
          <w:szCs w:val="30"/>
        </w:rPr>
        <w:t>期：</w:t>
      </w:r>
      <w:r>
        <w:rPr>
          <w:rFonts w:hint="eastAsia" w:ascii="仿宋" w:hAnsi="仿宋" w:eastAsia="仿宋" w:cs="仿宋_GB2312"/>
          <w:b/>
          <w:sz w:val="30"/>
          <w:szCs w:val="30"/>
          <w:u w:val="single"/>
        </w:rPr>
        <w:t xml:space="preserve">    </w:t>
      </w:r>
      <w:bookmarkStart w:id="0" w:name="_Toc193702467"/>
      <w:bookmarkStart w:id="1" w:name="_Toc347478670"/>
      <w:r>
        <w:rPr>
          <w:rFonts w:hint="eastAsia" w:ascii="仿宋" w:hAnsi="仿宋" w:eastAsia="仿宋" w:cs="仿宋_GB2312"/>
          <w:b/>
          <w:sz w:val="30"/>
          <w:szCs w:val="30"/>
          <w:u w:val="single"/>
        </w:rPr>
        <w:t xml:space="preserve">    </w:t>
      </w:r>
      <w:r>
        <w:rPr>
          <w:rFonts w:ascii="仿宋" w:hAnsi="仿宋" w:eastAsia="仿宋" w:cs="仿宋_GB2312"/>
          <w:b/>
          <w:sz w:val="30"/>
          <w:szCs w:val="30"/>
          <w:u w:val="single"/>
        </w:rPr>
        <w:t xml:space="preserve">                     </w:t>
      </w:r>
      <w:r>
        <w:rPr>
          <w:rFonts w:hint="eastAsia" w:ascii="仿宋" w:hAnsi="仿宋" w:eastAsia="仿宋" w:cs="仿宋_GB2312"/>
          <w:b/>
          <w:sz w:val="30"/>
          <w:szCs w:val="30"/>
          <w:u w:val="single"/>
        </w:rPr>
        <w:t xml:space="preserve">         </w:t>
      </w:r>
      <w:r>
        <w:rPr>
          <w:rFonts w:hint="eastAsia" w:ascii="仿宋" w:hAnsi="仿宋" w:eastAsia="仿宋"/>
          <w:b/>
        </w:rPr>
        <w:t xml:space="preserve"> </w:t>
      </w:r>
    </w:p>
    <w:bookmarkEnd w:id="0"/>
    <w:bookmarkEnd w:id="1"/>
    <w:p w14:paraId="3A2CBD1C">
      <w:pPr>
        <w:keepNext/>
        <w:keepLines/>
        <w:spacing w:before="120" w:after="120" w:line="240" w:lineRule="auto"/>
        <w:jc w:val="center"/>
        <w:rPr>
          <w:rFonts w:ascii="仿宋" w:hAnsi="仿宋" w:eastAsia="仿宋" w:cs="宋体"/>
          <w:b/>
          <w:kern w:val="44"/>
          <w:sz w:val="44"/>
          <w:szCs w:val="20"/>
        </w:rPr>
      </w:pPr>
      <w:bookmarkStart w:id="2" w:name="_Toc497711586"/>
      <w:bookmarkStart w:id="3" w:name="_Toc497551821"/>
      <w:bookmarkStart w:id="4" w:name="_Toc389620242"/>
      <w:bookmarkStart w:id="5" w:name="_Toc347478744"/>
      <w:bookmarkStart w:id="6" w:name="_Toc17437"/>
      <w:bookmarkStart w:id="7" w:name="_Toc497546919"/>
      <w:bookmarkStart w:id="8" w:name="_Toc492955460"/>
      <w:bookmarkStart w:id="9" w:name="_Toc497712134"/>
      <w:bookmarkStart w:id="10" w:name="_Toc385992402"/>
      <w:r>
        <w:rPr>
          <w:rFonts w:hint="eastAsia" w:ascii="仿宋" w:hAnsi="仿宋" w:eastAsia="仿宋" w:cs="宋体"/>
          <w:b/>
          <w:kern w:val="44"/>
          <w:sz w:val="44"/>
          <w:szCs w:val="20"/>
        </w:rPr>
        <w:t>合同协议书</w:t>
      </w:r>
    </w:p>
    <w:p w14:paraId="757458AE">
      <w:pPr>
        <w:spacing w:line="360" w:lineRule="auto"/>
        <w:rPr>
          <w:rFonts w:ascii="仿宋" w:hAnsi="仿宋" w:eastAsia="仿宋" w:cs="等线"/>
          <w:b/>
          <w:kern w:val="0"/>
          <w:sz w:val="24"/>
        </w:rPr>
      </w:pPr>
      <w:r>
        <w:rPr>
          <w:rFonts w:hint="eastAsia" w:ascii="仿宋" w:hAnsi="仿宋" w:eastAsia="仿宋" w:cs="等线"/>
          <w:b/>
          <w:kern w:val="0"/>
          <w:sz w:val="24"/>
        </w:rPr>
        <w:t>（本格式条款供采购人和成交供应商双方签订合同参考，具体以采购人要求为准）</w:t>
      </w:r>
    </w:p>
    <w:p w14:paraId="42B88037">
      <w:pPr>
        <w:spacing w:line="560" w:lineRule="exact"/>
        <w:rPr>
          <w:rFonts w:ascii="仿宋" w:hAnsi="仿宋" w:eastAsia="仿宋" w:cs="CESI仿宋-GB2312"/>
          <w:b/>
          <w:bCs/>
          <w:sz w:val="32"/>
          <w:szCs w:val="32"/>
        </w:rPr>
      </w:pPr>
    </w:p>
    <w:p w14:paraId="2FA81D02">
      <w:pPr>
        <w:spacing w:line="560" w:lineRule="exact"/>
        <w:rPr>
          <w:rFonts w:ascii="仿宋" w:hAnsi="仿宋" w:eastAsia="仿宋" w:cs="CESI仿宋-GB2312"/>
          <w:b/>
          <w:bCs/>
          <w:sz w:val="24"/>
        </w:rPr>
      </w:pPr>
      <w:r>
        <w:rPr>
          <w:rFonts w:hint="eastAsia" w:ascii="仿宋" w:hAnsi="仿宋" w:eastAsia="仿宋" w:cs="CESI仿宋-GB2312"/>
          <w:b/>
          <w:bCs/>
          <w:sz w:val="24"/>
        </w:rPr>
        <w:t>采购人（以下简称甲方）：</w:t>
      </w:r>
      <w:r>
        <w:rPr>
          <w:rFonts w:hint="eastAsia" w:ascii="仿宋" w:hAnsi="仿宋" w:eastAsia="仿宋" w:cs="CESI仿宋-GB2312"/>
          <w:b/>
          <w:bCs/>
          <w:sz w:val="24"/>
          <w:u w:val="single"/>
        </w:rPr>
        <w:t xml:space="preserve"> 陕西省第十八届运动会渭南市筹委会办公室 </w:t>
      </w:r>
    </w:p>
    <w:p w14:paraId="55B8AAC0">
      <w:pPr>
        <w:spacing w:line="560" w:lineRule="exact"/>
        <w:rPr>
          <w:rFonts w:ascii="仿宋" w:hAnsi="仿宋" w:eastAsia="仿宋" w:cs="CESI仿宋-GB2312"/>
          <w:b/>
          <w:bCs/>
          <w:sz w:val="24"/>
        </w:rPr>
      </w:pPr>
      <w:r>
        <w:rPr>
          <w:rFonts w:hint="eastAsia" w:ascii="仿宋" w:hAnsi="仿宋" w:eastAsia="仿宋" w:cs="CESI仿宋-GB2312"/>
          <w:b/>
          <w:bCs/>
          <w:sz w:val="24"/>
        </w:rPr>
        <w:t>供应商（以下简称乙方）：</w:t>
      </w:r>
      <w:r>
        <w:rPr>
          <w:rFonts w:hint="eastAsia" w:ascii="仿宋" w:hAnsi="仿宋" w:eastAsia="仿宋" w:cs="CESI仿宋-GB2312"/>
          <w:b/>
          <w:bCs/>
          <w:sz w:val="24"/>
          <w:u w:val="single"/>
        </w:rPr>
        <w:t xml:space="preserve">        </w:t>
      </w:r>
      <w:r>
        <w:rPr>
          <w:rFonts w:ascii="仿宋" w:hAnsi="仿宋" w:eastAsia="仿宋" w:cs="CESI仿宋-GB2312"/>
          <w:b/>
          <w:bCs/>
          <w:sz w:val="24"/>
          <w:u w:val="single"/>
        </w:rPr>
        <w:t xml:space="preserve">                      </w:t>
      </w:r>
      <w:r>
        <w:rPr>
          <w:rFonts w:hint="eastAsia" w:ascii="仿宋" w:hAnsi="仿宋" w:eastAsia="仿宋" w:cs="CESI仿宋-GB2312"/>
          <w:b/>
          <w:bCs/>
          <w:sz w:val="24"/>
          <w:u w:val="single"/>
        </w:rPr>
        <w:t xml:space="preserve">          </w:t>
      </w:r>
    </w:p>
    <w:p w14:paraId="426FC254">
      <w:pPr>
        <w:spacing w:line="560" w:lineRule="exact"/>
        <w:ind w:firstLine="480" w:firstLineChars="200"/>
        <w:rPr>
          <w:rFonts w:ascii="仿宋" w:hAnsi="仿宋" w:eastAsia="仿宋" w:cs="CESI仿宋-GB2312"/>
          <w:sz w:val="24"/>
        </w:rPr>
      </w:pPr>
    </w:p>
    <w:p w14:paraId="4333F9E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根据《中华人民共和国政府采购法》及实施条例、《中华人民共和国民法典》和采购文件、响应文件等有关规定，为确保采购项目的顺利实施，甲、乙双方在平等自愿原则下签订本合同，并共同遵守如下条款：</w:t>
      </w:r>
    </w:p>
    <w:p w14:paraId="7917CCCD">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第一条  项目概况</w:t>
      </w:r>
    </w:p>
    <w:p w14:paraId="56FC9949">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w:t>
      </w:r>
      <w:r>
        <w:rPr>
          <w:rFonts w:ascii="仿宋" w:hAnsi="仿宋" w:eastAsia="仿宋" w:cs="CESI仿宋-GB2312"/>
          <w:sz w:val="24"/>
        </w:rPr>
        <w:t>.</w:t>
      </w:r>
      <w:r>
        <w:rPr>
          <w:rFonts w:hint="eastAsia" w:ascii="仿宋" w:hAnsi="仿宋" w:eastAsia="仿宋" w:cs="CESI仿宋-GB2312"/>
          <w:sz w:val="24"/>
        </w:rPr>
        <w:t>项目名称：</w:t>
      </w:r>
      <w:r>
        <w:rPr>
          <w:rFonts w:hint="eastAsia" w:ascii="仿宋" w:hAnsi="仿宋" w:eastAsia="仿宋" w:cs="CESI仿宋-GB2312"/>
          <w:sz w:val="24"/>
          <w:u w:val="single"/>
        </w:rPr>
        <w:t>陕西省第十八届运动会2026年主场馆病媒生物防制和区域消杀项目；</w:t>
      </w:r>
    </w:p>
    <w:p w14:paraId="4AF713E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2.服务地点：</w:t>
      </w:r>
      <w:r>
        <w:rPr>
          <w:rFonts w:hint="eastAsia" w:ascii="仿宋" w:hAnsi="仿宋" w:eastAsia="仿宋" w:cs="CESI仿宋-GB2312"/>
          <w:sz w:val="24"/>
          <w:u w:val="single"/>
        </w:rPr>
        <w:t xml:space="preserve"> 采购人指定地点</w:t>
      </w:r>
      <w:r>
        <w:rPr>
          <w:rFonts w:hint="eastAsia" w:ascii="仿宋" w:hAnsi="仿宋" w:eastAsia="仿宋" w:cs="CESI仿宋-GB2312"/>
          <w:sz w:val="24"/>
        </w:rPr>
        <w:t>；</w:t>
      </w:r>
    </w:p>
    <w:p w14:paraId="19598A38">
      <w:pPr>
        <w:spacing w:line="560" w:lineRule="exact"/>
        <w:ind w:firstLine="480" w:firstLineChars="200"/>
        <w:rPr>
          <w:rFonts w:ascii="仿宋" w:hAnsi="仿宋" w:eastAsia="仿宋" w:cs="CESI仿宋-GB2312"/>
          <w:sz w:val="24"/>
        </w:rPr>
      </w:pPr>
      <w:r>
        <w:rPr>
          <w:rFonts w:ascii="仿宋" w:hAnsi="仿宋" w:eastAsia="仿宋" w:cs="CESI仿宋-GB2312"/>
          <w:sz w:val="24"/>
        </w:rPr>
        <w:t>3.</w:t>
      </w:r>
      <w:r>
        <w:rPr>
          <w:rFonts w:hint="eastAsia" w:ascii="仿宋" w:hAnsi="仿宋" w:eastAsia="仿宋" w:cs="CESI仿宋-GB2312"/>
          <w:sz w:val="24"/>
        </w:rPr>
        <w:t>服务质量标准：</w:t>
      </w:r>
      <w:r>
        <w:rPr>
          <w:rFonts w:hint="eastAsia" w:ascii="仿宋" w:hAnsi="仿宋" w:eastAsia="仿宋" w:cs="CESI仿宋-GB2312"/>
          <w:sz w:val="24"/>
          <w:u w:val="single"/>
        </w:rPr>
        <w:t>符合现行国家、行业规范标准，严格遵照采购文件及合同约定执行，全面满足项目实际服务需求</w:t>
      </w:r>
      <w:r>
        <w:rPr>
          <w:rFonts w:hint="eastAsia" w:ascii="仿宋" w:hAnsi="仿宋" w:eastAsia="仿宋" w:cs="CESI仿宋-GB2312"/>
          <w:sz w:val="24"/>
        </w:rPr>
        <w:t>。</w:t>
      </w:r>
    </w:p>
    <w:p w14:paraId="52C91D7E">
      <w:pPr>
        <w:spacing w:line="560" w:lineRule="exact"/>
        <w:ind w:firstLine="480" w:firstLineChars="200"/>
        <w:rPr>
          <w:rFonts w:ascii="仿宋" w:hAnsi="仿宋" w:eastAsia="仿宋" w:cs="CESI仿宋-GB2312"/>
          <w:sz w:val="24"/>
        </w:rPr>
      </w:pPr>
      <w:r>
        <w:rPr>
          <w:rFonts w:ascii="仿宋" w:hAnsi="仿宋" w:eastAsia="仿宋" w:cs="CESI仿宋-GB2312"/>
          <w:sz w:val="24"/>
        </w:rPr>
        <w:t>4.</w:t>
      </w:r>
      <w:r>
        <w:rPr>
          <w:rFonts w:hint="eastAsia" w:ascii="仿宋" w:hAnsi="仿宋" w:eastAsia="仿宋" w:cs="CESI仿宋-GB2312"/>
          <w:sz w:val="24"/>
        </w:rPr>
        <w:t>服务期限：</w:t>
      </w:r>
      <w:r>
        <w:rPr>
          <w:rFonts w:hint="eastAsia" w:ascii="仿宋" w:hAnsi="仿宋" w:eastAsia="仿宋" w:cs="CESI仿宋-GB2312"/>
          <w:sz w:val="24"/>
          <w:u w:val="single"/>
        </w:rPr>
        <w:t>自合同签订之日起至第十八届运动会赛事结束后 30 日内完成全部服务并通过最终验收</w:t>
      </w:r>
      <w:r>
        <w:rPr>
          <w:rFonts w:hint="eastAsia" w:ascii="仿宋" w:hAnsi="仿宋" w:eastAsia="仿宋" w:cs="CESI仿宋-GB2312"/>
          <w:sz w:val="24"/>
        </w:rPr>
        <w:t>。</w:t>
      </w:r>
    </w:p>
    <w:p w14:paraId="19F58286">
      <w:pPr>
        <w:spacing w:line="560" w:lineRule="exact"/>
        <w:ind w:firstLine="482" w:firstLineChars="200"/>
        <w:rPr>
          <w:rFonts w:ascii="仿宋" w:hAnsi="仿宋" w:eastAsia="仿宋" w:cs="CESI仿宋-GB2312"/>
          <w:b/>
          <w:sz w:val="24"/>
        </w:rPr>
      </w:pPr>
      <w:r>
        <w:rPr>
          <w:rFonts w:hint="eastAsia" w:ascii="仿宋" w:hAnsi="仿宋" w:eastAsia="仿宋" w:cs="CESI仿宋-GB2312"/>
          <w:b/>
          <w:sz w:val="24"/>
        </w:rPr>
        <w:t xml:space="preserve">第二条 </w:t>
      </w:r>
      <w:r>
        <w:rPr>
          <w:rFonts w:ascii="仿宋" w:hAnsi="仿宋" w:eastAsia="仿宋" w:cs="CESI仿宋-GB2312"/>
          <w:b/>
          <w:sz w:val="24"/>
        </w:rPr>
        <w:t xml:space="preserve"> </w:t>
      </w:r>
      <w:r>
        <w:rPr>
          <w:rFonts w:hint="eastAsia" w:ascii="仿宋" w:hAnsi="仿宋" w:eastAsia="仿宋" w:cs="CESI仿宋-GB2312"/>
          <w:b/>
          <w:sz w:val="24"/>
        </w:rPr>
        <w:t>组成本合同的文件</w:t>
      </w:r>
    </w:p>
    <w:p w14:paraId="125C189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协议书；</w:t>
      </w:r>
    </w:p>
    <w:p w14:paraId="04261AC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成交通知书、响应文件、采购文件、澄清、补充文件；</w:t>
      </w:r>
    </w:p>
    <w:p w14:paraId="21FC56CA">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相关服务建议书；</w:t>
      </w:r>
    </w:p>
    <w:p w14:paraId="5C26172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 附录，即：附表内相关服务的范围和内容；</w:t>
      </w:r>
    </w:p>
    <w:p w14:paraId="09CF883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本合同签订后，双方依法签订的补充协议也是本合同文件的组成部分。</w:t>
      </w:r>
    </w:p>
    <w:p w14:paraId="3ACF2D6A">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第四条  工作依据</w:t>
      </w:r>
    </w:p>
    <w:p w14:paraId="7929C114">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1.协议书、成交通知书、响应文件、采购文件；</w:t>
      </w:r>
    </w:p>
    <w:p w14:paraId="56209759">
      <w:pPr>
        <w:spacing w:line="560" w:lineRule="exact"/>
        <w:ind w:firstLine="480" w:firstLineChars="200"/>
        <w:rPr>
          <w:rFonts w:ascii="仿宋" w:hAnsi="仿宋" w:eastAsia="仿宋" w:cs="CESI仿宋-GB2312"/>
          <w:sz w:val="24"/>
        </w:rPr>
      </w:pPr>
      <w:r>
        <w:rPr>
          <w:rFonts w:ascii="仿宋" w:hAnsi="仿宋" w:eastAsia="仿宋" w:cs="CESI仿宋-GB2312"/>
          <w:sz w:val="24"/>
        </w:rPr>
        <w:t>2</w:t>
      </w:r>
      <w:r>
        <w:rPr>
          <w:rFonts w:hint="eastAsia" w:ascii="仿宋" w:hAnsi="仿宋" w:eastAsia="仿宋" w:cs="CESI仿宋-GB2312"/>
          <w:sz w:val="24"/>
        </w:rPr>
        <w:t>.</w:t>
      </w:r>
      <w:r>
        <w:rPr>
          <w:rFonts w:hint="eastAsia" w:ascii="仿宋" w:hAnsi="仿宋" w:eastAsia="仿宋"/>
        </w:rPr>
        <w:t xml:space="preserve"> </w:t>
      </w:r>
      <w:r>
        <w:rPr>
          <w:rFonts w:hint="eastAsia" w:ascii="仿宋" w:hAnsi="仿宋" w:eastAsia="仿宋" w:cs="CESI仿宋-GB2312"/>
          <w:sz w:val="24"/>
        </w:rPr>
        <w:t>本项目严格遵照以下标准、规范及文件执行：《病媒生物密度控制水平 鼠类》（GB/T 27770-2011）、《病媒生物密度控制水平 蚊虫》（GB/T 27771-2011）、《病媒生物密度控制水平 蝇类》（GB/T 27772-2011）、《病媒生物密度控制水平 蜚蠊》（GB/T 27773-2011）、《病媒生物密度监测方法 蜚蠊》（GB/T 23795-2009）、《病媒生物密度监测方法 蝇类》（GB/T 23796-2009）、《病媒生物密度监测方法 蚊虫》（GB/T 23797-2020）、《病媒生物密度监测方法 鼠类》（GB/T 23798-2009）、《病媒生物应急监测与控制 通则》（GB/T 27774-2011）、《病媒生物控制术语与分类》（GB/T 31721-2015）、《病媒生物抗药性治理 总则》（GB/T 31720-2015）、《病媒生物危害风险评估应用准则与指南 大型活动》（GB/T 31716-2015）、《病媒生物防制操作规程 居民区》（WS/T 687-2020）、《病媒生物防制操作规程 宾馆饭店》（WS/T 688-2020）、《病媒生物防制操作规程 餐饮服务场所》（WS/T 690-2020）、《登革热病媒生物应急监测与控制标准》（WS/T 784-2021）、《蚊虫生物防治技术指南 细菌杀幼剂》（WS/T 693-2020）；同时执行《大型群众性活动安全管理条例》、《体育赛事活动管理办法》（国家体育总局令第 31 号）、《国家卫生城市标准（2021 版）》、WHO《大型集会公共卫生风险管理指南》，以及陕西省地方标准《病媒生物密度控制水平 现场检查规范》（DB61/T 1063—2017）、《病媒生物防制服务机构等级评定规范》（DB61/T 1162—2018）、《公共场所病媒生物防制技术规范》（DB61/T 1287—2019）、《城市蚊虫综合防制技术规范》（DB61/T 1398—2020）、《城市鼠类综合防制技术规范》（DB61/T 1497—2021）、《病媒生物消杀消毒服务规范》（DB61/T 1596—2022）、《陕西省大型活动公共卫生应急保障工作规范》、《陕西省病媒生物防制工作管理办法》、《陕西省爱国卫生工作条例》（2021 年修订）及其他现行有效且与本项目相关的标准、规范与文件。</w:t>
      </w:r>
    </w:p>
    <w:p w14:paraId="6254C591">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第五条  服务内容</w:t>
      </w:r>
    </w:p>
    <w:p w14:paraId="2BAB23D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（一）总体要求</w:t>
      </w:r>
    </w:p>
    <w:p w14:paraId="06FD894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确保十八运会期间病媒生物密度达到国家《病媒生物密度控制水平》C 级以上，防鼠防蝇设施合格率达到 95% 以上，环境消毒符合大型赛事公共卫生安全规范，预防和控制感染性疾病传播，保障各项赛事顺利进行。</w:t>
      </w:r>
    </w:p>
    <w:p w14:paraId="0B166DC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病媒生物密度管控：全域（各场馆及周边 1000 米）鼠、蝇、蚊、蟑等主要病媒生物密度严格控制在国家《病媒生物密度控制水平》C 级及以上标准，核心赛事区域执行 B 级及以上标准，全程稳定达标，无超标反弹情况。</w:t>
      </w:r>
    </w:p>
    <w:p w14:paraId="2167361A">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防制设施建设：全场馆及保障区域防鼠、防蝇、防蚊、防蟑等基础设施完整有效，设施合格率≥95%，核心区域合格率 100%，做到全覆盖、无盲区、无破损、无失效。</w:t>
      </w:r>
    </w:p>
    <w:p w14:paraId="0986679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环境消杀规范：所有公共区域、功能用房、后勤区域、卫生死角消杀作业严格遵循大型赛事公共卫生安全规范，赛前、赛期、赛后全周期消杀，消杀流程、药剂使用、作业频次、安全防护全部合规，有效阻断感染性疾病传播途径。</w:t>
      </w:r>
    </w:p>
    <w:p w14:paraId="19A18CA4">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 安全保障目标：全程杜绝因病媒生物滋生、消杀作业不规范引发的公共卫生隐患、传染病传播、人员健康损害及赛事影响事件。</w:t>
      </w:r>
    </w:p>
    <w:p w14:paraId="3B67B1F4">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（二）服务范围、区域划分与作业频次</w:t>
      </w:r>
    </w:p>
    <w:p w14:paraId="651C01E2">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服务范围</w:t>
      </w:r>
    </w:p>
    <w:p w14:paraId="56E3F03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覆盖体育场（37740㎡）、体育馆（21690㎡）、游泳馆（17250㎡）、全民健身中心（27820㎡）、射击馆（6410㎡）、跳水馆（4631㎡）及每个场馆周边 1000 米范围内所有公共区域、绿化带、管网、道路、垃圾收集点、餐饮配套区等。</w:t>
      </w:r>
    </w:p>
    <w:p w14:paraId="64EF638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区域划分</w:t>
      </w:r>
    </w:p>
    <w:p w14:paraId="773A0E9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核心保障区：正式比赛场馆、开闭幕式场馆、训练场馆、贵宾室、会议室、运动员休息室、餐厅厨房、媒体中心、医疗点。</w:t>
      </w:r>
    </w:p>
    <w:p w14:paraId="7F4752B4">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重点保障区：核心区外、场馆及周边 1000 米范围内公共区域、观众区域、通道、后勤库房、设备机房、卫生间、垃圾站、停车场。</w:t>
      </w:r>
    </w:p>
    <w:p w14:paraId="3BC9842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一般保障区：场馆周边 1000 米以外的公园、绿地、河道、商业区、交通站点等公共区域。</w:t>
      </w:r>
    </w:p>
    <w:p w14:paraId="5A8777A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全周期作业频次</w:t>
      </w:r>
    </w:p>
    <w:p w14:paraId="1482432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赛前保障期：全域深度消杀不少于 2 次，彻底治理孳生地；</w:t>
      </w:r>
    </w:p>
    <w:p w14:paraId="5DE300F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赛时保障期：每日常态化消杀 + 重点区域加密消杀；</w:t>
      </w:r>
    </w:p>
    <w:p w14:paraId="4D0EAE84">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赛后巩固期：全面巩固消杀不少于 1 次，防止密度反弹；</w:t>
      </w:r>
    </w:p>
    <w:p w14:paraId="7767086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日常强化（6、7、8 月）：每个场馆及周边 1000 米每月 2 次、累计 6 次专项防制服务。</w:t>
      </w:r>
    </w:p>
    <w:p w14:paraId="723AE5D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（三）病媒生物分级密度控制标准</w:t>
      </w:r>
    </w:p>
    <w:p w14:paraId="637AFCD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鼠类</w:t>
      </w:r>
    </w:p>
    <w:p w14:paraId="1E8C927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核心区：室内无鼠迹；外环境 1000 米路径鼠迹≤1 处；防鼠设施合格率 100%</w:t>
      </w:r>
    </w:p>
    <w:p w14:paraId="3EB3AABD">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重点区：有鼠迹房间≤3%；外环境 1000 米路径鼠迹≤3 处；防鼠设施合格率≥95%</w:t>
      </w:r>
    </w:p>
    <w:p w14:paraId="57F9824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一般区：有鼠迹房间≤5%；外环境 1000 米路径鼠迹≤5 处；防鼠设施合格率≥95%</w:t>
      </w:r>
    </w:p>
    <w:p w14:paraId="26A07B7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蚊虫</w:t>
      </w:r>
    </w:p>
    <w:p w14:paraId="35B8F0A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核心区：室内无成蚊；路径指数≤0.1；布雷图指数≤5</w:t>
      </w:r>
    </w:p>
    <w:p w14:paraId="0BC1A3A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重点区：路径指数≤0.5；布雷图指数≤5</w:t>
      </w:r>
    </w:p>
    <w:p w14:paraId="019E0A2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一般区：路径指数≤0.8；布雷图指数≤10</w:t>
      </w:r>
    </w:p>
    <w:p w14:paraId="2C5733E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蝇类</w:t>
      </w:r>
    </w:p>
    <w:p w14:paraId="65E07C4D">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核心区：有蝇房间≤3%；防蝇设施合格率 100%；食品场所无蝇</w:t>
      </w:r>
    </w:p>
    <w:p w14:paraId="4BA99D5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重点区：有蝇房间≤6%；防蝇设施合格率≥95%；食品场所无蝇</w:t>
      </w:r>
    </w:p>
    <w:p w14:paraId="28EE9BB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一般区：有蝇房间≤9%；防蝇设施合格率≥95%；食品场所无蝇</w:t>
      </w:r>
    </w:p>
    <w:p w14:paraId="2AF96E0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 蟑螂（蜚蠊）</w:t>
      </w:r>
    </w:p>
    <w:p w14:paraId="702D0C2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核心区：无蟑螂、无卵鞘、无蟑迹</w:t>
      </w:r>
    </w:p>
    <w:p w14:paraId="3E56E5E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重点区：阳性房间≤3%；蟑迹房间≤5%</w:t>
      </w:r>
    </w:p>
    <w:p w14:paraId="3EE4358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一般区：阳性房间≤5%；蟑迹房间≤7%</w:t>
      </w:r>
    </w:p>
    <w:p w14:paraId="130C288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（四）专项病媒生物防制服务要求</w:t>
      </w:r>
    </w:p>
    <w:p w14:paraId="527B127D">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鼠类防制</w:t>
      </w:r>
    </w:p>
    <w:p w14:paraId="6F3B5483">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设施布设：在场馆出入口、门窗、通风口、下水道、电缆井口、库房、后厨、设备间及周边 1000 米重点区域，规范设置挡鼠板、防鼠网、灭鼠诱饵站、粘鼠板，设施布设牢固规整，无空缺破损。</w:t>
      </w:r>
    </w:p>
    <w:p w14:paraId="52AB91D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密度管控：常态化排查鼠类活动痕迹，现场无鼠粪、咬痕、盗洞及活体踪迹，鼠类密度稳定达到 C 级及以上标准。</w:t>
      </w:r>
    </w:p>
    <w:p w14:paraId="564230E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日常运维：每日开展设施巡检维护，及时更换损耗耗材、清理痕迹、封堵孔洞，从源头抑制鼠类滋生扩散。</w:t>
      </w:r>
    </w:p>
    <w:p w14:paraId="424C9539">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作业频次：赛前每周开展 2 次全域防制巡检；赛期每日巡查并按需补药维护；发现问题第一时间开展应急处置。</w:t>
      </w:r>
    </w:p>
    <w:p w14:paraId="2FEF449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蝇类防制</w:t>
      </w:r>
    </w:p>
    <w:p w14:paraId="095EF37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设施配置：在卫生间、垃圾收集点位、餐饮区域、走廊及低洼区域足额布设灭蝇灯、粘蝇条、风幕设备，确保设备正常通电运行。</w:t>
      </w:r>
    </w:p>
    <w:p w14:paraId="0D500EBA">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环境治理：配合全域环境卫生整治工作，及时清理积存垃圾、积水与腐败杂物，严格落实垃圾日产日清要求，彻底消除蝇类孳生源头。</w:t>
      </w:r>
    </w:p>
    <w:p w14:paraId="2DE6E65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密度管控：服务区域内杜绝蝇类大规模聚集，不得干扰赛事正常开展与人员活动。</w:t>
      </w:r>
    </w:p>
    <w:p w14:paraId="6F4D248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蚊虫防制</w:t>
      </w:r>
    </w:p>
    <w:p w14:paraId="08E67C5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孳生地治理：全面清理场馆及周边 1000 米范围内积水点位，常态化开展滞留喷洒、孳生地消杀作业，杜绝蚊虫滋生繁衍。</w:t>
      </w:r>
    </w:p>
    <w:p w14:paraId="4230D00A">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成蚊防控：针对重点区域采用空间喷雾、热烟雾消杀等方式，有效降低成蚊活动密度。</w:t>
      </w:r>
    </w:p>
    <w:p w14:paraId="08BC744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作业频次：赛前每周开展 3 次消杀管控；赛期每日对重点区域实施消杀作业，并同步落实物理防蚊措施。</w:t>
      </w:r>
    </w:p>
    <w:p w14:paraId="167EE71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 蟑螂及其他虫害防制</w:t>
      </w:r>
    </w:p>
    <w:p w14:paraId="290F245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蟑螂防制：对卫生间、设备机房、储物间、后厨管线缝隙等点位定点施药消杀，定期排查核验，区域内无蟑螂活体、虫迹及卵鞘。</w:t>
      </w:r>
    </w:p>
    <w:p w14:paraId="2836975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其他虫害防制：同步开展蚂蚁、螨虫、小飞虫等虫害防控工作，快速处置突发虫害隐患，保障区域环境整洁安全。</w:t>
      </w:r>
    </w:p>
    <w:p w14:paraId="1EB660C2">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（五）全域环境消杀服务要求</w:t>
      </w:r>
    </w:p>
    <w:p w14:paraId="2EF8CE4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消杀覆盖范围</w:t>
      </w:r>
    </w:p>
    <w:p w14:paraId="0333015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全面覆盖竞赛场地、观众区、贵宾区、运动员休息室、更衣室、卫生间、通道、电梯、会议室、医疗点、后勤库房、设备机房、垃圾收集点、出入口及各场馆外围 1000 米保障区域，做到全域覆盖、无死角遗漏。</w:t>
      </w:r>
    </w:p>
    <w:p w14:paraId="0BF27F0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消杀作业规范</w:t>
      </w:r>
    </w:p>
    <w:p w14:paraId="69CE06A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药剂合规：所有消杀防制药剂均具备农药登记证、生产许可证、产品合格证，选用低毒高效、环保无残留品类，严禁使用各类违禁药剂。</w:t>
      </w:r>
    </w:p>
    <w:p w14:paraId="73C1E6CA">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频次标准：赛前完成不少于 2 次深度消杀；6-8 月每月常态化开展专项作业，累计完成 6 次；赛期执行每日消杀；赛后开展不少于 1 次巩固消杀。</w:t>
      </w:r>
    </w:p>
    <w:p w14:paraId="0B4224B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作业安全：作业人员规范穿戴防护装备，严格按照配比标准调配药剂，避开赛事活动高峰时段作业，做好现场警示防护，杜绝药剂残留、人员受伤及设备腐蚀问题。</w:t>
      </w:r>
    </w:p>
    <w:p w14:paraId="0852D0D4">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台账留存：完整记录作业时间、服务区域、药剂规格、作业人员及巡检整改情况，所有资料留存完整，可随时追溯核查。</w:t>
      </w:r>
    </w:p>
    <w:p w14:paraId="378522E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（六）药剂与器械要求</w:t>
      </w:r>
    </w:p>
    <w:p w14:paraId="522F374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药剂要求</w:t>
      </w:r>
    </w:p>
    <w:p w14:paraId="35189BB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所有消杀、防制、消毒药剂均三证齐全，符合大型赛事安全使用管理规定。药剂选用低毒环保、刺激性小、无残留产品，严禁采购、使用高毒剧毒及违规违禁类药剂。</w:t>
      </w:r>
    </w:p>
    <w:p w14:paraId="6999C6E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器械要求</w:t>
      </w:r>
    </w:p>
    <w:p w14:paraId="0A9E06C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配齐超低容量喷雾机、热烟雾机、各类喷雾器具、捕鼠捕蝇设备、密度监测仪器等专业作业器械，定期开展维护保养，确保设备性能完好，满足日常作业与应急处置需求。同步配备防护服、防护口罩、护目镜、防护手套、防滑胶靴等全套个人防护装备。</w:t>
      </w:r>
    </w:p>
    <w:p w14:paraId="1265929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（七）监测与质控要求</w:t>
      </w:r>
    </w:p>
    <w:p w14:paraId="430CFE5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常态化监测</w:t>
      </w:r>
    </w:p>
    <w:p w14:paraId="5331CA5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严格按照 GB/T 23795-2009、GB/T 23796-2009、GB/T 23797-2020、GB/T 23798-2009 标准，开展鼠、蚊、蝇、蟑四类病媒生物定点密度监测，如实完整留存监测数据。</w:t>
      </w:r>
    </w:p>
    <w:p w14:paraId="1CE2FC8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重点监测区域</w:t>
      </w:r>
    </w:p>
    <w:p w14:paraId="2FB90EF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重点排查孳生地、积水区域、垃圾站点、管网井道、后厨、机房、卫生间等薄弱点位，实时掌握虫害活动情况。</w:t>
      </w:r>
    </w:p>
    <w:p w14:paraId="7B7BFE8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质量管控</w:t>
      </w:r>
    </w:p>
    <w:p w14:paraId="5EB9E84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每周汇总监测数据并开展效果评估，按时提交监测工作报表；一旦发现密度超标，立即加密作业频次强化处置，动态管控虫害情况；主动接受赛事组委会、卫健、疾控部门监督考核。</w:t>
      </w:r>
    </w:p>
    <w:p w14:paraId="7F21A53C">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 资料管理</w:t>
      </w:r>
    </w:p>
    <w:p w14:paraId="039BE07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分类建立监测档案、质控记录、药剂领用台账、作业单据及整改凭证，全过程资料齐全规范，可溯源可查验。</w:t>
      </w:r>
    </w:p>
    <w:p w14:paraId="0317DBC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（八）巡查运维与整改要求</w:t>
      </w:r>
    </w:p>
    <w:p w14:paraId="79249EC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日常实行全域每日巡查、重点时段加密巡检，巡查范围覆盖场馆及周边 1000 米区域，重点核查虫害密度、设施完好度、消杀成效及孳生隐患，同步建立巡查台账。发现设施破损、指标超标、消杀盲区等问题立即落实整改，闭环处置不留隐患。结合天气变化、人流规模动态调整作业频次与防控方案，保障各项指标稳定达标。</w:t>
      </w:r>
    </w:p>
    <w:p w14:paraId="745B7B6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（九）应急保障要求</w:t>
      </w:r>
    </w:p>
    <w:p w14:paraId="416B4A5D">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组建赛事专属应急保障班组，配齐在岗工作人员与作业药械物资，实行 24 小时在岗值守制度。遇病媒生物暴发、密度异常超标、突发虫害侵扰等情况，即刻启动应急处置预案，确保 30 分钟内人员到场处置。强化源头防控管理，切断疫病传播途径，筑牢赛事公共卫生安全防护底线。</w:t>
      </w:r>
    </w:p>
    <w:p w14:paraId="0D2FB1B5">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（十）人员配置要求</w:t>
      </w:r>
    </w:p>
    <w:p w14:paraId="14DEBD8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项目负责人1名，须持有有害生物防制员三级/高级工及以上职业技能等级证书，具备公共卫生保障管理经验，全程驻场统筹各项工作。</w:t>
      </w:r>
    </w:p>
    <w:p w14:paraId="4C35E7B1">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技术负责人1名，须持有有害生物防制员四级/中级工及以上职业技能等级证书，负责技术方案落地、药剂管控及质量监督工作。</w:t>
      </w:r>
    </w:p>
    <w:p w14:paraId="448DF2AA">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现场作业人员不少于4名，均持有有害生物防制员五级/初级工及以上职业技能等级证书，分组完成日常消杀、设施</w:t>
      </w:r>
      <w:bookmarkStart w:id="15" w:name="_GoBack"/>
      <w:bookmarkEnd w:id="15"/>
      <w:r>
        <w:rPr>
          <w:rFonts w:hint="eastAsia" w:ascii="仿宋" w:hAnsi="仿宋" w:eastAsia="仿宋" w:cs="CESI仿宋-GB2312"/>
          <w:sz w:val="24"/>
        </w:rPr>
        <w:t>维护、孳生地清理等工作。</w:t>
      </w:r>
    </w:p>
    <w:p w14:paraId="554ABF1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应急处置专职人员不少于2名，均持有有害生物防制员五级/初级工及以上职业技能等级证书，24 小时待命值守，保障突发问题快速响应处置。</w:t>
      </w:r>
    </w:p>
    <w:p w14:paraId="587A2CF4">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全体在岗人员均持有有效健康证明，经赛事专项培训考核合格后方可上岗，统一着装规范，按规定购买作业相关保险。</w:t>
      </w:r>
    </w:p>
    <w:p w14:paraId="446DBA3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（十一）核心考核指标</w:t>
      </w:r>
    </w:p>
    <w:p w14:paraId="6EC6635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 全域病媒生物密度 100% 达到国家 C 级及以上标准，核心区域达到 B 级及以上标准；</w:t>
      </w:r>
    </w:p>
    <w:p w14:paraId="2995F7D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 防鼠、防蝇基础设施整体合格率≥95%，核心区域设施合格率 100%；</w:t>
      </w:r>
    </w:p>
    <w:p w14:paraId="37AAA52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 各阶段消杀作业足额按时完成，6-8 月专项服务次数全部达标；</w:t>
      </w:r>
    </w:p>
    <w:p w14:paraId="4023F5B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 赛事服务期间杜绝病媒生物引发公共卫生事件，无相关传染病传播情况；</w:t>
      </w:r>
    </w:p>
    <w:p w14:paraId="224A8282">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5. 消杀作业合规率、隐患整改闭环率、区域覆盖达标率均达到 100%；</w:t>
      </w:r>
    </w:p>
    <w:p w14:paraId="505725A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6. 人员持证上岗率、驻场值守率、应急响应及时率均达到 100%。。</w:t>
      </w:r>
    </w:p>
    <w:p w14:paraId="63FF4E06">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第六条  验收标准</w:t>
      </w:r>
    </w:p>
    <w:p w14:paraId="07244564">
      <w:pPr>
        <w:spacing w:line="560" w:lineRule="exact"/>
        <w:ind w:firstLine="480" w:firstLineChars="200"/>
        <w:rPr>
          <w:rFonts w:ascii="仿宋" w:hAnsi="仿宋" w:eastAsia="仿宋" w:cs="CESI仿宋-GB2312"/>
          <w:sz w:val="24"/>
        </w:rPr>
      </w:pPr>
      <w:bookmarkStart w:id="11" w:name="OLE_LINK23"/>
      <w:bookmarkStart w:id="12" w:name="OLE_LINK12"/>
      <w:bookmarkStart w:id="13" w:name="OLE_LINK17"/>
      <w:bookmarkStart w:id="14" w:name="OLE_LINK13"/>
      <w:r>
        <w:rPr>
          <w:rFonts w:hint="eastAsia" w:ascii="仿宋" w:hAnsi="仿宋" w:eastAsia="仿宋" w:cs="CESI仿宋-GB2312"/>
          <w:sz w:val="24"/>
        </w:rPr>
        <w:t>1</w:t>
      </w:r>
      <w:r>
        <w:rPr>
          <w:rFonts w:ascii="仿宋" w:hAnsi="仿宋" w:eastAsia="仿宋" w:cs="CESI仿宋-GB2312"/>
          <w:sz w:val="24"/>
        </w:rPr>
        <w:t>.</w:t>
      </w:r>
      <w:r>
        <w:rPr>
          <w:rFonts w:hint="eastAsia" w:ascii="仿宋" w:hAnsi="仿宋" w:eastAsia="仿宋" w:cs="CESI仿宋-GB2312"/>
          <w:sz w:val="24"/>
        </w:rPr>
        <w:t>病媒生物密度管控严格执行 GB/T 27770-2011、GB/T 27771-2011、GB/T 27772-2011、GB/T 27773-2011 规范，全域密度等级达到 C 级及以上，核心区域达到 B 级及以上；</w:t>
      </w:r>
    </w:p>
    <w:p w14:paraId="41BBE29A">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w:t>
      </w:r>
      <w:r>
        <w:rPr>
          <w:rFonts w:ascii="仿宋" w:hAnsi="仿宋" w:eastAsia="仿宋" w:cs="CESI仿宋-GB2312"/>
          <w:sz w:val="24"/>
        </w:rPr>
        <w:t>.</w:t>
      </w:r>
      <w:r>
        <w:rPr>
          <w:rFonts w:hint="eastAsia" w:ascii="仿宋" w:hAnsi="仿宋" w:eastAsia="仿宋" w:cs="CESI仿宋-GB2312"/>
          <w:sz w:val="24"/>
        </w:rPr>
        <w:t>病媒防制设施布设规范、完好可用，防鼠、防蝇设施整体合格率不低于 95%，核心区域设施合格率 100%；</w:t>
      </w:r>
    </w:p>
    <w:p w14:paraId="7B6BCE4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w:t>
      </w:r>
      <w:r>
        <w:rPr>
          <w:rFonts w:ascii="仿宋" w:hAnsi="仿宋" w:eastAsia="仿宋" w:cs="CESI仿宋-GB2312"/>
          <w:sz w:val="24"/>
        </w:rPr>
        <w:t>.</w:t>
      </w:r>
      <w:r>
        <w:rPr>
          <w:rFonts w:hint="eastAsia" w:ascii="仿宋" w:hAnsi="仿宋" w:eastAsia="仿宋" w:cs="CESI仿宋-GB2312"/>
          <w:sz w:val="24"/>
        </w:rPr>
        <w:t>消杀作业流程、药剂器械选用、现场人员操作均符合国家及陕西省现行技术规范，杜绝违规用药行为，全程无安全生产事故；</w:t>
      </w:r>
    </w:p>
    <w:p w14:paraId="6533B8C7">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w:t>
      </w:r>
      <w:r>
        <w:rPr>
          <w:rFonts w:ascii="仿宋" w:hAnsi="仿宋" w:eastAsia="仿宋" w:cs="CESI仿宋-GB2312"/>
          <w:sz w:val="24"/>
        </w:rPr>
        <w:t>.</w:t>
      </w:r>
      <w:r>
        <w:rPr>
          <w:rFonts w:hint="eastAsia" w:ascii="仿宋" w:hAnsi="仿宋" w:eastAsia="仿宋" w:cs="CESI仿宋-GB2312"/>
          <w:sz w:val="24"/>
        </w:rPr>
        <w:t>密度监测记录、日常作业台账、问题整改档案资料齐全规范，可完整追溯核查；</w:t>
      </w:r>
    </w:p>
    <w:p w14:paraId="49C2EB4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5</w:t>
      </w:r>
      <w:r>
        <w:rPr>
          <w:rFonts w:ascii="仿宋" w:hAnsi="仿宋" w:eastAsia="仿宋" w:cs="CESI仿宋-GB2312"/>
          <w:sz w:val="24"/>
        </w:rPr>
        <w:t>.</w:t>
      </w:r>
      <w:r>
        <w:rPr>
          <w:rFonts w:hint="eastAsia" w:ascii="仿宋" w:hAnsi="仿宋" w:eastAsia="仿宋" w:cs="CESI仿宋-GB2312"/>
          <w:sz w:val="24"/>
        </w:rPr>
        <w:t>服务保障周期内，未引发病媒生物关联公共卫生事件，无有效服务投诉；</w:t>
      </w:r>
    </w:p>
    <w:p w14:paraId="54B0BB38">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6</w:t>
      </w:r>
      <w:r>
        <w:rPr>
          <w:rFonts w:ascii="仿宋" w:hAnsi="仿宋" w:eastAsia="仿宋" w:cs="CESI仿宋-GB2312"/>
          <w:sz w:val="24"/>
        </w:rPr>
        <w:t>.</w:t>
      </w:r>
      <w:r>
        <w:rPr>
          <w:rFonts w:hint="eastAsia" w:ascii="仿宋" w:hAnsi="仿宋" w:eastAsia="仿宋" w:cs="CESI仿宋-GB2312"/>
          <w:sz w:val="24"/>
        </w:rPr>
        <w:t>服务频次、作业覆盖范围、应急处置响应均契合合同约定与赛事保障要求，现场核验评定合格。</w:t>
      </w:r>
      <w:bookmarkEnd w:id="11"/>
      <w:bookmarkEnd w:id="12"/>
      <w:bookmarkEnd w:id="13"/>
      <w:bookmarkEnd w:id="14"/>
    </w:p>
    <w:p w14:paraId="3AFC4052">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第七条  合同金额及付款方式</w:t>
      </w:r>
    </w:p>
    <w:p w14:paraId="7D7658AE">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w:t>
      </w:r>
      <w:r>
        <w:rPr>
          <w:rFonts w:hint="eastAsia" w:ascii="仿宋" w:hAnsi="仿宋" w:eastAsia="仿宋"/>
          <w:sz w:val="24"/>
        </w:rPr>
        <w:t xml:space="preserve"> </w:t>
      </w:r>
      <w:r>
        <w:rPr>
          <w:rFonts w:hint="eastAsia" w:ascii="仿宋" w:hAnsi="仿宋" w:eastAsia="仿宋" w:cs="CESI仿宋-GB2312"/>
          <w:sz w:val="24"/>
        </w:rPr>
        <w:t>合同金额：人民币</w:t>
      </w:r>
      <w:r>
        <w:rPr>
          <w:rFonts w:hint="eastAsia" w:ascii="仿宋" w:hAnsi="仿宋" w:eastAsia="仿宋" w:cs="CESI仿宋-GB2312"/>
          <w:sz w:val="24"/>
          <w:u w:val="single"/>
        </w:rPr>
        <w:t xml:space="preserve">    </w:t>
      </w:r>
      <w:r>
        <w:rPr>
          <w:rFonts w:ascii="仿宋" w:hAnsi="仿宋" w:eastAsia="仿宋" w:cs="CESI仿宋-GB2312"/>
          <w:sz w:val="24"/>
          <w:u w:val="single"/>
        </w:rPr>
        <w:t xml:space="preserve"> </w:t>
      </w:r>
      <w:r>
        <w:rPr>
          <w:rFonts w:hint="eastAsia" w:ascii="仿宋" w:hAnsi="仿宋" w:eastAsia="仿宋" w:cs="CESI仿宋-GB2312"/>
          <w:sz w:val="24"/>
          <w:u w:val="single"/>
        </w:rPr>
        <w:t xml:space="preserve">   </w:t>
      </w:r>
      <w:r>
        <w:rPr>
          <w:rFonts w:hint="eastAsia" w:ascii="仿宋" w:hAnsi="仿宋" w:eastAsia="仿宋" w:cs="CESI仿宋-GB2312"/>
          <w:sz w:val="24"/>
        </w:rPr>
        <w:t>元（小写：人民币</w:t>
      </w:r>
      <w:r>
        <w:rPr>
          <w:rFonts w:hint="eastAsia" w:ascii="仿宋" w:hAnsi="仿宋" w:eastAsia="仿宋" w:cs="CESI仿宋-GB2312"/>
          <w:sz w:val="24"/>
          <w:u w:val="single"/>
        </w:rPr>
        <w:t xml:space="preserve">       </w:t>
      </w:r>
      <w:r>
        <w:rPr>
          <w:rFonts w:hint="eastAsia" w:ascii="仿宋" w:hAnsi="仿宋" w:eastAsia="仿宋" w:cs="CESI仿宋-GB2312"/>
          <w:sz w:val="24"/>
        </w:rPr>
        <w:t>）。</w:t>
      </w:r>
    </w:p>
    <w:p w14:paraId="7D6546A9">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2.付款方式：</w:t>
      </w:r>
    </w:p>
    <w:p w14:paraId="635AB908">
      <w:pPr>
        <w:spacing w:line="560" w:lineRule="exact"/>
        <w:ind w:firstLine="480" w:firstLineChars="200"/>
        <w:rPr>
          <w:rFonts w:ascii="仿宋" w:hAnsi="仿宋" w:eastAsia="仿宋"/>
          <w:sz w:val="24"/>
        </w:rPr>
      </w:pPr>
      <w:r>
        <w:rPr>
          <w:rFonts w:hint="eastAsia" w:ascii="仿宋" w:hAnsi="仿宋" w:eastAsia="仿宋"/>
          <w:sz w:val="24"/>
        </w:rPr>
        <w:t>合同签订生效后15个工作日内，甲方向乙方支付合同总价款的40%；全部服务完成、赛事结束且项目通过最终验收后15个工作日内，双方按照实际服务面积、实际作业次数据实办理结算，甲方付清剩余款项。</w:t>
      </w:r>
    </w:p>
    <w:p w14:paraId="269C1743">
      <w:pPr>
        <w:spacing w:line="560" w:lineRule="exact"/>
        <w:ind w:firstLine="480" w:firstLineChars="200"/>
        <w:rPr>
          <w:rFonts w:ascii="仿宋" w:hAnsi="仿宋" w:eastAsia="仿宋"/>
          <w:sz w:val="24"/>
        </w:rPr>
      </w:pPr>
      <w:r>
        <w:rPr>
          <w:rFonts w:hint="eastAsia" w:ascii="仿宋" w:hAnsi="仿宋" w:eastAsia="仿宋"/>
          <w:sz w:val="24"/>
        </w:rPr>
        <w:t>3.支付方式：银行转账。</w:t>
      </w:r>
    </w:p>
    <w:p w14:paraId="5F80D93A">
      <w:pPr>
        <w:tabs>
          <w:tab w:val="left" w:pos="3215"/>
        </w:tabs>
        <w:spacing w:line="360" w:lineRule="auto"/>
        <w:ind w:firstLine="480" w:firstLineChars="200"/>
        <w:rPr>
          <w:rFonts w:ascii="仿宋" w:hAnsi="仿宋" w:eastAsia="仿宋"/>
          <w:sz w:val="24"/>
        </w:rPr>
      </w:pPr>
      <w:r>
        <w:rPr>
          <w:rFonts w:hint="eastAsia" w:ascii="仿宋" w:hAnsi="仿宋" w:eastAsia="仿宋"/>
          <w:sz w:val="24"/>
        </w:rPr>
        <w:t>乙方账户信息如下：</w:t>
      </w:r>
    </w:p>
    <w:p w14:paraId="2CEB58C1">
      <w:pPr>
        <w:tabs>
          <w:tab w:val="left" w:pos="3215"/>
        </w:tabs>
        <w:spacing w:line="360" w:lineRule="auto"/>
        <w:ind w:firstLine="480" w:firstLineChars="200"/>
        <w:rPr>
          <w:rFonts w:ascii="仿宋" w:hAnsi="仿宋" w:eastAsia="仿宋"/>
          <w:sz w:val="24"/>
        </w:rPr>
      </w:pPr>
      <w:r>
        <w:rPr>
          <w:rFonts w:hint="eastAsia" w:ascii="仿宋" w:hAnsi="仿宋" w:eastAsia="仿宋"/>
          <w:sz w:val="24"/>
        </w:rPr>
        <w:t>收款单位名称：</w:t>
      </w:r>
      <w:r>
        <w:rPr>
          <w:rFonts w:hint="eastAsia" w:ascii="仿宋" w:hAnsi="仿宋" w:eastAsia="仿宋"/>
          <w:sz w:val="24"/>
          <w:u w:val="single"/>
        </w:rPr>
        <w:t xml:space="preserve">                </w:t>
      </w:r>
    </w:p>
    <w:p w14:paraId="56C36872">
      <w:pPr>
        <w:tabs>
          <w:tab w:val="left" w:pos="3215"/>
        </w:tabs>
        <w:spacing w:line="360" w:lineRule="auto"/>
        <w:ind w:firstLine="480" w:firstLineChars="200"/>
        <w:rPr>
          <w:rFonts w:ascii="仿宋" w:hAnsi="仿宋" w:eastAsia="仿宋"/>
          <w:sz w:val="24"/>
          <w:u w:val="single"/>
        </w:rPr>
      </w:pPr>
      <w:r>
        <w:rPr>
          <w:rFonts w:hint="eastAsia" w:ascii="仿宋" w:hAnsi="仿宋" w:eastAsia="仿宋"/>
          <w:sz w:val="24"/>
        </w:rPr>
        <w:t>开户银行：</w:t>
      </w:r>
      <w:r>
        <w:rPr>
          <w:rFonts w:hint="eastAsia" w:ascii="仿宋" w:hAnsi="仿宋" w:eastAsia="仿宋"/>
          <w:sz w:val="24"/>
          <w:u w:val="single"/>
        </w:rPr>
        <w:t xml:space="preserve">                   </w:t>
      </w:r>
      <w:r>
        <w:rPr>
          <w:rFonts w:ascii="仿宋" w:hAnsi="仿宋" w:eastAsia="仿宋"/>
          <w:sz w:val="24"/>
          <w:u w:val="single"/>
        </w:rPr>
        <w:t xml:space="preserve"> </w:t>
      </w:r>
    </w:p>
    <w:p w14:paraId="5A649FE8">
      <w:pPr>
        <w:tabs>
          <w:tab w:val="left" w:pos="3215"/>
        </w:tabs>
        <w:spacing w:line="360" w:lineRule="auto"/>
        <w:ind w:firstLine="480" w:firstLineChars="200"/>
        <w:rPr>
          <w:rFonts w:ascii="仿宋" w:hAnsi="仿宋" w:eastAsia="仿宋"/>
          <w:sz w:val="24"/>
        </w:rPr>
      </w:pPr>
      <w:r>
        <w:rPr>
          <w:rFonts w:hint="eastAsia" w:ascii="仿宋" w:hAnsi="仿宋" w:eastAsia="仿宋"/>
          <w:sz w:val="24"/>
        </w:rPr>
        <w:t>银行账户：</w:t>
      </w:r>
      <w:r>
        <w:rPr>
          <w:rFonts w:hint="eastAsia" w:ascii="仿宋" w:hAnsi="仿宋" w:eastAsia="仿宋"/>
          <w:sz w:val="24"/>
          <w:u w:val="single"/>
        </w:rPr>
        <w:t xml:space="preserve">                   </w:t>
      </w:r>
      <w:r>
        <w:rPr>
          <w:rFonts w:ascii="仿宋" w:hAnsi="仿宋" w:eastAsia="仿宋"/>
          <w:sz w:val="24"/>
          <w:u w:val="single"/>
        </w:rPr>
        <w:t xml:space="preserve"> </w:t>
      </w:r>
    </w:p>
    <w:p w14:paraId="56A96E58">
      <w:pPr>
        <w:spacing w:line="360" w:lineRule="auto"/>
        <w:ind w:firstLine="480" w:firstLineChars="200"/>
        <w:rPr>
          <w:rFonts w:ascii="仿宋" w:hAnsi="仿宋" w:eastAsia="仿宋"/>
          <w:sz w:val="24"/>
        </w:rPr>
      </w:pPr>
      <w:r>
        <w:rPr>
          <w:rFonts w:hint="eastAsia" w:ascii="仿宋" w:hAnsi="仿宋" w:eastAsia="仿宋"/>
          <w:sz w:val="24"/>
        </w:rPr>
        <w:t>4.结算方式：由甲方负责结算，在付款前，乙方必须开具等额发票给甲方。</w:t>
      </w:r>
    </w:p>
    <w:p w14:paraId="5F44F0E8">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第八条  甲方责任和权利</w:t>
      </w:r>
    </w:p>
    <w:p w14:paraId="2803234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1、按合同约定及时支付服务费用；</w:t>
      </w:r>
    </w:p>
    <w:p w14:paraId="5725A1D9">
      <w:pPr>
        <w:spacing w:line="560" w:lineRule="exact"/>
        <w:ind w:firstLine="480" w:firstLineChars="200"/>
        <w:rPr>
          <w:rFonts w:ascii="仿宋" w:hAnsi="仿宋" w:eastAsia="仿宋" w:cs="CESI仿宋-GB2312"/>
          <w:sz w:val="24"/>
        </w:rPr>
      </w:pPr>
      <w:r>
        <w:rPr>
          <w:rFonts w:ascii="仿宋" w:hAnsi="仿宋" w:eastAsia="仿宋" w:cs="CESI仿宋-GB2312"/>
          <w:sz w:val="24"/>
        </w:rPr>
        <w:t>2</w:t>
      </w:r>
      <w:r>
        <w:rPr>
          <w:rFonts w:hint="eastAsia" w:ascii="仿宋" w:hAnsi="仿宋" w:eastAsia="仿宋" w:cs="CESI仿宋-GB2312"/>
          <w:sz w:val="24"/>
        </w:rPr>
        <w:t>、向乙方提供服务所需的场地、必要的通行便利及相关基础资料；</w:t>
      </w:r>
    </w:p>
    <w:p w14:paraId="3FC56E57">
      <w:pPr>
        <w:spacing w:line="560" w:lineRule="exact"/>
        <w:ind w:firstLine="480" w:firstLineChars="200"/>
        <w:rPr>
          <w:rFonts w:ascii="仿宋" w:hAnsi="仿宋" w:eastAsia="仿宋" w:cs="CESI仿宋-GB2312"/>
          <w:sz w:val="24"/>
        </w:rPr>
      </w:pPr>
      <w:r>
        <w:rPr>
          <w:rFonts w:ascii="仿宋" w:hAnsi="仿宋" w:eastAsia="仿宋" w:cs="CESI仿宋-GB2312"/>
          <w:sz w:val="24"/>
        </w:rPr>
        <w:t>3</w:t>
      </w:r>
      <w:r>
        <w:rPr>
          <w:rFonts w:hint="eastAsia" w:ascii="仿宋" w:hAnsi="仿宋" w:eastAsia="仿宋" w:cs="CESI仿宋-GB2312"/>
          <w:sz w:val="24"/>
        </w:rPr>
        <w:t>、对乙方服务质量、人员配置、资质合规性进行监督检查，有权对不符合要求的服务提出整改要求；</w:t>
      </w:r>
    </w:p>
    <w:p w14:paraId="076BA479">
      <w:pPr>
        <w:spacing w:line="560" w:lineRule="exact"/>
        <w:ind w:firstLine="480" w:firstLineChars="200"/>
        <w:rPr>
          <w:rFonts w:ascii="仿宋" w:hAnsi="仿宋" w:eastAsia="仿宋" w:cs="CESI仿宋-GB2312"/>
          <w:sz w:val="24"/>
        </w:rPr>
      </w:pPr>
      <w:r>
        <w:rPr>
          <w:rFonts w:ascii="仿宋" w:hAnsi="仿宋" w:eastAsia="仿宋" w:cs="CESI仿宋-GB2312"/>
          <w:sz w:val="24"/>
        </w:rPr>
        <w:t>4</w:t>
      </w:r>
      <w:r>
        <w:rPr>
          <w:rFonts w:hint="eastAsia" w:ascii="仿宋" w:hAnsi="仿宋" w:eastAsia="仿宋" w:cs="CESI仿宋-GB2312"/>
          <w:sz w:val="24"/>
        </w:rPr>
        <w:t>、协调赛事相关部门，配合乙方开展病媒防制工作，提供必要的协助。</w:t>
      </w:r>
    </w:p>
    <w:p w14:paraId="343704B5">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第九条  乙方责任和权利</w:t>
      </w:r>
    </w:p>
    <w:p w14:paraId="5244E363">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1、按磋商文件、响应文件及本合同约定，配备足额、合规的服务团队，确保服务期间全员持证上岗；</w:t>
      </w:r>
    </w:p>
    <w:p w14:paraId="4F8F2A7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2、严格按照国家规范及服务方案开展消杀、监测、应急处置等工作，建立完整的服务台账，接受甲方及监管部门的检查；</w:t>
      </w:r>
    </w:p>
    <w:p w14:paraId="031EB410">
      <w:pPr>
        <w:spacing w:line="560" w:lineRule="exact"/>
        <w:ind w:firstLine="480" w:firstLineChars="200"/>
        <w:rPr>
          <w:rFonts w:ascii="仿宋" w:hAnsi="仿宋" w:eastAsia="仿宋" w:cs="CESI仿宋-GB2312"/>
          <w:sz w:val="24"/>
        </w:rPr>
      </w:pPr>
      <w:r>
        <w:rPr>
          <w:rFonts w:ascii="仿宋" w:hAnsi="仿宋" w:eastAsia="仿宋" w:cs="CESI仿宋-GB2312"/>
          <w:sz w:val="24"/>
        </w:rPr>
        <w:t>3</w:t>
      </w:r>
      <w:r>
        <w:rPr>
          <w:rFonts w:hint="eastAsia" w:ascii="仿宋" w:hAnsi="仿宋" w:eastAsia="仿宋" w:cs="CESI仿宋-GB2312"/>
          <w:sz w:val="24"/>
        </w:rPr>
        <w:t>、负责服务过程中的安全生产，承担因操作不当、药剂使用不当等造成的安全事故、人员伤害及财产损失的全部责任；</w:t>
      </w:r>
    </w:p>
    <w:p w14:paraId="74F4D35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4、配备备用项目负责人，确保赛事期间服务不中断；</w:t>
      </w:r>
    </w:p>
    <w:p w14:paraId="35C81ED3">
      <w:pPr>
        <w:spacing w:line="560" w:lineRule="exact"/>
        <w:ind w:firstLine="480" w:firstLineChars="200"/>
        <w:rPr>
          <w:rFonts w:ascii="仿宋" w:hAnsi="仿宋" w:eastAsia="仿宋" w:cs="CESI仿宋-GB2312"/>
          <w:sz w:val="24"/>
        </w:rPr>
      </w:pPr>
      <w:r>
        <w:rPr>
          <w:rFonts w:ascii="仿宋" w:hAnsi="仿宋" w:eastAsia="仿宋" w:cs="CESI仿宋-GB2312"/>
          <w:sz w:val="24"/>
        </w:rPr>
        <w:t>5</w:t>
      </w:r>
      <w:r>
        <w:rPr>
          <w:rFonts w:hint="eastAsia" w:ascii="仿宋" w:hAnsi="仿宋" w:eastAsia="仿宋" w:cs="CESI仿宋-GB2312"/>
          <w:sz w:val="24"/>
        </w:rPr>
        <w:t>、配合甲方完成爱卫办、卫健部门的检查验收工作，提供相关证明材料。</w:t>
      </w:r>
    </w:p>
    <w:p w14:paraId="400A34A6">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第十条  违约责任</w:t>
      </w:r>
    </w:p>
    <w:p w14:paraId="17AD8166">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1、乙方未按约定配备人员、服务质量不达标，或被监管部门通报批评的，甲方有权要求乙方限期整改；整改不合格的，甲方有权扣除部分或全部服务费用，直至解除合同，乙方应承担由此给甲方造成的损失。</w:t>
      </w:r>
    </w:p>
    <w:p w14:paraId="2385F681">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2、乙方擅自更换项目负责人或关键岗位人员，或人员脱岗、离岗的，每次向甲方支付违约金______元；情节严重的，甲方有权解除合同。</w:t>
      </w:r>
    </w:p>
    <w:p w14:paraId="3E643BA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3、任何一方单方解除合同，应向对方支付合同总价______% 的违约金。</w:t>
      </w:r>
    </w:p>
    <w:p w14:paraId="2333CFCB">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第十一条  合同争议和解决方法</w:t>
      </w:r>
    </w:p>
    <w:p w14:paraId="61AE6810">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依据《中华人民共和国民法典》的相关条款和本合同约定，乙方未全面履行合同义务或拒绝继续履行合同义务，造成服务期延误或给甲方带来经济损失，甲方有权单方终止合同，并向乙方索赔。甲方违约的，应赔偿乙方的直接经济损失。在履行本合同期间若发生争议，甲、乙双方应友好协商解决。若协商不成，任何一方均可向甲方所在地有管辖权的人民法院提起诉讼。</w:t>
      </w:r>
    </w:p>
    <w:p w14:paraId="27BBBDB0">
      <w:pPr>
        <w:spacing w:line="560" w:lineRule="exact"/>
        <w:ind w:firstLine="482" w:firstLineChars="200"/>
        <w:rPr>
          <w:rFonts w:ascii="仿宋" w:hAnsi="仿宋" w:eastAsia="仿宋" w:cs="CESI仿宋-GB2312"/>
          <w:b/>
          <w:bCs/>
          <w:sz w:val="24"/>
        </w:rPr>
      </w:pPr>
      <w:r>
        <w:rPr>
          <w:rFonts w:hint="eastAsia" w:ascii="仿宋" w:hAnsi="仿宋" w:eastAsia="仿宋" w:cs="CESI仿宋-GB2312"/>
          <w:b/>
          <w:bCs/>
          <w:sz w:val="24"/>
        </w:rPr>
        <w:t>第十二条  其他事项</w:t>
      </w:r>
    </w:p>
    <w:p w14:paraId="54FD3A9E">
      <w:pPr>
        <w:spacing w:line="560" w:lineRule="exact"/>
        <w:ind w:firstLine="643"/>
        <w:rPr>
          <w:rFonts w:ascii="仿宋" w:hAnsi="仿宋" w:eastAsia="仿宋" w:cs="CESI仿宋-GB2312"/>
          <w:sz w:val="24"/>
        </w:rPr>
      </w:pPr>
      <w:r>
        <w:rPr>
          <w:rFonts w:hint="eastAsia" w:ascii="仿宋" w:hAnsi="仿宋" w:eastAsia="仿宋" w:cs="CESI仿宋-GB2312"/>
          <w:sz w:val="24"/>
        </w:rPr>
        <w:t>1.本合同一式肆份，甲乙双方各执贰份，具有同等的法律约束力。</w:t>
      </w:r>
    </w:p>
    <w:p w14:paraId="40D44AEF">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2.本合同自双方签字盖章后起生效。</w:t>
      </w:r>
    </w:p>
    <w:p w14:paraId="7343EA1B">
      <w:pPr>
        <w:spacing w:line="560" w:lineRule="exact"/>
        <w:ind w:firstLine="480" w:firstLineChars="200"/>
        <w:rPr>
          <w:rFonts w:ascii="仿宋" w:hAnsi="仿宋" w:eastAsia="仿宋" w:cs="CESI仿宋-GB2312"/>
          <w:sz w:val="24"/>
        </w:rPr>
      </w:pPr>
      <w:r>
        <w:rPr>
          <w:rFonts w:hint="eastAsia" w:ascii="仿宋" w:hAnsi="仿宋" w:eastAsia="仿宋" w:cs="CESI仿宋-GB2312"/>
          <w:sz w:val="24"/>
        </w:rPr>
        <w:t>（本页无正文）</w:t>
      </w:r>
    </w:p>
    <w:p w14:paraId="2699F0A5">
      <w:pPr>
        <w:spacing w:line="560" w:lineRule="exact"/>
        <w:rPr>
          <w:rFonts w:ascii="仿宋" w:hAnsi="仿宋" w:eastAsia="仿宋" w:cs="CESI仿宋-GB2312"/>
          <w:sz w:val="24"/>
        </w:rPr>
      </w:pPr>
    </w:p>
    <w:p w14:paraId="3D5541B3">
      <w:pPr>
        <w:spacing w:line="560" w:lineRule="exact"/>
        <w:ind w:firstLine="480" w:firstLineChars="200"/>
        <w:rPr>
          <w:rFonts w:ascii="仿宋" w:hAnsi="仿宋" w:eastAsia="仿宋" w:cs="CESI仿宋-GB2312"/>
          <w:sz w:val="24"/>
        </w:rPr>
      </w:pPr>
    </w:p>
    <w:tbl>
      <w:tblPr>
        <w:tblStyle w:val="36"/>
        <w:tblW w:w="8799" w:type="dxa"/>
        <w:tblInd w:w="0" w:type="dxa"/>
        <w:tblLayout w:type="autofit"/>
        <w:tblCellMar>
          <w:top w:w="0" w:type="dxa"/>
          <w:left w:w="108" w:type="dxa"/>
          <w:bottom w:w="0" w:type="dxa"/>
          <w:right w:w="108" w:type="dxa"/>
        </w:tblCellMar>
      </w:tblPr>
      <w:tblGrid>
        <w:gridCol w:w="4535"/>
        <w:gridCol w:w="4264"/>
      </w:tblGrid>
      <w:tr w14:paraId="6A944DFB">
        <w:tblPrEx>
          <w:tblCellMar>
            <w:top w:w="0" w:type="dxa"/>
            <w:left w:w="108" w:type="dxa"/>
            <w:bottom w:w="0" w:type="dxa"/>
            <w:right w:w="108" w:type="dxa"/>
          </w:tblCellMar>
        </w:tblPrEx>
        <w:trPr>
          <w:trHeight w:val="567" w:hRule="atLeast"/>
        </w:trPr>
        <w:tc>
          <w:tcPr>
            <w:tcW w:w="4535" w:type="dxa"/>
            <w:vAlign w:val="center"/>
          </w:tcPr>
          <w:p w14:paraId="6827E296">
            <w:pPr>
              <w:spacing w:line="276" w:lineRule="auto"/>
              <w:rPr>
                <w:rFonts w:ascii="仿宋" w:hAnsi="仿宋" w:eastAsia="仿宋" w:cs="CESI仿宋-GB2312"/>
                <w:sz w:val="24"/>
              </w:rPr>
            </w:pPr>
            <w:r>
              <w:rPr>
                <w:rFonts w:hint="eastAsia" w:ascii="仿宋" w:hAnsi="仿宋" w:eastAsia="仿宋" w:cs="CESI仿宋-GB2312"/>
                <w:bCs/>
                <w:sz w:val="24"/>
              </w:rPr>
              <w:t>甲  方</w:t>
            </w:r>
            <w:r>
              <w:rPr>
                <w:rFonts w:hint="eastAsia" w:ascii="仿宋" w:hAnsi="仿宋" w:eastAsia="仿宋" w:cs="CESI仿宋-GB2312"/>
                <w:sz w:val="24"/>
              </w:rPr>
              <w:t>（盖章）</w:t>
            </w:r>
            <w:r>
              <w:rPr>
                <w:rFonts w:hint="eastAsia" w:ascii="仿宋" w:hAnsi="仿宋" w:eastAsia="仿宋" w:cs="CESI仿宋-GB2312"/>
                <w:bCs/>
                <w:sz w:val="24"/>
              </w:rPr>
              <w:t>：</w:t>
            </w:r>
            <w:r>
              <w:rPr>
                <w:rFonts w:hint="eastAsia" w:ascii="仿宋" w:hAnsi="仿宋" w:eastAsia="仿宋" w:cs="CESI仿宋-GB2312"/>
                <w:sz w:val="24"/>
              </w:rPr>
              <w:t xml:space="preserve"> </w:t>
            </w:r>
          </w:p>
        </w:tc>
        <w:tc>
          <w:tcPr>
            <w:tcW w:w="4264" w:type="dxa"/>
            <w:vAlign w:val="center"/>
          </w:tcPr>
          <w:p w14:paraId="351ED793">
            <w:pPr>
              <w:spacing w:line="276" w:lineRule="auto"/>
              <w:rPr>
                <w:rFonts w:ascii="仿宋" w:hAnsi="仿宋" w:eastAsia="仿宋" w:cs="CESI仿宋-GB2312"/>
                <w:sz w:val="24"/>
              </w:rPr>
            </w:pPr>
            <w:r>
              <w:rPr>
                <w:rFonts w:hint="eastAsia" w:ascii="仿宋" w:hAnsi="仿宋" w:eastAsia="仿宋" w:cs="CESI仿宋-GB2312"/>
                <w:bCs/>
                <w:sz w:val="24"/>
              </w:rPr>
              <w:t>乙  方</w:t>
            </w:r>
            <w:r>
              <w:rPr>
                <w:rFonts w:hint="eastAsia" w:ascii="仿宋" w:hAnsi="仿宋" w:eastAsia="仿宋" w:cs="CESI仿宋-GB2312"/>
                <w:sz w:val="24"/>
              </w:rPr>
              <w:t>（盖章）</w:t>
            </w:r>
            <w:r>
              <w:rPr>
                <w:rFonts w:hint="eastAsia" w:ascii="仿宋" w:hAnsi="仿宋" w:eastAsia="仿宋" w:cs="CESI仿宋-GB2312"/>
                <w:bCs/>
                <w:sz w:val="24"/>
              </w:rPr>
              <w:t>：</w:t>
            </w:r>
            <w:r>
              <w:rPr>
                <w:rFonts w:hint="eastAsia" w:ascii="仿宋" w:hAnsi="仿宋" w:eastAsia="仿宋" w:cs="CESI仿宋-GB2312"/>
                <w:sz w:val="24"/>
              </w:rPr>
              <w:t xml:space="preserve"> </w:t>
            </w:r>
          </w:p>
        </w:tc>
      </w:tr>
      <w:tr w14:paraId="1AD56FC9">
        <w:tblPrEx>
          <w:tblCellMar>
            <w:top w:w="0" w:type="dxa"/>
            <w:left w:w="108" w:type="dxa"/>
            <w:bottom w:w="0" w:type="dxa"/>
            <w:right w:w="108" w:type="dxa"/>
          </w:tblCellMar>
        </w:tblPrEx>
        <w:trPr>
          <w:trHeight w:val="567" w:hRule="atLeast"/>
        </w:trPr>
        <w:tc>
          <w:tcPr>
            <w:tcW w:w="4535" w:type="dxa"/>
            <w:vAlign w:val="center"/>
          </w:tcPr>
          <w:p w14:paraId="6C3D4165">
            <w:pPr>
              <w:spacing w:line="276" w:lineRule="auto"/>
              <w:rPr>
                <w:rFonts w:ascii="仿宋" w:hAnsi="仿宋" w:eastAsia="仿宋" w:cs="CESI仿宋-GB2312"/>
                <w:bCs/>
                <w:sz w:val="24"/>
              </w:rPr>
            </w:pPr>
          </w:p>
          <w:p w14:paraId="6E2FC08D">
            <w:pPr>
              <w:spacing w:line="276" w:lineRule="auto"/>
              <w:rPr>
                <w:rFonts w:ascii="仿宋" w:hAnsi="仿宋" w:eastAsia="仿宋" w:cs="CESI仿宋-GB2312"/>
                <w:bCs/>
                <w:sz w:val="24"/>
              </w:rPr>
            </w:pPr>
            <w:r>
              <w:rPr>
                <w:rFonts w:hint="eastAsia" w:ascii="仿宋" w:hAnsi="仿宋" w:eastAsia="仿宋" w:cs="CESI仿宋-GB2312"/>
                <w:bCs/>
                <w:sz w:val="24"/>
              </w:rPr>
              <w:t>法定代表人/委托代理人</w:t>
            </w:r>
          </w:p>
          <w:p w14:paraId="74AD50EB">
            <w:pPr>
              <w:spacing w:line="276" w:lineRule="auto"/>
              <w:rPr>
                <w:rFonts w:ascii="仿宋" w:hAnsi="仿宋" w:eastAsia="仿宋" w:cs="CESI仿宋-GB2312"/>
                <w:sz w:val="24"/>
              </w:rPr>
            </w:pPr>
            <w:r>
              <w:rPr>
                <w:rFonts w:hint="eastAsia" w:ascii="仿宋" w:hAnsi="仿宋" w:eastAsia="仿宋" w:cs="CESI仿宋-GB2312"/>
                <w:sz w:val="24"/>
              </w:rPr>
              <w:t>（签字或盖章）：</w:t>
            </w:r>
          </w:p>
          <w:p w14:paraId="4294FA6D">
            <w:pPr>
              <w:spacing w:line="276" w:lineRule="auto"/>
              <w:rPr>
                <w:rFonts w:ascii="仿宋" w:hAnsi="仿宋" w:eastAsia="仿宋" w:cs="CESI仿宋-GB2312"/>
                <w:sz w:val="24"/>
              </w:rPr>
            </w:pPr>
          </w:p>
        </w:tc>
        <w:tc>
          <w:tcPr>
            <w:tcW w:w="4264" w:type="dxa"/>
            <w:vAlign w:val="center"/>
          </w:tcPr>
          <w:p w14:paraId="25DA24CF">
            <w:pPr>
              <w:spacing w:line="276" w:lineRule="auto"/>
              <w:rPr>
                <w:rFonts w:ascii="仿宋" w:hAnsi="仿宋" w:eastAsia="仿宋" w:cs="CESI仿宋-GB2312"/>
                <w:bCs/>
                <w:sz w:val="24"/>
              </w:rPr>
            </w:pPr>
          </w:p>
          <w:p w14:paraId="365FB6CA">
            <w:pPr>
              <w:spacing w:line="276" w:lineRule="auto"/>
              <w:rPr>
                <w:rFonts w:ascii="仿宋" w:hAnsi="仿宋" w:eastAsia="仿宋" w:cs="CESI仿宋-GB2312"/>
                <w:bCs/>
                <w:sz w:val="24"/>
              </w:rPr>
            </w:pPr>
            <w:r>
              <w:rPr>
                <w:rFonts w:hint="eastAsia" w:ascii="仿宋" w:hAnsi="仿宋" w:eastAsia="仿宋" w:cs="CESI仿宋-GB2312"/>
                <w:bCs/>
                <w:sz w:val="24"/>
              </w:rPr>
              <w:t>法定代表人/委托代理人</w:t>
            </w:r>
          </w:p>
          <w:p w14:paraId="2BF2F3E4">
            <w:pPr>
              <w:spacing w:line="276" w:lineRule="auto"/>
              <w:rPr>
                <w:rFonts w:ascii="仿宋" w:hAnsi="仿宋" w:eastAsia="仿宋" w:cs="CESI仿宋-GB2312"/>
                <w:sz w:val="24"/>
              </w:rPr>
            </w:pPr>
            <w:r>
              <w:rPr>
                <w:rFonts w:hint="eastAsia" w:ascii="仿宋" w:hAnsi="仿宋" w:eastAsia="仿宋" w:cs="CESI仿宋-GB2312"/>
                <w:sz w:val="24"/>
              </w:rPr>
              <w:t>（签字或盖章）：</w:t>
            </w:r>
          </w:p>
          <w:p w14:paraId="2194ED31">
            <w:pPr>
              <w:spacing w:line="276" w:lineRule="auto"/>
              <w:rPr>
                <w:rFonts w:ascii="仿宋" w:hAnsi="仿宋" w:eastAsia="仿宋" w:cs="CESI仿宋-GB2312"/>
                <w:sz w:val="24"/>
              </w:rPr>
            </w:pPr>
          </w:p>
        </w:tc>
      </w:tr>
      <w:tr w14:paraId="1563F9DD">
        <w:tblPrEx>
          <w:tblCellMar>
            <w:top w:w="0" w:type="dxa"/>
            <w:left w:w="108" w:type="dxa"/>
            <w:bottom w:w="0" w:type="dxa"/>
            <w:right w:w="108" w:type="dxa"/>
          </w:tblCellMar>
        </w:tblPrEx>
        <w:trPr>
          <w:trHeight w:val="567" w:hRule="atLeast"/>
        </w:trPr>
        <w:tc>
          <w:tcPr>
            <w:tcW w:w="4535" w:type="dxa"/>
            <w:vAlign w:val="center"/>
          </w:tcPr>
          <w:p w14:paraId="32FF43AE">
            <w:pPr>
              <w:spacing w:line="276" w:lineRule="auto"/>
              <w:rPr>
                <w:rFonts w:ascii="仿宋" w:hAnsi="仿宋" w:eastAsia="仿宋" w:cs="CESI仿宋-GB2312"/>
                <w:sz w:val="24"/>
              </w:rPr>
            </w:pPr>
            <w:r>
              <w:rPr>
                <w:rFonts w:hint="eastAsia" w:ascii="仿宋" w:hAnsi="仿宋" w:eastAsia="仿宋" w:cs="CESI仿宋-GB2312"/>
                <w:bCs/>
                <w:sz w:val="24"/>
              </w:rPr>
              <w:t>日  期：</w:t>
            </w:r>
            <w:r>
              <w:rPr>
                <w:rFonts w:hint="eastAsia" w:ascii="仿宋" w:hAnsi="仿宋" w:eastAsia="仿宋" w:cs="CESI仿宋-GB2312"/>
                <w:sz w:val="24"/>
              </w:rPr>
              <w:t xml:space="preserve">   年   月   日</w:t>
            </w:r>
          </w:p>
        </w:tc>
        <w:tc>
          <w:tcPr>
            <w:tcW w:w="4264" w:type="dxa"/>
            <w:vAlign w:val="center"/>
          </w:tcPr>
          <w:p w14:paraId="0C028CC6">
            <w:pPr>
              <w:spacing w:line="276" w:lineRule="auto"/>
              <w:rPr>
                <w:rFonts w:ascii="仿宋" w:hAnsi="仿宋" w:eastAsia="仿宋" w:cs="CESI仿宋-GB2312"/>
                <w:sz w:val="24"/>
              </w:rPr>
            </w:pPr>
            <w:r>
              <w:rPr>
                <w:rFonts w:hint="eastAsia" w:ascii="仿宋" w:hAnsi="仿宋" w:eastAsia="仿宋" w:cs="CESI仿宋-GB2312"/>
                <w:bCs/>
                <w:sz w:val="24"/>
              </w:rPr>
              <w:t>日  期：</w:t>
            </w:r>
            <w:r>
              <w:rPr>
                <w:rFonts w:hint="eastAsia" w:ascii="仿宋" w:hAnsi="仿宋" w:eastAsia="仿宋" w:cs="CESI仿宋-GB2312"/>
                <w:sz w:val="24"/>
              </w:rPr>
              <w:t xml:space="preserve">   年   月   日</w:t>
            </w:r>
          </w:p>
        </w:tc>
      </w:tr>
      <w:bookmarkEnd w:id="2"/>
      <w:bookmarkEnd w:id="3"/>
      <w:bookmarkEnd w:id="4"/>
      <w:bookmarkEnd w:id="5"/>
      <w:bookmarkEnd w:id="6"/>
      <w:bookmarkEnd w:id="7"/>
      <w:bookmarkEnd w:id="8"/>
      <w:bookmarkEnd w:id="9"/>
      <w:bookmarkEnd w:id="10"/>
    </w:tbl>
    <w:p w14:paraId="4D14EB77">
      <w:pPr>
        <w:spacing w:line="560" w:lineRule="exact"/>
        <w:rPr>
          <w:rFonts w:ascii="仿宋" w:hAnsi="仿宋" w:eastAsia="仿宋" w:cs="CESI仿宋-GB2312"/>
          <w:b/>
          <w:bCs/>
          <w:sz w:val="24"/>
        </w:rPr>
      </w:pPr>
    </w:p>
    <w:sectPr>
      <w:headerReference r:id="rId7" w:type="default"/>
      <w:footerReference r:id="rId8" w:type="default"/>
      <w:pgSz w:w="11906" w:h="16838"/>
      <w:pgMar w:top="1417" w:right="1587" w:bottom="1417"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CESI仿宋-GB2312">
    <w:altName w:val="微软雅黑"/>
    <w:panose1 w:val="00000000000000000000"/>
    <w:charset w:val="86"/>
    <w:family w:val="auto"/>
    <w:pitch w:val="default"/>
    <w:sig w:usb0="00000000" w:usb1="00000000"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C34F5">
    <w:pPr>
      <w:pStyle w:val="25"/>
      <w:ind w:right="360"/>
      <w:jc w:val="center"/>
      <w:rPr>
        <w:rFonts w:ascii="仿宋_GB2312" w:eastAsia="仿宋_GB2312"/>
      </w:rPr>
    </w:pPr>
  </w:p>
  <w:p w14:paraId="2C1E9F11">
    <w:pPr>
      <w:pStyle w:val="25"/>
      <w:ind w:right="360"/>
      <w:jc w:val="center"/>
    </w:pPr>
  </w:p>
  <w:p w14:paraId="2E55978C">
    <w:pPr>
      <w:pStyle w:val="2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A2E0">
    <w:pPr>
      <w:pStyle w:val="25"/>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9F2B8">
    <w:pPr>
      <w:pStyle w:val="2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1524E">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2B321"/>
    <w:multiLevelType w:val="singleLevel"/>
    <w:tmpl w:val="DBC2B321"/>
    <w:lvl w:ilvl="0" w:tentative="0">
      <w:start w:val="1"/>
      <w:numFmt w:val="bullet"/>
      <w:pStyle w:val="21"/>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4"/>
  <w:drawingGridHorizontalSpacing w:val="120"/>
  <w:drawingGridVerticalSpacing w:val="163"/>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mMzY5ZWMzZjRlM2NhMTdjZGI4NWQzMTExMzY1YzkifQ=="/>
  </w:docVars>
  <w:rsids>
    <w:rsidRoot w:val="00172A27"/>
    <w:rsid w:val="0000161D"/>
    <w:rsid w:val="00003B34"/>
    <w:rsid w:val="000064C5"/>
    <w:rsid w:val="000178A7"/>
    <w:rsid w:val="0002518B"/>
    <w:rsid w:val="000362F7"/>
    <w:rsid w:val="000414A2"/>
    <w:rsid w:val="000418E3"/>
    <w:rsid w:val="000676E8"/>
    <w:rsid w:val="00074992"/>
    <w:rsid w:val="00096199"/>
    <w:rsid w:val="000A5751"/>
    <w:rsid w:val="000B3EAC"/>
    <w:rsid w:val="000C36C6"/>
    <w:rsid w:val="00100EA9"/>
    <w:rsid w:val="0011072C"/>
    <w:rsid w:val="001316D5"/>
    <w:rsid w:val="00144990"/>
    <w:rsid w:val="00145E69"/>
    <w:rsid w:val="00150A42"/>
    <w:rsid w:val="00172A27"/>
    <w:rsid w:val="001829F3"/>
    <w:rsid w:val="001857F8"/>
    <w:rsid w:val="001875BA"/>
    <w:rsid w:val="0019617E"/>
    <w:rsid w:val="00197B03"/>
    <w:rsid w:val="001A4458"/>
    <w:rsid w:val="001A4E76"/>
    <w:rsid w:val="001A70CE"/>
    <w:rsid w:val="001A7D51"/>
    <w:rsid w:val="001D49CF"/>
    <w:rsid w:val="001F1B81"/>
    <w:rsid w:val="001F4BFC"/>
    <w:rsid w:val="00213B19"/>
    <w:rsid w:val="00216859"/>
    <w:rsid w:val="00222257"/>
    <w:rsid w:val="00237663"/>
    <w:rsid w:val="00250C08"/>
    <w:rsid w:val="00261B96"/>
    <w:rsid w:val="00261D67"/>
    <w:rsid w:val="00263F32"/>
    <w:rsid w:val="00273E3F"/>
    <w:rsid w:val="002759F8"/>
    <w:rsid w:val="00276BDF"/>
    <w:rsid w:val="00286EDB"/>
    <w:rsid w:val="00290780"/>
    <w:rsid w:val="00294B66"/>
    <w:rsid w:val="0029712F"/>
    <w:rsid w:val="002A02DA"/>
    <w:rsid w:val="002B58FE"/>
    <w:rsid w:val="002C47A2"/>
    <w:rsid w:val="002C5E1D"/>
    <w:rsid w:val="002D3FA5"/>
    <w:rsid w:val="002D6837"/>
    <w:rsid w:val="003015D2"/>
    <w:rsid w:val="003506BB"/>
    <w:rsid w:val="00350831"/>
    <w:rsid w:val="0035346C"/>
    <w:rsid w:val="003537C7"/>
    <w:rsid w:val="00355F32"/>
    <w:rsid w:val="00392B74"/>
    <w:rsid w:val="00394D78"/>
    <w:rsid w:val="003A44E8"/>
    <w:rsid w:val="003B1CBC"/>
    <w:rsid w:val="003B435E"/>
    <w:rsid w:val="003B69EC"/>
    <w:rsid w:val="003C69A9"/>
    <w:rsid w:val="003D09C1"/>
    <w:rsid w:val="003D3F2A"/>
    <w:rsid w:val="003D748F"/>
    <w:rsid w:val="00401EA5"/>
    <w:rsid w:val="0041193D"/>
    <w:rsid w:val="0041693D"/>
    <w:rsid w:val="004344A4"/>
    <w:rsid w:val="00452C69"/>
    <w:rsid w:val="00461AD5"/>
    <w:rsid w:val="00463DA0"/>
    <w:rsid w:val="00473D5D"/>
    <w:rsid w:val="00473EFE"/>
    <w:rsid w:val="004740AC"/>
    <w:rsid w:val="00475FAD"/>
    <w:rsid w:val="00490B08"/>
    <w:rsid w:val="00492736"/>
    <w:rsid w:val="004927FC"/>
    <w:rsid w:val="004A53D4"/>
    <w:rsid w:val="004B1F10"/>
    <w:rsid w:val="004C5156"/>
    <w:rsid w:val="004C56D7"/>
    <w:rsid w:val="004E053F"/>
    <w:rsid w:val="004E42DB"/>
    <w:rsid w:val="004F06CF"/>
    <w:rsid w:val="004F4183"/>
    <w:rsid w:val="00500C22"/>
    <w:rsid w:val="0050251B"/>
    <w:rsid w:val="00512C21"/>
    <w:rsid w:val="00514E7F"/>
    <w:rsid w:val="00521D82"/>
    <w:rsid w:val="005222D5"/>
    <w:rsid w:val="0052791D"/>
    <w:rsid w:val="005538D8"/>
    <w:rsid w:val="00586870"/>
    <w:rsid w:val="00590DD4"/>
    <w:rsid w:val="0059142D"/>
    <w:rsid w:val="00595AF3"/>
    <w:rsid w:val="005B3049"/>
    <w:rsid w:val="005C4858"/>
    <w:rsid w:val="005D298B"/>
    <w:rsid w:val="005F503C"/>
    <w:rsid w:val="00600002"/>
    <w:rsid w:val="00605964"/>
    <w:rsid w:val="00605B8E"/>
    <w:rsid w:val="00606D85"/>
    <w:rsid w:val="00606DD0"/>
    <w:rsid w:val="00611658"/>
    <w:rsid w:val="00613FC8"/>
    <w:rsid w:val="00617282"/>
    <w:rsid w:val="00635449"/>
    <w:rsid w:val="00640E46"/>
    <w:rsid w:val="00654FCF"/>
    <w:rsid w:val="00655F12"/>
    <w:rsid w:val="00666848"/>
    <w:rsid w:val="0067258D"/>
    <w:rsid w:val="0069340C"/>
    <w:rsid w:val="00695050"/>
    <w:rsid w:val="00695EEE"/>
    <w:rsid w:val="006B1BD7"/>
    <w:rsid w:val="006B36AD"/>
    <w:rsid w:val="006B609B"/>
    <w:rsid w:val="006D21C1"/>
    <w:rsid w:val="006E2F97"/>
    <w:rsid w:val="006E32EA"/>
    <w:rsid w:val="006E60C4"/>
    <w:rsid w:val="0070550C"/>
    <w:rsid w:val="00706944"/>
    <w:rsid w:val="00725AAE"/>
    <w:rsid w:val="00730454"/>
    <w:rsid w:val="007311AE"/>
    <w:rsid w:val="007375BC"/>
    <w:rsid w:val="00740C9C"/>
    <w:rsid w:val="007449B5"/>
    <w:rsid w:val="00747A61"/>
    <w:rsid w:val="00756C16"/>
    <w:rsid w:val="00760431"/>
    <w:rsid w:val="00760D10"/>
    <w:rsid w:val="00763E32"/>
    <w:rsid w:val="0077163C"/>
    <w:rsid w:val="00777164"/>
    <w:rsid w:val="00783FEB"/>
    <w:rsid w:val="007918F1"/>
    <w:rsid w:val="007930CC"/>
    <w:rsid w:val="00794F31"/>
    <w:rsid w:val="0079567A"/>
    <w:rsid w:val="00797E7D"/>
    <w:rsid w:val="007A2EA9"/>
    <w:rsid w:val="007B6100"/>
    <w:rsid w:val="007C00F4"/>
    <w:rsid w:val="007C1495"/>
    <w:rsid w:val="007E2AA3"/>
    <w:rsid w:val="007E4662"/>
    <w:rsid w:val="007F47B8"/>
    <w:rsid w:val="00805CB3"/>
    <w:rsid w:val="008070B0"/>
    <w:rsid w:val="0081059E"/>
    <w:rsid w:val="00812404"/>
    <w:rsid w:val="00817E9A"/>
    <w:rsid w:val="008439DA"/>
    <w:rsid w:val="0084425E"/>
    <w:rsid w:val="00850F40"/>
    <w:rsid w:val="00855184"/>
    <w:rsid w:val="00875D2C"/>
    <w:rsid w:val="00881668"/>
    <w:rsid w:val="00887B09"/>
    <w:rsid w:val="008D4EE8"/>
    <w:rsid w:val="008D57C7"/>
    <w:rsid w:val="008E21CB"/>
    <w:rsid w:val="008F7763"/>
    <w:rsid w:val="0091525E"/>
    <w:rsid w:val="00916646"/>
    <w:rsid w:val="00921450"/>
    <w:rsid w:val="00932593"/>
    <w:rsid w:val="00957F83"/>
    <w:rsid w:val="009607D9"/>
    <w:rsid w:val="00961C05"/>
    <w:rsid w:val="0096393F"/>
    <w:rsid w:val="00970AAD"/>
    <w:rsid w:val="00972651"/>
    <w:rsid w:val="009763D4"/>
    <w:rsid w:val="00994DB9"/>
    <w:rsid w:val="00996F85"/>
    <w:rsid w:val="009B14E7"/>
    <w:rsid w:val="009B61F5"/>
    <w:rsid w:val="009B6CA1"/>
    <w:rsid w:val="009C488C"/>
    <w:rsid w:val="00A01EAF"/>
    <w:rsid w:val="00A15BD8"/>
    <w:rsid w:val="00A17CB5"/>
    <w:rsid w:val="00A2462F"/>
    <w:rsid w:val="00A24B96"/>
    <w:rsid w:val="00A306CA"/>
    <w:rsid w:val="00A50C8C"/>
    <w:rsid w:val="00A53F12"/>
    <w:rsid w:val="00A57D3B"/>
    <w:rsid w:val="00A759ED"/>
    <w:rsid w:val="00A8104C"/>
    <w:rsid w:val="00A84EB1"/>
    <w:rsid w:val="00A91394"/>
    <w:rsid w:val="00AB52D5"/>
    <w:rsid w:val="00AC00D1"/>
    <w:rsid w:val="00AC3B48"/>
    <w:rsid w:val="00AC784F"/>
    <w:rsid w:val="00AE119A"/>
    <w:rsid w:val="00AE4653"/>
    <w:rsid w:val="00AF01F5"/>
    <w:rsid w:val="00B018E2"/>
    <w:rsid w:val="00B16862"/>
    <w:rsid w:val="00B20FE4"/>
    <w:rsid w:val="00B23D2A"/>
    <w:rsid w:val="00B45EA5"/>
    <w:rsid w:val="00B55695"/>
    <w:rsid w:val="00B61CEE"/>
    <w:rsid w:val="00B63F5E"/>
    <w:rsid w:val="00B700BD"/>
    <w:rsid w:val="00B76241"/>
    <w:rsid w:val="00B807AB"/>
    <w:rsid w:val="00BA1B6C"/>
    <w:rsid w:val="00BA4A77"/>
    <w:rsid w:val="00BA5A9F"/>
    <w:rsid w:val="00BA7CE3"/>
    <w:rsid w:val="00BB19A6"/>
    <w:rsid w:val="00BD5AD5"/>
    <w:rsid w:val="00BF417C"/>
    <w:rsid w:val="00BF4875"/>
    <w:rsid w:val="00C05F00"/>
    <w:rsid w:val="00C14F01"/>
    <w:rsid w:val="00C31379"/>
    <w:rsid w:val="00C32FE3"/>
    <w:rsid w:val="00C4579F"/>
    <w:rsid w:val="00C56D5D"/>
    <w:rsid w:val="00C65FD8"/>
    <w:rsid w:val="00C74D86"/>
    <w:rsid w:val="00C76E7D"/>
    <w:rsid w:val="00C92069"/>
    <w:rsid w:val="00CA23C8"/>
    <w:rsid w:val="00CA3948"/>
    <w:rsid w:val="00CA4F3E"/>
    <w:rsid w:val="00CB38C7"/>
    <w:rsid w:val="00CB6BBC"/>
    <w:rsid w:val="00CD411F"/>
    <w:rsid w:val="00CD72AE"/>
    <w:rsid w:val="00CE51FD"/>
    <w:rsid w:val="00CF642C"/>
    <w:rsid w:val="00D13FB0"/>
    <w:rsid w:val="00D16315"/>
    <w:rsid w:val="00D24B00"/>
    <w:rsid w:val="00D25345"/>
    <w:rsid w:val="00D302F0"/>
    <w:rsid w:val="00D31C69"/>
    <w:rsid w:val="00D454EC"/>
    <w:rsid w:val="00D5016A"/>
    <w:rsid w:val="00D5245F"/>
    <w:rsid w:val="00D53E33"/>
    <w:rsid w:val="00D54F4A"/>
    <w:rsid w:val="00D57CAA"/>
    <w:rsid w:val="00DA1B2C"/>
    <w:rsid w:val="00DB4BDD"/>
    <w:rsid w:val="00DB68DD"/>
    <w:rsid w:val="00DC4F17"/>
    <w:rsid w:val="00DD77FE"/>
    <w:rsid w:val="00DD7BAE"/>
    <w:rsid w:val="00DE021A"/>
    <w:rsid w:val="00E047D8"/>
    <w:rsid w:val="00E076A8"/>
    <w:rsid w:val="00E10C30"/>
    <w:rsid w:val="00E17913"/>
    <w:rsid w:val="00E20E9A"/>
    <w:rsid w:val="00E21F0D"/>
    <w:rsid w:val="00E27864"/>
    <w:rsid w:val="00E50C65"/>
    <w:rsid w:val="00E5440C"/>
    <w:rsid w:val="00E61827"/>
    <w:rsid w:val="00E66650"/>
    <w:rsid w:val="00E81801"/>
    <w:rsid w:val="00E832D1"/>
    <w:rsid w:val="00EB4FB9"/>
    <w:rsid w:val="00EC68FA"/>
    <w:rsid w:val="00EC6FCA"/>
    <w:rsid w:val="00ED133B"/>
    <w:rsid w:val="00ED69F3"/>
    <w:rsid w:val="00EF0D29"/>
    <w:rsid w:val="00EF17AE"/>
    <w:rsid w:val="00EF1FF5"/>
    <w:rsid w:val="00EF5B40"/>
    <w:rsid w:val="00EF7027"/>
    <w:rsid w:val="00F028BE"/>
    <w:rsid w:val="00F1037E"/>
    <w:rsid w:val="00F163DB"/>
    <w:rsid w:val="00F1748F"/>
    <w:rsid w:val="00F21248"/>
    <w:rsid w:val="00F56E0F"/>
    <w:rsid w:val="00F61CAF"/>
    <w:rsid w:val="00F62A6E"/>
    <w:rsid w:val="00F63730"/>
    <w:rsid w:val="00F63815"/>
    <w:rsid w:val="00F64CD4"/>
    <w:rsid w:val="00F72913"/>
    <w:rsid w:val="00F8068C"/>
    <w:rsid w:val="00F83862"/>
    <w:rsid w:val="00F83ABC"/>
    <w:rsid w:val="00F8779C"/>
    <w:rsid w:val="00F96719"/>
    <w:rsid w:val="00FA0916"/>
    <w:rsid w:val="00FA52A9"/>
    <w:rsid w:val="00FB43FE"/>
    <w:rsid w:val="00FB4E1D"/>
    <w:rsid w:val="00FF2B37"/>
    <w:rsid w:val="00FF3ADF"/>
    <w:rsid w:val="00FF46C0"/>
    <w:rsid w:val="00FF57E3"/>
    <w:rsid w:val="00FF5ED6"/>
    <w:rsid w:val="01042DE9"/>
    <w:rsid w:val="0108730E"/>
    <w:rsid w:val="013449B4"/>
    <w:rsid w:val="014921B7"/>
    <w:rsid w:val="0162162A"/>
    <w:rsid w:val="016814B1"/>
    <w:rsid w:val="01696080"/>
    <w:rsid w:val="01C27DAD"/>
    <w:rsid w:val="01CF348D"/>
    <w:rsid w:val="01D61B92"/>
    <w:rsid w:val="01E5246C"/>
    <w:rsid w:val="02053577"/>
    <w:rsid w:val="021251C1"/>
    <w:rsid w:val="023C3A20"/>
    <w:rsid w:val="0248118C"/>
    <w:rsid w:val="024E06A7"/>
    <w:rsid w:val="02647297"/>
    <w:rsid w:val="02AE4197"/>
    <w:rsid w:val="02FA25DD"/>
    <w:rsid w:val="03471E5B"/>
    <w:rsid w:val="034E4BF8"/>
    <w:rsid w:val="037E0485"/>
    <w:rsid w:val="046D1152"/>
    <w:rsid w:val="047E6321"/>
    <w:rsid w:val="04944EEA"/>
    <w:rsid w:val="049733ED"/>
    <w:rsid w:val="04AB78C8"/>
    <w:rsid w:val="04E42B50"/>
    <w:rsid w:val="04F10AB3"/>
    <w:rsid w:val="052167BE"/>
    <w:rsid w:val="05333656"/>
    <w:rsid w:val="05441424"/>
    <w:rsid w:val="054D138F"/>
    <w:rsid w:val="055E2041"/>
    <w:rsid w:val="05AD6FED"/>
    <w:rsid w:val="05C36B59"/>
    <w:rsid w:val="05CF679D"/>
    <w:rsid w:val="05E835C5"/>
    <w:rsid w:val="05F07639"/>
    <w:rsid w:val="060066FC"/>
    <w:rsid w:val="063B192D"/>
    <w:rsid w:val="063D120A"/>
    <w:rsid w:val="066C5B2D"/>
    <w:rsid w:val="068370F2"/>
    <w:rsid w:val="07034316"/>
    <w:rsid w:val="070F7FA6"/>
    <w:rsid w:val="073F327B"/>
    <w:rsid w:val="0742266B"/>
    <w:rsid w:val="07535484"/>
    <w:rsid w:val="076D4E2A"/>
    <w:rsid w:val="07797F74"/>
    <w:rsid w:val="07AF3050"/>
    <w:rsid w:val="07B054C0"/>
    <w:rsid w:val="07E132C2"/>
    <w:rsid w:val="07EC2E3C"/>
    <w:rsid w:val="08193F2A"/>
    <w:rsid w:val="082659C2"/>
    <w:rsid w:val="08280383"/>
    <w:rsid w:val="08C25AF3"/>
    <w:rsid w:val="08C65828"/>
    <w:rsid w:val="08D134D7"/>
    <w:rsid w:val="08F4370D"/>
    <w:rsid w:val="09280BEE"/>
    <w:rsid w:val="09A56157"/>
    <w:rsid w:val="09CE2204"/>
    <w:rsid w:val="09ED2900"/>
    <w:rsid w:val="09F56A42"/>
    <w:rsid w:val="0A4114D4"/>
    <w:rsid w:val="0A6678A9"/>
    <w:rsid w:val="0AC738DD"/>
    <w:rsid w:val="0AD23F8C"/>
    <w:rsid w:val="0B021C2D"/>
    <w:rsid w:val="0B535261"/>
    <w:rsid w:val="0B7F4E08"/>
    <w:rsid w:val="0B863977"/>
    <w:rsid w:val="0BC1535C"/>
    <w:rsid w:val="0C306E23"/>
    <w:rsid w:val="0C8F36E6"/>
    <w:rsid w:val="0CB832EC"/>
    <w:rsid w:val="0CC311CB"/>
    <w:rsid w:val="0CC55A09"/>
    <w:rsid w:val="0CED540D"/>
    <w:rsid w:val="0D0D1FFD"/>
    <w:rsid w:val="0D49549C"/>
    <w:rsid w:val="0D5238E7"/>
    <w:rsid w:val="0D793C02"/>
    <w:rsid w:val="0D8A30F8"/>
    <w:rsid w:val="0D8F7E6E"/>
    <w:rsid w:val="0DA6583B"/>
    <w:rsid w:val="0DA85BC9"/>
    <w:rsid w:val="0DB82BA6"/>
    <w:rsid w:val="0DC36296"/>
    <w:rsid w:val="0DF27FC9"/>
    <w:rsid w:val="0DFB0225"/>
    <w:rsid w:val="0E01259C"/>
    <w:rsid w:val="0E0E518E"/>
    <w:rsid w:val="0E3E109B"/>
    <w:rsid w:val="0E5B7801"/>
    <w:rsid w:val="0E8A076A"/>
    <w:rsid w:val="0ED26F94"/>
    <w:rsid w:val="0F1C4046"/>
    <w:rsid w:val="0F3E1D1E"/>
    <w:rsid w:val="0F47441E"/>
    <w:rsid w:val="0F87344A"/>
    <w:rsid w:val="0F875844"/>
    <w:rsid w:val="0F8C7A9D"/>
    <w:rsid w:val="0F910015"/>
    <w:rsid w:val="0FB00207"/>
    <w:rsid w:val="0FD03761"/>
    <w:rsid w:val="0FD43E0E"/>
    <w:rsid w:val="1029762B"/>
    <w:rsid w:val="103E0B83"/>
    <w:rsid w:val="10F16804"/>
    <w:rsid w:val="10F64B11"/>
    <w:rsid w:val="113465EC"/>
    <w:rsid w:val="113F0366"/>
    <w:rsid w:val="116F23E8"/>
    <w:rsid w:val="11711E15"/>
    <w:rsid w:val="1182232B"/>
    <w:rsid w:val="119F2CCD"/>
    <w:rsid w:val="11CA471B"/>
    <w:rsid w:val="120C2B56"/>
    <w:rsid w:val="124B526E"/>
    <w:rsid w:val="12815F39"/>
    <w:rsid w:val="128436C2"/>
    <w:rsid w:val="12887410"/>
    <w:rsid w:val="12921342"/>
    <w:rsid w:val="129C720C"/>
    <w:rsid w:val="12E126DE"/>
    <w:rsid w:val="12ED3A32"/>
    <w:rsid w:val="12F546F4"/>
    <w:rsid w:val="12FF699D"/>
    <w:rsid w:val="13257E3E"/>
    <w:rsid w:val="134A0CDA"/>
    <w:rsid w:val="13836229"/>
    <w:rsid w:val="13977899"/>
    <w:rsid w:val="13B51625"/>
    <w:rsid w:val="13E85A84"/>
    <w:rsid w:val="141C347C"/>
    <w:rsid w:val="14222178"/>
    <w:rsid w:val="14821355"/>
    <w:rsid w:val="14A175E1"/>
    <w:rsid w:val="14A46E3A"/>
    <w:rsid w:val="14BC76AF"/>
    <w:rsid w:val="14CE01F9"/>
    <w:rsid w:val="15023C9F"/>
    <w:rsid w:val="15084AC9"/>
    <w:rsid w:val="15150A38"/>
    <w:rsid w:val="152246AD"/>
    <w:rsid w:val="15406635"/>
    <w:rsid w:val="15A01728"/>
    <w:rsid w:val="15B52739"/>
    <w:rsid w:val="15C22E84"/>
    <w:rsid w:val="15EB7D18"/>
    <w:rsid w:val="165D6CB3"/>
    <w:rsid w:val="16A25976"/>
    <w:rsid w:val="16A43F5F"/>
    <w:rsid w:val="16BC402D"/>
    <w:rsid w:val="16E90D1C"/>
    <w:rsid w:val="170D75CC"/>
    <w:rsid w:val="171A114D"/>
    <w:rsid w:val="172A480E"/>
    <w:rsid w:val="173062C1"/>
    <w:rsid w:val="173A73BE"/>
    <w:rsid w:val="1740144D"/>
    <w:rsid w:val="179771CE"/>
    <w:rsid w:val="17A378E6"/>
    <w:rsid w:val="17EF431F"/>
    <w:rsid w:val="18037EAE"/>
    <w:rsid w:val="180D5DB4"/>
    <w:rsid w:val="180E5FC9"/>
    <w:rsid w:val="1835086F"/>
    <w:rsid w:val="18B166BF"/>
    <w:rsid w:val="18B71F66"/>
    <w:rsid w:val="19081695"/>
    <w:rsid w:val="19105FC6"/>
    <w:rsid w:val="1963464A"/>
    <w:rsid w:val="19A2284F"/>
    <w:rsid w:val="19A31022"/>
    <w:rsid w:val="19B103E5"/>
    <w:rsid w:val="19F80D41"/>
    <w:rsid w:val="1A0A0EFF"/>
    <w:rsid w:val="1A0B5FA9"/>
    <w:rsid w:val="1A0E7A17"/>
    <w:rsid w:val="1A201BB0"/>
    <w:rsid w:val="1A2E2E40"/>
    <w:rsid w:val="1A5A496A"/>
    <w:rsid w:val="1A830605"/>
    <w:rsid w:val="1AA03612"/>
    <w:rsid w:val="1AD130EA"/>
    <w:rsid w:val="1AD5102C"/>
    <w:rsid w:val="1B0472AA"/>
    <w:rsid w:val="1B3935BD"/>
    <w:rsid w:val="1B3A156F"/>
    <w:rsid w:val="1B9C2FB2"/>
    <w:rsid w:val="1BA4070A"/>
    <w:rsid w:val="1BB41BDB"/>
    <w:rsid w:val="1BD631DB"/>
    <w:rsid w:val="1BD83D3E"/>
    <w:rsid w:val="1BE0460E"/>
    <w:rsid w:val="1BED4739"/>
    <w:rsid w:val="1C5F6A5B"/>
    <w:rsid w:val="1C685DDF"/>
    <w:rsid w:val="1C976DEE"/>
    <w:rsid w:val="1CA76B55"/>
    <w:rsid w:val="1CBC68C7"/>
    <w:rsid w:val="1CC74480"/>
    <w:rsid w:val="1CF03997"/>
    <w:rsid w:val="1CF503ED"/>
    <w:rsid w:val="1D70064D"/>
    <w:rsid w:val="1D787557"/>
    <w:rsid w:val="1D7A45EE"/>
    <w:rsid w:val="1D872383"/>
    <w:rsid w:val="1D8777C5"/>
    <w:rsid w:val="1D8A2B55"/>
    <w:rsid w:val="1DB411C8"/>
    <w:rsid w:val="1DB45D69"/>
    <w:rsid w:val="1DDD64B8"/>
    <w:rsid w:val="1DF36623"/>
    <w:rsid w:val="1E0B5246"/>
    <w:rsid w:val="1E8A260F"/>
    <w:rsid w:val="1E9B481C"/>
    <w:rsid w:val="1EAD0292"/>
    <w:rsid w:val="1F075B12"/>
    <w:rsid w:val="1F303180"/>
    <w:rsid w:val="1F5A6AD7"/>
    <w:rsid w:val="1FC21ED8"/>
    <w:rsid w:val="1FE5698B"/>
    <w:rsid w:val="1FFC5024"/>
    <w:rsid w:val="20340094"/>
    <w:rsid w:val="20763646"/>
    <w:rsid w:val="208C7DE6"/>
    <w:rsid w:val="208E5FCC"/>
    <w:rsid w:val="208F6E7F"/>
    <w:rsid w:val="20A15EE7"/>
    <w:rsid w:val="20A420AE"/>
    <w:rsid w:val="20F27FA7"/>
    <w:rsid w:val="21144741"/>
    <w:rsid w:val="213B7727"/>
    <w:rsid w:val="2158438F"/>
    <w:rsid w:val="21623E27"/>
    <w:rsid w:val="21711C1D"/>
    <w:rsid w:val="21BC496F"/>
    <w:rsid w:val="21D17E42"/>
    <w:rsid w:val="220B0FAE"/>
    <w:rsid w:val="223763F5"/>
    <w:rsid w:val="22525844"/>
    <w:rsid w:val="225409EC"/>
    <w:rsid w:val="22CE22F6"/>
    <w:rsid w:val="22D842CC"/>
    <w:rsid w:val="22D97DA6"/>
    <w:rsid w:val="2320546B"/>
    <w:rsid w:val="23810484"/>
    <w:rsid w:val="23970793"/>
    <w:rsid w:val="23E7140A"/>
    <w:rsid w:val="23F47F06"/>
    <w:rsid w:val="24084450"/>
    <w:rsid w:val="24155071"/>
    <w:rsid w:val="24652D4B"/>
    <w:rsid w:val="24AD1217"/>
    <w:rsid w:val="24AE37A8"/>
    <w:rsid w:val="24BE19D8"/>
    <w:rsid w:val="24FC7B37"/>
    <w:rsid w:val="25055842"/>
    <w:rsid w:val="25113A0C"/>
    <w:rsid w:val="251C3CB1"/>
    <w:rsid w:val="2532560A"/>
    <w:rsid w:val="25720126"/>
    <w:rsid w:val="257374E6"/>
    <w:rsid w:val="258B5E04"/>
    <w:rsid w:val="259848E7"/>
    <w:rsid w:val="25CF18AC"/>
    <w:rsid w:val="25EA73AA"/>
    <w:rsid w:val="26016FB7"/>
    <w:rsid w:val="261626ED"/>
    <w:rsid w:val="263C2AF1"/>
    <w:rsid w:val="26563C7A"/>
    <w:rsid w:val="26623539"/>
    <w:rsid w:val="26C02105"/>
    <w:rsid w:val="26D53F50"/>
    <w:rsid w:val="26E06AFC"/>
    <w:rsid w:val="26EF69C9"/>
    <w:rsid w:val="26F64813"/>
    <w:rsid w:val="270C0055"/>
    <w:rsid w:val="2730532F"/>
    <w:rsid w:val="27534CD8"/>
    <w:rsid w:val="275E216C"/>
    <w:rsid w:val="2781532C"/>
    <w:rsid w:val="278341C4"/>
    <w:rsid w:val="27F57A9B"/>
    <w:rsid w:val="27F85B1E"/>
    <w:rsid w:val="287676C0"/>
    <w:rsid w:val="28A11804"/>
    <w:rsid w:val="28D95DE0"/>
    <w:rsid w:val="28E0572C"/>
    <w:rsid w:val="28ED2118"/>
    <w:rsid w:val="292A3DEA"/>
    <w:rsid w:val="29921F52"/>
    <w:rsid w:val="299B32FA"/>
    <w:rsid w:val="29AA29AD"/>
    <w:rsid w:val="29EB4127"/>
    <w:rsid w:val="2A156710"/>
    <w:rsid w:val="2A4F5D51"/>
    <w:rsid w:val="2A6B2C19"/>
    <w:rsid w:val="2A773886"/>
    <w:rsid w:val="2A782A9D"/>
    <w:rsid w:val="2B200583"/>
    <w:rsid w:val="2B292B04"/>
    <w:rsid w:val="2B4678AF"/>
    <w:rsid w:val="2B6E31F3"/>
    <w:rsid w:val="2B7B2662"/>
    <w:rsid w:val="2B9B2250"/>
    <w:rsid w:val="2B9E00A4"/>
    <w:rsid w:val="2BB92AA2"/>
    <w:rsid w:val="2BC96883"/>
    <w:rsid w:val="2C2E4828"/>
    <w:rsid w:val="2C301336"/>
    <w:rsid w:val="2C3D6FBE"/>
    <w:rsid w:val="2C7F0395"/>
    <w:rsid w:val="2C844EC0"/>
    <w:rsid w:val="2C91405E"/>
    <w:rsid w:val="2CB80124"/>
    <w:rsid w:val="2D473DCB"/>
    <w:rsid w:val="2DA60AE7"/>
    <w:rsid w:val="2DAF763F"/>
    <w:rsid w:val="2DF10314"/>
    <w:rsid w:val="2E027383"/>
    <w:rsid w:val="2E197FDC"/>
    <w:rsid w:val="2E34648D"/>
    <w:rsid w:val="2E354C8E"/>
    <w:rsid w:val="2EA144EE"/>
    <w:rsid w:val="2EA56B20"/>
    <w:rsid w:val="2EB664FB"/>
    <w:rsid w:val="2EB931C8"/>
    <w:rsid w:val="2EC3269A"/>
    <w:rsid w:val="2ED6374D"/>
    <w:rsid w:val="2EDF709C"/>
    <w:rsid w:val="2F1279E8"/>
    <w:rsid w:val="2F9E416C"/>
    <w:rsid w:val="2FA37EA2"/>
    <w:rsid w:val="2FA774C5"/>
    <w:rsid w:val="2FA91811"/>
    <w:rsid w:val="2FB62971"/>
    <w:rsid w:val="3000163C"/>
    <w:rsid w:val="30183546"/>
    <w:rsid w:val="30416AFF"/>
    <w:rsid w:val="30AB52BA"/>
    <w:rsid w:val="30B17D77"/>
    <w:rsid w:val="30E94F08"/>
    <w:rsid w:val="30EA341C"/>
    <w:rsid w:val="315B269F"/>
    <w:rsid w:val="316E12F8"/>
    <w:rsid w:val="31855066"/>
    <w:rsid w:val="319E5724"/>
    <w:rsid w:val="31C0386D"/>
    <w:rsid w:val="31E27011"/>
    <w:rsid w:val="31F90047"/>
    <w:rsid w:val="3202440F"/>
    <w:rsid w:val="322F72FD"/>
    <w:rsid w:val="322F7D95"/>
    <w:rsid w:val="3255588F"/>
    <w:rsid w:val="325D1E83"/>
    <w:rsid w:val="32601BAD"/>
    <w:rsid w:val="326F5787"/>
    <w:rsid w:val="3273746D"/>
    <w:rsid w:val="32935879"/>
    <w:rsid w:val="32BA6E40"/>
    <w:rsid w:val="32CE16A6"/>
    <w:rsid w:val="32DC59DF"/>
    <w:rsid w:val="32DC7485"/>
    <w:rsid w:val="32F75F47"/>
    <w:rsid w:val="330F2CC9"/>
    <w:rsid w:val="331A39A4"/>
    <w:rsid w:val="33AB1AA6"/>
    <w:rsid w:val="33CF54A4"/>
    <w:rsid w:val="33F77AE1"/>
    <w:rsid w:val="340C0CA4"/>
    <w:rsid w:val="3411717C"/>
    <w:rsid w:val="3472034B"/>
    <w:rsid w:val="347B786C"/>
    <w:rsid w:val="34AA178F"/>
    <w:rsid w:val="34F60068"/>
    <w:rsid w:val="3508393E"/>
    <w:rsid w:val="3565648C"/>
    <w:rsid w:val="359E6C74"/>
    <w:rsid w:val="35D823DC"/>
    <w:rsid w:val="36293A58"/>
    <w:rsid w:val="3663010C"/>
    <w:rsid w:val="36651CC9"/>
    <w:rsid w:val="366C3B70"/>
    <w:rsid w:val="367118E8"/>
    <w:rsid w:val="36855D45"/>
    <w:rsid w:val="36B710DC"/>
    <w:rsid w:val="36B84B1E"/>
    <w:rsid w:val="36BE0D16"/>
    <w:rsid w:val="36C92726"/>
    <w:rsid w:val="36EF4CE8"/>
    <w:rsid w:val="36F00D16"/>
    <w:rsid w:val="36F0516E"/>
    <w:rsid w:val="37032EE2"/>
    <w:rsid w:val="370469DD"/>
    <w:rsid w:val="373755EC"/>
    <w:rsid w:val="375135BC"/>
    <w:rsid w:val="377512C0"/>
    <w:rsid w:val="37BA3AAE"/>
    <w:rsid w:val="37E67120"/>
    <w:rsid w:val="37F7413E"/>
    <w:rsid w:val="38012BFF"/>
    <w:rsid w:val="38397128"/>
    <w:rsid w:val="38472535"/>
    <w:rsid w:val="385659FC"/>
    <w:rsid w:val="386A5040"/>
    <w:rsid w:val="386C370C"/>
    <w:rsid w:val="38877E93"/>
    <w:rsid w:val="38906E18"/>
    <w:rsid w:val="389A4356"/>
    <w:rsid w:val="38BC2A36"/>
    <w:rsid w:val="38EA264C"/>
    <w:rsid w:val="38EF7D6D"/>
    <w:rsid w:val="39036BF7"/>
    <w:rsid w:val="3904472C"/>
    <w:rsid w:val="39300D4F"/>
    <w:rsid w:val="39AB5DEB"/>
    <w:rsid w:val="39C36592"/>
    <w:rsid w:val="39CB3D16"/>
    <w:rsid w:val="39E70E24"/>
    <w:rsid w:val="39FC31AA"/>
    <w:rsid w:val="3A0C07ED"/>
    <w:rsid w:val="3A2A761A"/>
    <w:rsid w:val="3A417D0B"/>
    <w:rsid w:val="3A574A2B"/>
    <w:rsid w:val="3A870395"/>
    <w:rsid w:val="3A9E04A0"/>
    <w:rsid w:val="3AA31BF5"/>
    <w:rsid w:val="3AC8495D"/>
    <w:rsid w:val="3ADC15B2"/>
    <w:rsid w:val="3AE64165"/>
    <w:rsid w:val="3B1E4E50"/>
    <w:rsid w:val="3B2E0A9A"/>
    <w:rsid w:val="3B3A7FDA"/>
    <w:rsid w:val="3B404329"/>
    <w:rsid w:val="3B637B73"/>
    <w:rsid w:val="3B7B1551"/>
    <w:rsid w:val="3B7F0FEB"/>
    <w:rsid w:val="3B892174"/>
    <w:rsid w:val="3B936DF6"/>
    <w:rsid w:val="3BB723AD"/>
    <w:rsid w:val="3BC760E6"/>
    <w:rsid w:val="3BEE61FC"/>
    <w:rsid w:val="3C1B5DBB"/>
    <w:rsid w:val="3C556598"/>
    <w:rsid w:val="3C6D73A0"/>
    <w:rsid w:val="3C7545D8"/>
    <w:rsid w:val="3C9B47F7"/>
    <w:rsid w:val="3CD374E2"/>
    <w:rsid w:val="3CED7EEE"/>
    <w:rsid w:val="3D1A6442"/>
    <w:rsid w:val="3D385C00"/>
    <w:rsid w:val="3D6C4CF7"/>
    <w:rsid w:val="3D796B2B"/>
    <w:rsid w:val="3DAB012F"/>
    <w:rsid w:val="3DE46198"/>
    <w:rsid w:val="3E2A436D"/>
    <w:rsid w:val="3E5D4653"/>
    <w:rsid w:val="3E617D6C"/>
    <w:rsid w:val="3E8A4E7D"/>
    <w:rsid w:val="3E8E3B3A"/>
    <w:rsid w:val="3EB43DDD"/>
    <w:rsid w:val="3EB6034C"/>
    <w:rsid w:val="3EEC6CA2"/>
    <w:rsid w:val="3EF22966"/>
    <w:rsid w:val="3EF51CC1"/>
    <w:rsid w:val="3F0F24B1"/>
    <w:rsid w:val="3F2D2017"/>
    <w:rsid w:val="3F3B7F5B"/>
    <w:rsid w:val="3F4437E7"/>
    <w:rsid w:val="3F551F4F"/>
    <w:rsid w:val="3F6D5348"/>
    <w:rsid w:val="3F777DE3"/>
    <w:rsid w:val="3F8E192F"/>
    <w:rsid w:val="3F9E4743"/>
    <w:rsid w:val="3FAB0C42"/>
    <w:rsid w:val="3FAF5D57"/>
    <w:rsid w:val="3FCB1315"/>
    <w:rsid w:val="3FCB7E3A"/>
    <w:rsid w:val="4019721C"/>
    <w:rsid w:val="402B222C"/>
    <w:rsid w:val="40574261"/>
    <w:rsid w:val="405C5540"/>
    <w:rsid w:val="40807DC2"/>
    <w:rsid w:val="40F9613D"/>
    <w:rsid w:val="412675B6"/>
    <w:rsid w:val="417419B8"/>
    <w:rsid w:val="41925DC2"/>
    <w:rsid w:val="41E0636B"/>
    <w:rsid w:val="41F416AA"/>
    <w:rsid w:val="422E3AEF"/>
    <w:rsid w:val="427A5A84"/>
    <w:rsid w:val="427F607F"/>
    <w:rsid w:val="42AC7049"/>
    <w:rsid w:val="42B63169"/>
    <w:rsid w:val="42E448B3"/>
    <w:rsid w:val="42E546DB"/>
    <w:rsid w:val="42F07645"/>
    <w:rsid w:val="42F70386"/>
    <w:rsid w:val="430F4B4F"/>
    <w:rsid w:val="432D47C3"/>
    <w:rsid w:val="433B23F7"/>
    <w:rsid w:val="4360444C"/>
    <w:rsid w:val="436E50D6"/>
    <w:rsid w:val="4372604E"/>
    <w:rsid w:val="43B47F4E"/>
    <w:rsid w:val="43EC7B17"/>
    <w:rsid w:val="442F205C"/>
    <w:rsid w:val="44325F7D"/>
    <w:rsid w:val="44721B99"/>
    <w:rsid w:val="447255D5"/>
    <w:rsid w:val="448D337E"/>
    <w:rsid w:val="44D019D0"/>
    <w:rsid w:val="44D50C9D"/>
    <w:rsid w:val="44FE772F"/>
    <w:rsid w:val="450B1EA1"/>
    <w:rsid w:val="45274E6C"/>
    <w:rsid w:val="453F04F6"/>
    <w:rsid w:val="458279C0"/>
    <w:rsid w:val="45A34576"/>
    <w:rsid w:val="45AD332F"/>
    <w:rsid w:val="45DA5FA7"/>
    <w:rsid w:val="46120C17"/>
    <w:rsid w:val="463A6654"/>
    <w:rsid w:val="4692036C"/>
    <w:rsid w:val="469A03C1"/>
    <w:rsid w:val="46FD703B"/>
    <w:rsid w:val="47256FDA"/>
    <w:rsid w:val="472840A9"/>
    <w:rsid w:val="4734568A"/>
    <w:rsid w:val="47513FA7"/>
    <w:rsid w:val="476929C5"/>
    <w:rsid w:val="47777325"/>
    <w:rsid w:val="47A262CF"/>
    <w:rsid w:val="47A72E95"/>
    <w:rsid w:val="47AE6542"/>
    <w:rsid w:val="481F431E"/>
    <w:rsid w:val="48292444"/>
    <w:rsid w:val="48305A15"/>
    <w:rsid w:val="48513458"/>
    <w:rsid w:val="48557A9E"/>
    <w:rsid w:val="48646465"/>
    <w:rsid w:val="487705F7"/>
    <w:rsid w:val="48AC50A3"/>
    <w:rsid w:val="48C07BA1"/>
    <w:rsid w:val="48E91920"/>
    <w:rsid w:val="48F650FE"/>
    <w:rsid w:val="491815D5"/>
    <w:rsid w:val="49275C14"/>
    <w:rsid w:val="49311755"/>
    <w:rsid w:val="496128B3"/>
    <w:rsid w:val="49AF5D7C"/>
    <w:rsid w:val="49C13EF4"/>
    <w:rsid w:val="49D84EAA"/>
    <w:rsid w:val="49E1317B"/>
    <w:rsid w:val="49E4084D"/>
    <w:rsid w:val="49F71B2F"/>
    <w:rsid w:val="4A396B13"/>
    <w:rsid w:val="4A503792"/>
    <w:rsid w:val="4A6F2535"/>
    <w:rsid w:val="4A7654F8"/>
    <w:rsid w:val="4A890FC7"/>
    <w:rsid w:val="4AEC430F"/>
    <w:rsid w:val="4B281C90"/>
    <w:rsid w:val="4B3F05DB"/>
    <w:rsid w:val="4B692080"/>
    <w:rsid w:val="4B695C9A"/>
    <w:rsid w:val="4B795284"/>
    <w:rsid w:val="4B9330EC"/>
    <w:rsid w:val="4BBB25CD"/>
    <w:rsid w:val="4BBB46A1"/>
    <w:rsid w:val="4BCE361F"/>
    <w:rsid w:val="4BD3671F"/>
    <w:rsid w:val="4C221A9A"/>
    <w:rsid w:val="4C3F7574"/>
    <w:rsid w:val="4C602262"/>
    <w:rsid w:val="4C9C7182"/>
    <w:rsid w:val="4CA17233"/>
    <w:rsid w:val="4CCF375F"/>
    <w:rsid w:val="4D2656E8"/>
    <w:rsid w:val="4D4941E9"/>
    <w:rsid w:val="4D58130B"/>
    <w:rsid w:val="4D7A5A92"/>
    <w:rsid w:val="4D7F1BDE"/>
    <w:rsid w:val="4DD06CF7"/>
    <w:rsid w:val="4DEF681E"/>
    <w:rsid w:val="4DFE0021"/>
    <w:rsid w:val="4E2279AF"/>
    <w:rsid w:val="4E27437C"/>
    <w:rsid w:val="4E4A1167"/>
    <w:rsid w:val="4E4C0605"/>
    <w:rsid w:val="4E602FCE"/>
    <w:rsid w:val="4E8110B9"/>
    <w:rsid w:val="4EB91DBD"/>
    <w:rsid w:val="4EBA2FA4"/>
    <w:rsid w:val="4ECB6D0F"/>
    <w:rsid w:val="4EFA601A"/>
    <w:rsid w:val="4F021EC1"/>
    <w:rsid w:val="4F0E505B"/>
    <w:rsid w:val="4F3B64E5"/>
    <w:rsid w:val="4F7149B9"/>
    <w:rsid w:val="4F7F5871"/>
    <w:rsid w:val="4FA34A1D"/>
    <w:rsid w:val="4FA9473B"/>
    <w:rsid w:val="4FE37040"/>
    <w:rsid w:val="4FF51EF5"/>
    <w:rsid w:val="4FFE52E2"/>
    <w:rsid w:val="506055FD"/>
    <w:rsid w:val="507518B0"/>
    <w:rsid w:val="5082250C"/>
    <w:rsid w:val="50833297"/>
    <w:rsid w:val="50A007FE"/>
    <w:rsid w:val="50A70C7B"/>
    <w:rsid w:val="50A941CF"/>
    <w:rsid w:val="50C664D0"/>
    <w:rsid w:val="50CC2751"/>
    <w:rsid w:val="510F639F"/>
    <w:rsid w:val="513760F4"/>
    <w:rsid w:val="51B318A1"/>
    <w:rsid w:val="51B32353"/>
    <w:rsid w:val="51D41B2D"/>
    <w:rsid w:val="51FC6CE1"/>
    <w:rsid w:val="52004CCE"/>
    <w:rsid w:val="523F0850"/>
    <w:rsid w:val="527C044E"/>
    <w:rsid w:val="52AF0738"/>
    <w:rsid w:val="52D44EBD"/>
    <w:rsid w:val="53615483"/>
    <w:rsid w:val="536413C1"/>
    <w:rsid w:val="53701493"/>
    <w:rsid w:val="539820DA"/>
    <w:rsid w:val="53DB2DF4"/>
    <w:rsid w:val="544B7CFB"/>
    <w:rsid w:val="544F1F63"/>
    <w:rsid w:val="548016B0"/>
    <w:rsid w:val="54913993"/>
    <w:rsid w:val="54A54FC3"/>
    <w:rsid w:val="54BA6E7C"/>
    <w:rsid w:val="54BD05F4"/>
    <w:rsid w:val="54F66261"/>
    <w:rsid w:val="54FF5E40"/>
    <w:rsid w:val="550E5019"/>
    <w:rsid w:val="553073AE"/>
    <w:rsid w:val="553450C6"/>
    <w:rsid w:val="55397042"/>
    <w:rsid w:val="55E53FF3"/>
    <w:rsid w:val="55E64B8F"/>
    <w:rsid w:val="561A38C4"/>
    <w:rsid w:val="56835CE6"/>
    <w:rsid w:val="57273023"/>
    <w:rsid w:val="57AB70B8"/>
    <w:rsid w:val="57D81264"/>
    <w:rsid w:val="58247E36"/>
    <w:rsid w:val="58534D5F"/>
    <w:rsid w:val="58593647"/>
    <w:rsid w:val="58692B35"/>
    <w:rsid w:val="588E2720"/>
    <w:rsid w:val="58AF2E87"/>
    <w:rsid w:val="58CC1383"/>
    <w:rsid w:val="5939268C"/>
    <w:rsid w:val="59396B30"/>
    <w:rsid w:val="593A182D"/>
    <w:rsid w:val="594B23BF"/>
    <w:rsid w:val="59A50F25"/>
    <w:rsid w:val="59E57EC6"/>
    <w:rsid w:val="5A3F784A"/>
    <w:rsid w:val="5A412505"/>
    <w:rsid w:val="5A533F6D"/>
    <w:rsid w:val="5AA90E03"/>
    <w:rsid w:val="5AB10E18"/>
    <w:rsid w:val="5AC67C54"/>
    <w:rsid w:val="5AF531E6"/>
    <w:rsid w:val="5B730954"/>
    <w:rsid w:val="5BB42ADE"/>
    <w:rsid w:val="5BCC56CC"/>
    <w:rsid w:val="5BE70578"/>
    <w:rsid w:val="5BFC65E3"/>
    <w:rsid w:val="5C0B756E"/>
    <w:rsid w:val="5C5A4B82"/>
    <w:rsid w:val="5C7B46A9"/>
    <w:rsid w:val="5C8E0DE6"/>
    <w:rsid w:val="5CAE48F9"/>
    <w:rsid w:val="5CC92BB0"/>
    <w:rsid w:val="5CE04819"/>
    <w:rsid w:val="5D0D692F"/>
    <w:rsid w:val="5D11008D"/>
    <w:rsid w:val="5D3800E1"/>
    <w:rsid w:val="5D42426D"/>
    <w:rsid w:val="5DB75F8F"/>
    <w:rsid w:val="5DDF23BA"/>
    <w:rsid w:val="5DF25199"/>
    <w:rsid w:val="5E5103BE"/>
    <w:rsid w:val="5E615EA5"/>
    <w:rsid w:val="5E6463FD"/>
    <w:rsid w:val="5E6D2781"/>
    <w:rsid w:val="5E773ADA"/>
    <w:rsid w:val="5E777287"/>
    <w:rsid w:val="5E825FCF"/>
    <w:rsid w:val="5E861B51"/>
    <w:rsid w:val="5E873DAB"/>
    <w:rsid w:val="5EB73EA7"/>
    <w:rsid w:val="5EC44B7C"/>
    <w:rsid w:val="5EDA054D"/>
    <w:rsid w:val="5F465B03"/>
    <w:rsid w:val="5F5C1EA0"/>
    <w:rsid w:val="5F6B41CA"/>
    <w:rsid w:val="5FA6034F"/>
    <w:rsid w:val="5FAD3894"/>
    <w:rsid w:val="6017753B"/>
    <w:rsid w:val="607448F1"/>
    <w:rsid w:val="60950C4D"/>
    <w:rsid w:val="60B0396B"/>
    <w:rsid w:val="60F57B0A"/>
    <w:rsid w:val="6103483E"/>
    <w:rsid w:val="61794811"/>
    <w:rsid w:val="618809C8"/>
    <w:rsid w:val="618C28C3"/>
    <w:rsid w:val="61AC1FF9"/>
    <w:rsid w:val="61B80EB5"/>
    <w:rsid w:val="61BB2110"/>
    <w:rsid w:val="621C433F"/>
    <w:rsid w:val="621F1672"/>
    <w:rsid w:val="623205C0"/>
    <w:rsid w:val="623F743E"/>
    <w:rsid w:val="62786B7D"/>
    <w:rsid w:val="62886E85"/>
    <w:rsid w:val="62A266B4"/>
    <w:rsid w:val="62B41F29"/>
    <w:rsid w:val="63163F9D"/>
    <w:rsid w:val="632C58DE"/>
    <w:rsid w:val="6342253B"/>
    <w:rsid w:val="634B0702"/>
    <w:rsid w:val="634F6962"/>
    <w:rsid w:val="63522B9E"/>
    <w:rsid w:val="635D78BF"/>
    <w:rsid w:val="637243B1"/>
    <w:rsid w:val="637E2968"/>
    <w:rsid w:val="63904A0A"/>
    <w:rsid w:val="63B63F59"/>
    <w:rsid w:val="63C8367D"/>
    <w:rsid w:val="63E06FAA"/>
    <w:rsid w:val="644B7972"/>
    <w:rsid w:val="64702C08"/>
    <w:rsid w:val="64884AEA"/>
    <w:rsid w:val="6541039B"/>
    <w:rsid w:val="65520ECC"/>
    <w:rsid w:val="655809F6"/>
    <w:rsid w:val="655E313D"/>
    <w:rsid w:val="656435D5"/>
    <w:rsid w:val="65A220B2"/>
    <w:rsid w:val="65D8322D"/>
    <w:rsid w:val="65EB3CAB"/>
    <w:rsid w:val="65F17732"/>
    <w:rsid w:val="65FE7137"/>
    <w:rsid w:val="660C5D78"/>
    <w:rsid w:val="6612703C"/>
    <w:rsid w:val="661C03BE"/>
    <w:rsid w:val="664377E5"/>
    <w:rsid w:val="66506F5A"/>
    <w:rsid w:val="6654282F"/>
    <w:rsid w:val="666F2E3B"/>
    <w:rsid w:val="66831A9E"/>
    <w:rsid w:val="66B346E8"/>
    <w:rsid w:val="66FB69C9"/>
    <w:rsid w:val="67024A05"/>
    <w:rsid w:val="670273E5"/>
    <w:rsid w:val="6707668E"/>
    <w:rsid w:val="67114E28"/>
    <w:rsid w:val="672C208E"/>
    <w:rsid w:val="674010D1"/>
    <w:rsid w:val="67515045"/>
    <w:rsid w:val="67552B05"/>
    <w:rsid w:val="6762575A"/>
    <w:rsid w:val="677A246D"/>
    <w:rsid w:val="678178E4"/>
    <w:rsid w:val="679B2764"/>
    <w:rsid w:val="680B5B3B"/>
    <w:rsid w:val="683209DC"/>
    <w:rsid w:val="68444BA9"/>
    <w:rsid w:val="68515D03"/>
    <w:rsid w:val="6863139F"/>
    <w:rsid w:val="68662D72"/>
    <w:rsid w:val="687C30B3"/>
    <w:rsid w:val="689F76D7"/>
    <w:rsid w:val="69375C26"/>
    <w:rsid w:val="693D2CCE"/>
    <w:rsid w:val="69543161"/>
    <w:rsid w:val="69672C91"/>
    <w:rsid w:val="69701B7B"/>
    <w:rsid w:val="69855479"/>
    <w:rsid w:val="69AA1208"/>
    <w:rsid w:val="69DD2203"/>
    <w:rsid w:val="69E133DF"/>
    <w:rsid w:val="69FA3DC2"/>
    <w:rsid w:val="69FA40E3"/>
    <w:rsid w:val="6A153D35"/>
    <w:rsid w:val="6A162788"/>
    <w:rsid w:val="6A5E668B"/>
    <w:rsid w:val="6ABD768F"/>
    <w:rsid w:val="6AED35ED"/>
    <w:rsid w:val="6AF07E93"/>
    <w:rsid w:val="6B0F4C1C"/>
    <w:rsid w:val="6B496F48"/>
    <w:rsid w:val="6B4D0FCA"/>
    <w:rsid w:val="6B5E49ED"/>
    <w:rsid w:val="6B7064B5"/>
    <w:rsid w:val="6BC07036"/>
    <w:rsid w:val="6BC87BBD"/>
    <w:rsid w:val="6BD7711C"/>
    <w:rsid w:val="6BD87525"/>
    <w:rsid w:val="6BE07736"/>
    <w:rsid w:val="6BF93167"/>
    <w:rsid w:val="6C130D6B"/>
    <w:rsid w:val="6C19106A"/>
    <w:rsid w:val="6C1F5D9B"/>
    <w:rsid w:val="6CC52694"/>
    <w:rsid w:val="6CCC2300"/>
    <w:rsid w:val="6D2B458A"/>
    <w:rsid w:val="6D5223F4"/>
    <w:rsid w:val="6D817275"/>
    <w:rsid w:val="6D990E91"/>
    <w:rsid w:val="6DA82994"/>
    <w:rsid w:val="6DBA195B"/>
    <w:rsid w:val="6DD26CE0"/>
    <w:rsid w:val="6DE52B9B"/>
    <w:rsid w:val="6DEB7497"/>
    <w:rsid w:val="6E082551"/>
    <w:rsid w:val="6E0D2512"/>
    <w:rsid w:val="6E1879B9"/>
    <w:rsid w:val="6E487AAA"/>
    <w:rsid w:val="6E7376DE"/>
    <w:rsid w:val="6E821660"/>
    <w:rsid w:val="6EA7225C"/>
    <w:rsid w:val="6ED07875"/>
    <w:rsid w:val="6F280D81"/>
    <w:rsid w:val="6F5A0C82"/>
    <w:rsid w:val="6F617724"/>
    <w:rsid w:val="6F8109B5"/>
    <w:rsid w:val="6F897982"/>
    <w:rsid w:val="6FC951E2"/>
    <w:rsid w:val="6FD9207B"/>
    <w:rsid w:val="700C5449"/>
    <w:rsid w:val="70152E80"/>
    <w:rsid w:val="70553063"/>
    <w:rsid w:val="707A560C"/>
    <w:rsid w:val="709976F3"/>
    <w:rsid w:val="70A25CC6"/>
    <w:rsid w:val="70BF1971"/>
    <w:rsid w:val="70CD2729"/>
    <w:rsid w:val="70F33611"/>
    <w:rsid w:val="70FE448F"/>
    <w:rsid w:val="710E3FA6"/>
    <w:rsid w:val="7118663F"/>
    <w:rsid w:val="714B2F60"/>
    <w:rsid w:val="71A67252"/>
    <w:rsid w:val="720B2280"/>
    <w:rsid w:val="72181429"/>
    <w:rsid w:val="726F4EB9"/>
    <w:rsid w:val="72857B47"/>
    <w:rsid w:val="72A1737F"/>
    <w:rsid w:val="72A466D5"/>
    <w:rsid w:val="72C839CF"/>
    <w:rsid w:val="72D359F1"/>
    <w:rsid w:val="72FB4336"/>
    <w:rsid w:val="730910E6"/>
    <w:rsid w:val="732B342B"/>
    <w:rsid w:val="735C08AE"/>
    <w:rsid w:val="73634A7D"/>
    <w:rsid w:val="73650989"/>
    <w:rsid w:val="738C05BC"/>
    <w:rsid w:val="73C43E85"/>
    <w:rsid w:val="73D55AFF"/>
    <w:rsid w:val="73DC7463"/>
    <w:rsid w:val="73DE2356"/>
    <w:rsid w:val="73DF1FAD"/>
    <w:rsid w:val="73FB2F08"/>
    <w:rsid w:val="74280393"/>
    <w:rsid w:val="74404DBF"/>
    <w:rsid w:val="748D7AEE"/>
    <w:rsid w:val="74942A15"/>
    <w:rsid w:val="74DB759E"/>
    <w:rsid w:val="74FF6EC8"/>
    <w:rsid w:val="750B288E"/>
    <w:rsid w:val="75223218"/>
    <w:rsid w:val="75297601"/>
    <w:rsid w:val="75334E74"/>
    <w:rsid w:val="75345A19"/>
    <w:rsid w:val="756845CD"/>
    <w:rsid w:val="756C61E2"/>
    <w:rsid w:val="75820A9B"/>
    <w:rsid w:val="75A910FE"/>
    <w:rsid w:val="75F67E35"/>
    <w:rsid w:val="76437173"/>
    <w:rsid w:val="765D69B9"/>
    <w:rsid w:val="766E051E"/>
    <w:rsid w:val="7684506E"/>
    <w:rsid w:val="76DA47F0"/>
    <w:rsid w:val="770541FA"/>
    <w:rsid w:val="77234D3C"/>
    <w:rsid w:val="774440CB"/>
    <w:rsid w:val="77705E24"/>
    <w:rsid w:val="77753443"/>
    <w:rsid w:val="77A07454"/>
    <w:rsid w:val="77BF249E"/>
    <w:rsid w:val="77D22A10"/>
    <w:rsid w:val="77F87D26"/>
    <w:rsid w:val="782E374C"/>
    <w:rsid w:val="783E7D8D"/>
    <w:rsid w:val="78A5420C"/>
    <w:rsid w:val="78C47325"/>
    <w:rsid w:val="78E1291C"/>
    <w:rsid w:val="790949FA"/>
    <w:rsid w:val="796C683E"/>
    <w:rsid w:val="79877BFE"/>
    <w:rsid w:val="79A8657B"/>
    <w:rsid w:val="79C65829"/>
    <w:rsid w:val="79CB5D04"/>
    <w:rsid w:val="79D711FF"/>
    <w:rsid w:val="79E23884"/>
    <w:rsid w:val="7A082681"/>
    <w:rsid w:val="7A30147C"/>
    <w:rsid w:val="7AAD35D0"/>
    <w:rsid w:val="7AD17DDF"/>
    <w:rsid w:val="7AE0753B"/>
    <w:rsid w:val="7AE22820"/>
    <w:rsid w:val="7AF20495"/>
    <w:rsid w:val="7B042F89"/>
    <w:rsid w:val="7B1B38D0"/>
    <w:rsid w:val="7B1F6836"/>
    <w:rsid w:val="7B5B2A4F"/>
    <w:rsid w:val="7B5E0B90"/>
    <w:rsid w:val="7B600810"/>
    <w:rsid w:val="7B70048C"/>
    <w:rsid w:val="7BA76C36"/>
    <w:rsid w:val="7BAD6B49"/>
    <w:rsid w:val="7BE349AD"/>
    <w:rsid w:val="7BEE6EAE"/>
    <w:rsid w:val="7BF007D5"/>
    <w:rsid w:val="7C333066"/>
    <w:rsid w:val="7C6B0E9B"/>
    <w:rsid w:val="7C720137"/>
    <w:rsid w:val="7CA54D89"/>
    <w:rsid w:val="7CCC0223"/>
    <w:rsid w:val="7CD309DD"/>
    <w:rsid w:val="7CFB563C"/>
    <w:rsid w:val="7D4F7D19"/>
    <w:rsid w:val="7D5F52B3"/>
    <w:rsid w:val="7D691E2E"/>
    <w:rsid w:val="7D7D57B7"/>
    <w:rsid w:val="7DA01378"/>
    <w:rsid w:val="7DAA5EB0"/>
    <w:rsid w:val="7DB36601"/>
    <w:rsid w:val="7DEF677B"/>
    <w:rsid w:val="7E150C5F"/>
    <w:rsid w:val="7E310500"/>
    <w:rsid w:val="7E4315EB"/>
    <w:rsid w:val="7E66289A"/>
    <w:rsid w:val="7ECD48C0"/>
    <w:rsid w:val="7ECF2F59"/>
    <w:rsid w:val="7EDA0B94"/>
    <w:rsid w:val="7EEA7B32"/>
    <w:rsid w:val="7F193BFA"/>
    <w:rsid w:val="7F2457B6"/>
    <w:rsid w:val="7F6407A4"/>
    <w:rsid w:val="7F810F32"/>
    <w:rsid w:val="7F873B14"/>
    <w:rsid w:val="7F8A15E4"/>
    <w:rsid w:val="7F9609B6"/>
    <w:rsid w:val="7F9A59EF"/>
    <w:rsid w:val="7FB33EC8"/>
    <w:rsid w:val="7FE41462"/>
    <w:rsid w:val="7FF32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link w:val="54"/>
    <w:qFormat/>
    <w:uiPriority w:val="0"/>
    <w:pPr>
      <w:keepNext/>
      <w:keepLines/>
      <w:spacing w:before="120" w:after="120" w:line="360" w:lineRule="auto"/>
      <w:jc w:val="center"/>
      <w:outlineLvl w:val="1"/>
    </w:pPr>
    <w:rPr>
      <w:rFonts w:ascii="Arial" w:hAnsi="Arial"/>
      <w:b/>
      <w:bCs/>
      <w:sz w:val="28"/>
      <w:szCs w:val="32"/>
    </w:rPr>
  </w:style>
  <w:style w:type="paragraph" w:styleId="4">
    <w:name w:val="heading 3"/>
    <w:basedOn w:val="5"/>
    <w:next w:val="5"/>
    <w:link w:val="55"/>
    <w:qFormat/>
    <w:uiPriority w:val="0"/>
    <w:pPr>
      <w:keepNext/>
      <w:keepLines/>
      <w:spacing w:before="120" w:after="120"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6"/>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7"/>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8"/>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9"/>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60"/>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38">
    <w:name w:val="Default Paragraph Font"/>
    <w:semiHidden/>
    <w:unhideWhenUsed/>
    <w:qFormat/>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5">
    <w:name w:val="table of authorities"/>
    <w:basedOn w:val="1"/>
    <w:next w:val="1"/>
    <w:qFormat/>
    <w:uiPriority w:val="0"/>
    <w:pPr>
      <w:spacing w:before="100" w:beforeAutospacing="1" w:after="100" w:afterAutospacing="1"/>
      <w:ind w:left="420" w:leftChars="200"/>
    </w:pPr>
  </w:style>
  <w:style w:type="paragraph" w:styleId="12">
    <w:name w:val="Normal Indent"/>
    <w:basedOn w:val="1"/>
    <w:link w:val="6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13">
    <w:name w:val="Document Map"/>
    <w:basedOn w:val="1"/>
    <w:qFormat/>
    <w:uiPriority w:val="0"/>
    <w:pPr>
      <w:shd w:val="clear" w:color="auto" w:fill="000080"/>
    </w:p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62"/>
    <w:qFormat/>
    <w:uiPriority w:val="0"/>
    <w:pPr>
      <w:spacing w:line="240" w:lineRule="auto"/>
      <w:jc w:val="left"/>
    </w:pPr>
    <w:rPr>
      <w:szCs w:val="20"/>
    </w:rPr>
  </w:style>
  <w:style w:type="paragraph" w:styleId="16">
    <w:name w:val="Body Text 3"/>
    <w:basedOn w:val="1"/>
    <w:link w:val="63"/>
    <w:qFormat/>
    <w:uiPriority w:val="0"/>
    <w:pPr>
      <w:spacing w:after="120" w:line="240" w:lineRule="auto"/>
    </w:pPr>
    <w:rPr>
      <w:sz w:val="16"/>
      <w:szCs w:val="20"/>
    </w:rPr>
  </w:style>
  <w:style w:type="paragraph" w:styleId="17">
    <w:name w:val="Body Text"/>
    <w:basedOn w:val="1"/>
    <w:next w:val="1"/>
    <w:qFormat/>
    <w:uiPriority w:val="0"/>
    <w:rPr>
      <w:color w:val="993300"/>
      <w:sz w:val="24"/>
    </w:rPr>
  </w:style>
  <w:style w:type="paragraph" w:styleId="18">
    <w:name w:val="Body Text Indent"/>
    <w:basedOn w:val="1"/>
    <w:link w:val="180"/>
    <w:qFormat/>
    <w:uiPriority w:val="0"/>
    <w:pPr>
      <w:ind w:firstLine="480"/>
    </w:pPr>
    <w:rPr>
      <w:rFonts w:ascii="宋体" w:hAnsi="宋体"/>
    </w:rPr>
  </w:style>
  <w:style w:type="paragraph" w:styleId="19">
    <w:name w:val="toc 3"/>
    <w:basedOn w:val="1"/>
    <w:next w:val="1"/>
    <w:qFormat/>
    <w:uiPriority w:val="0"/>
    <w:pPr>
      <w:spacing w:line="240" w:lineRule="auto"/>
      <w:ind w:left="840" w:leftChars="400"/>
    </w:pPr>
  </w:style>
  <w:style w:type="paragraph" w:styleId="20">
    <w:name w:val="Plain Text"/>
    <w:basedOn w:val="1"/>
    <w:link w:val="64"/>
    <w:qFormat/>
    <w:uiPriority w:val="0"/>
    <w:rPr>
      <w:rFonts w:ascii="宋体" w:hAnsi="Courier New" w:cs="Courier New"/>
      <w:szCs w:val="21"/>
    </w:rPr>
  </w:style>
  <w:style w:type="paragraph" w:styleId="21">
    <w:name w:val="List Bullet 5"/>
    <w:basedOn w:val="1"/>
    <w:qFormat/>
    <w:uiPriority w:val="0"/>
    <w:pPr>
      <w:numPr>
        <w:ilvl w:val="0"/>
        <w:numId w:val="1"/>
      </w:numPr>
    </w:pPr>
  </w:style>
  <w:style w:type="paragraph" w:styleId="22">
    <w:name w:val="Date"/>
    <w:basedOn w:val="1"/>
    <w:next w:val="1"/>
    <w:qFormat/>
    <w:uiPriority w:val="0"/>
    <w:pPr>
      <w:spacing w:line="360" w:lineRule="auto"/>
    </w:pPr>
    <w:rPr>
      <w:rFonts w:ascii="宋体"/>
      <w:sz w:val="24"/>
      <w:szCs w:val="20"/>
    </w:rPr>
  </w:style>
  <w:style w:type="paragraph" w:styleId="23">
    <w:name w:val="Body Text Indent 2"/>
    <w:basedOn w:val="1"/>
    <w:next w:val="1"/>
    <w:qFormat/>
    <w:uiPriority w:val="0"/>
    <w:pPr>
      <w:spacing w:after="120" w:line="480" w:lineRule="auto"/>
      <w:ind w:left="420" w:leftChars="200"/>
    </w:pPr>
  </w:style>
  <w:style w:type="paragraph" w:styleId="24">
    <w:name w:val="Balloon Text"/>
    <w:basedOn w:val="1"/>
    <w:qFormat/>
    <w:uiPriority w:val="0"/>
    <w:rPr>
      <w:sz w:val="18"/>
      <w:szCs w:val="18"/>
    </w:rPr>
  </w:style>
  <w:style w:type="paragraph" w:styleId="25">
    <w:name w:val="footer"/>
    <w:basedOn w:val="1"/>
    <w:link w:val="65"/>
    <w:qFormat/>
    <w:uiPriority w:val="99"/>
    <w:pPr>
      <w:tabs>
        <w:tab w:val="center" w:pos="4153"/>
        <w:tab w:val="right" w:pos="8306"/>
      </w:tabs>
      <w:snapToGrid w:val="0"/>
      <w:jc w:val="left"/>
    </w:pPr>
    <w:rPr>
      <w:sz w:val="18"/>
      <w:szCs w:val="18"/>
    </w:rPr>
  </w:style>
  <w:style w:type="paragraph" w:styleId="26">
    <w:name w:val="envelope return"/>
    <w:basedOn w:val="1"/>
    <w:qFormat/>
    <w:uiPriority w:val="0"/>
    <w:pPr>
      <w:snapToGrid w:val="0"/>
    </w:pPr>
    <w:rPr>
      <w:rFonts w:ascii="Arial" w:hAnsi="Arial"/>
    </w:rPr>
  </w:style>
  <w:style w:type="paragraph" w:styleId="2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8">
    <w:name w:val="toc 1"/>
    <w:basedOn w:val="1"/>
    <w:next w:val="1"/>
    <w:qFormat/>
    <w:uiPriority w:val="0"/>
    <w:pPr>
      <w:spacing w:line="240" w:lineRule="auto"/>
    </w:pPr>
  </w:style>
  <w:style w:type="paragraph" w:styleId="29">
    <w:name w:val="Body Text Indent 3"/>
    <w:basedOn w:val="1"/>
    <w:qFormat/>
    <w:uiPriority w:val="0"/>
    <w:pPr>
      <w:spacing w:after="120"/>
      <w:ind w:left="420" w:leftChars="200"/>
    </w:pPr>
    <w:rPr>
      <w:sz w:val="16"/>
      <w:szCs w:val="16"/>
    </w:rPr>
  </w:style>
  <w:style w:type="paragraph" w:styleId="30">
    <w:name w:val="toc 2"/>
    <w:basedOn w:val="1"/>
    <w:next w:val="1"/>
    <w:qFormat/>
    <w:uiPriority w:val="0"/>
    <w:pPr>
      <w:spacing w:line="240" w:lineRule="auto"/>
      <w:ind w:left="420" w:leftChars="200"/>
    </w:pPr>
  </w:style>
  <w:style w:type="paragraph" w:styleId="31">
    <w:name w:val="Body Text 2"/>
    <w:basedOn w:val="1"/>
    <w:link w:val="66"/>
    <w:qFormat/>
    <w:uiPriority w:val="0"/>
    <w:pPr>
      <w:adjustRightInd w:val="0"/>
      <w:spacing w:after="120" w:line="480" w:lineRule="auto"/>
      <w:jc w:val="left"/>
      <w:textAlignment w:val="baseline"/>
    </w:pPr>
    <w:rPr>
      <w:kern w:val="0"/>
      <w:sz w:val="24"/>
      <w:szCs w:val="20"/>
    </w:rPr>
  </w:style>
  <w:style w:type="paragraph" w:styleId="3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rPr>
  </w:style>
  <w:style w:type="paragraph" w:styleId="33">
    <w:name w:val="Normal (Web)"/>
    <w:basedOn w:val="1"/>
    <w:next w:val="26"/>
    <w:qFormat/>
    <w:uiPriority w:val="0"/>
    <w:pPr>
      <w:widowControl/>
      <w:spacing w:before="100" w:beforeAutospacing="1" w:after="100" w:afterAutospacing="1" w:line="240" w:lineRule="auto"/>
      <w:jc w:val="left"/>
    </w:pPr>
    <w:rPr>
      <w:rFonts w:ascii="宋体" w:hAnsi="宋体" w:cs="宋体"/>
      <w:kern w:val="0"/>
      <w:sz w:val="24"/>
    </w:rPr>
  </w:style>
  <w:style w:type="paragraph" w:styleId="34">
    <w:name w:val="Title"/>
    <w:basedOn w:val="1"/>
    <w:next w:val="1"/>
    <w:qFormat/>
    <w:uiPriority w:val="0"/>
    <w:pPr>
      <w:spacing w:before="120" w:after="120"/>
      <w:jc w:val="center"/>
    </w:pPr>
    <w:rPr>
      <w:rFonts w:eastAsia="黑体"/>
      <w:b/>
      <w:sz w:val="32"/>
    </w:rPr>
  </w:style>
  <w:style w:type="paragraph" w:styleId="35">
    <w:name w:val="annotation subject"/>
    <w:basedOn w:val="15"/>
    <w:next w:val="15"/>
    <w:link w:val="67"/>
    <w:qFormat/>
    <w:uiPriority w:val="0"/>
    <w:rPr>
      <w:b/>
      <w:bCs/>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rFonts w:cs="Times New Roman"/>
      <w:b/>
      <w:bCs/>
      <w:sz w:val="28"/>
      <w:szCs w:val="20"/>
    </w:rPr>
  </w:style>
  <w:style w:type="character" w:styleId="40">
    <w:name w:val="page number"/>
    <w:qFormat/>
    <w:uiPriority w:val="0"/>
  </w:style>
  <w:style w:type="character" w:styleId="41">
    <w:name w:val="FollowedHyperlink"/>
    <w:qFormat/>
    <w:uiPriority w:val="0"/>
    <w:rPr>
      <w:color w:val="800080"/>
      <w:sz w:val="28"/>
      <w:szCs w:val="20"/>
      <w:u w:val="none"/>
    </w:rPr>
  </w:style>
  <w:style w:type="character" w:styleId="42">
    <w:name w:val="Emphasis"/>
    <w:qFormat/>
    <w:uiPriority w:val="0"/>
    <w:rPr>
      <w:b/>
      <w:bCs/>
      <w:bdr w:val="single" w:color="BDBEC1" w:sz="4" w:space="0"/>
      <w:shd w:val="clear" w:color="auto" w:fill="FFFFFF"/>
    </w:rPr>
  </w:style>
  <w:style w:type="character" w:styleId="43">
    <w:name w:val="HTML Definition"/>
    <w:uiPriority w:val="0"/>
  </w:style>
  <w:style w:type="character" w:styleId="44">
    <w:name w:val="HTML Typewriter"/>
    <w:qFormat/>
    <w:uiPriority w:val="0"/>
    <w:rPr>
      <w:rFonts w:hint="default" w:ascii="monospace" w:hAnsi="monospace" w:eastAsia="monospace" w:cs="monospace"/>
      <w:sz w:val="20"/>
    </w:rPr>
  </w:style>
  <w:style w:type="character" w:styleId="45">
    <w:name w:val="HTML Acronym"/>
    <w:qFormat/>
    <w:uiPriority w:val="0"/>
  </w:style>
  <w:style w:type="character" w:styleId="46">
    <w:name w:val="HTML Variable"/>
    <w:qFormat/>
    <w:uiPriority w:val="0"/>
  </w:style>
  <w:style w:type="character" w:styleId="47">
    <w:name w:val="Hyperlink"/>
    <w:qFormat/>
    <w:uiPriority w:val="0"/>
    <w:rPr>
      <w:color w:val="0000FF"/>
      <w:sz w:val="28"/>
      <w:szCs w:val="20"/>
      <w:u w:val="none"/>
    </w:rPr>
  </w:style>
  <w:style w:type="character" w:styleId="48">
    <w:name w:val="HTML Code"/>
    <w:qFormat/>
    <w:uiPriority w:val="0"/>
    <w:rPr>
      <w:rFonts w:hint="default" w:ascii="monospace" w:hAnsi="monospace" w:eastAsia="monospace" w:cs="monospace"/>
      <w:sz w:val="20"/>
    </w:rPr>
  </w:style>
  <w:style w:type="character" w:styleId="49">
    <w:name w:val="annotation reference"/>
    <w:qFormat/>
    <w:uiPriority w:val="0"/>
    <w:rPr>
      <w:sz w:val="21"/>
      <w:szCs w:val="21"/>
    </w:rPr>
  </w:style>
  <w:style w:type="character" w:styleId="50">
    <w:name w:val="HTML Cite"/>
    <w:qFormat/>
    <w:uiPriority w:val="0"/>
  </w:style>
  <w:style w:type="character" w:styleId="51">
    <w:name w:val="HTML Keyboard"/>
    <w:qFormat/>
    <w:uiPriority w:val="0"/>
    <w:rPr>
      <w:rFonts w:ascii="monospace" w:hAnsi="monospace" w:eastAsia="monospace" w:cs="monospace"/>
      <w:sz w:val="20"/>
    </w:rPr>
  </w:style>
  <w:style w:type="character" w:styleId="52">
    <w:name w:val="HTML Sample"/>
    <w:qFormat/>
    <w:uiPriority w:val="0"/>
    <w:rPr>
      <w:rFonts w:hint="default" w:ascii="monospace" w:hAnsi="monospace" w:eastAsia="monospace" w:cs="monospace"/>
    </w:rPr>
  </w:style>
  <w:style w:type="character" w:customStyle="1" w:styleId="53">
    <w:name w:val="标题 1 字符"/>
    <w:link w:val="2"/>
    <w:uiPriority w:val="0"/>
    <w:rPr>
      <w:b/>
      <w:bCs/>
      <w:kern w:val="44"/>
      <w:sz w:val="30"/>
      <w:szCs w:val="44"/>
    </w:rPr>
  </w:style>
  <w:style w:type="character" w:customStyle="1" w:styleId="54">
    <w:name w:val="标题 2 字符"/>
    <w:link w:val="3"/>
    <w:uiPriority w:val="0"/>
    <w:rPr>
      <w:rFonts w:ascii="Arial" w:hAnsi="Arial"/>
      <w:b/>
      <w:bCs/>
      <w:kern w:val="2"/>
      <w:sz w:val="28"/>
      <w:szCs w:val="32"/>
    </w:rPr>
  </w:style>
  <w:style w:type="character" w:customStyle="1" w:styleId="55">
    <w:name w:val="标题 3 字符"/>
    <w:link w:val="4"/>
    <w:qFormat/>
    <w:uiPriority w:val="0"/>
    <w:rPr>
      <w:rFonts w:ascii="Times New Roman" w:hAnsi="Times New Roman" w:eastAsia="黑体"/>
      <w:b/>
      <w:bCs/>
      <w:kern w:val="2"/>
      <w:sz w:val="21"/>
      <w:szCs w:val="32"/>
    </w:rPr>
  </w:style>
  <w:style w:type="character" w:customStyle="1" w:styleId="56">
    <w:name w:val="标题 5 字符"/>
    <w:link w:val="7"/>
    <w:uiPriority w:val="0"/>
    <w:rPr>
      <w:b/>
      <w:bCs/>
      <w:sz w:val="28"/>
      <w:szCs w:val="28"/>
    </w:rPr>
  </w:style>
  <w:style w:type="character" w:customStyle="1" w:styleId="57">
    <w:name w:val="标题 6 字符"/>
    <w:link w:val="8"/>
    <w:qFormat/>
    <w:uiPriority w:val="0"/>
    <w:rPr>
      <w:rFonts w:ascii="Arial" w:hAnsi="Arial" w:eastAsia="黑体"/>
      <w:b/>
      <w:bCs/>
      <w:sz w:val="24"/>
      <w:szCs w:val="24"/>
    </w:rPr>
  </w:style>
  <w:style w:type="character" w:customStyle="1" w:styleId="58">
    <w:name w:val="标题 7 字符"/>
    <w:link w:val="9"/>
    <w:qFormat/>
    <w:uiPriority w:val="0"/>
    <w:rPr>
      <w:b/>
      <w:bCs/>
      <w:sz w:val="24"/>
      <w:szCs w:val="24"/>
    </w:rPr>
  </w:style>
  <w:style w:type="character" w:customStyle="1" w:styleId="59">
    <w:name w:val="标题 8 字符"/>
    <w:link w:val="10"/>
    <w:qFormat/>
    <w:uiPriority w:val="0"/>
    <w:rPr>
      <w:rFonts w:ascii="Arial" w:hAnsi="Arial" w:eastAsia="黑体"/>
      <w:sz w:val="24"/>
      <w:szCs w:val="24"/>
    </w:rPr>
  </w:style>
  <w:style w:type="character" w:customStyle="1" w:styleId="60">
    <w:name w:val="标题 9 字符"/>
    <w:link w:val="11"/>
    <w:qFormat/>
    <w:uiPriority w:val="0"/>
    <w:rPr>
      <w:rFonts w:ascii="Arial" w:hAnsi="Arial" w:eastAsia="黑体"/>
      <w:sz w:val="21"/>
      <w:szCs w:val="21"/>
    </w:rPr>
  </w:style>
  <w:style w:type="character" w:customStyle="1" w:styleId="61">
    <w:name w:val="正文缩进 字符"/>
    <w:link w:val="12"/>
    <w:qFormat/>
    <w:uiPriority w:val="0"/>
    <w:rPr>
      <w:rFonts w:ascii="楷体_GB2312" w:eastAsia="楷体_GB2312"/>
      <w:sz w:val="32"/>
      <w:szCs w:val="32"/>
      <w:lang w:val="en-US" w:eastAsia="zh-CN" w:bidi="ar-SA"/>
    </w:rPr>
  </w:style>
  <w:style w:type="character" w:customStyle="1" w:styleId="62">
    <w:name w:val="批注文字 字符"/>
    <w:link w:val="15"/>
    <w:qFormat/>
    <w:uiPriority w:val="0"/>
    <w:rPr>
      <w:kern w:val="2"/>
      <w:sz w:val="21"/>
      <w:szCs w:val="20"/>
    </w:rPr>
  </w:style>
  <w:style w:type="character" w:customStyle="1" w:styleId="63">
    <w:name w:val="正文文本 3 字符"/>
    <w:link w:val="16"/>
    <w:qFormat/>
    <w:uiPriority w:val="0"/>
    <w:rPr>
      <w:kern w:val="2"/>
      <w:sz w:val="16"/>
      <w:szCs w:val="20"/>
    </w:rPr>
  </w:style>
  <w:style w:type="character" w:customStyle="1" w:styleId="64">
    <w:name w:val="纯文本 字符"/>
    <w:link w:val="20"/>
    <w:qFormat/>
    <w:uiPriority w:val="0"/>
    <w:rPr>
      <w:rFonts w:ascii="宋体" w:hAnsi="Courier New" w:eastAsia="宋体" w:cs="Courier New"/>
      <w:kern w:val="2"/>
      <w:sz w:val="21"/>
      <w:szCs w:val="21"/>
      <w:lang w:val="en-US" w:eastAsia="zh-CN" w:bidi="ar-SA"/>
    </w:rPr>
  </w:style>
  <w:style w:type="character" w:customStyle="1" w:styleId="65">
    <w:name w:val="页脚 字符"/>
    <w:link w:val="25"/>
    <w:qFormat/>
    <w:uiPriority w:val="99"/>
    <w:rPr>
      <w:kern w:val="2"/>
      <w:sz w:val="18"/>
      <w:szCs w:val="18"/>
    </w:rPr>
  </w:style>
  <w:style w:type="character" w:customStyle="1" w:styleId="66">
    <w:name w:val="正文文本 2 字符"/>
    <w:link w:val="31"/>
    <w:qFormat/>
    <w:uiPriority w:val="0"/>
    <w:rPr>
      <w:sz w:val="24"/>
      <w:szCs w:val="20"/>
    </w:rPr>
  </w:style>
  <w:style w:type="character" w:customStyle="1" w:styleId="67">
    <w:name w:val="批注主题 字符"/>
    <w:link w:val="35"/>
    <w:qFormat/>
    <w:uiPriority w:val="0"/>
    <w:rPr>
      <w:b/>
      <w:bCs/>
      <w:kern w:val="2"/>
      <w:sz w:val="21"/>
      <w:szCs w:val="20"/>
    </w:rPr>
  </w:style>
  <w:style w:type="paragraph" w:customStyle="1" w:styleId="68">
    <w:name w:val="正文文本首行缩进 2"/>
    <w:basedOn w:val="18"/>
    <w:qFormat/>
    <w:uiPriority w:val="0"/>
    <w:pPr>
      <w:spacing w:after="120" w:line="240" w:lineRule="auto"/>
      <w:ind w:left="420" w:leftChars="200" w:firstLine="420"/>
    </w:pPr>
  </w:style>
  <w:style w:type="character" w:customStyle="1" w:styleId="69">
    <w:name w:val="标题 1 字符1"/>
    <w:qFormat/>
    <w:uiPriority w:val="0"/>
    <w:rPr>
      <w:rFonts w:ascii="Calibri" w:hAnsi="Calibri" w:eastAsia="黑体"/>
      <w:kern w:val="44"/>
      <w:sz w:val="32"/>
    </w:rPr>
  </w:style>
  <w:style w:type="paragraph" w:customStyle="1" w:styleId="70">
    <w:name w:val="Heading4"/>
    <w:basedOn w:val="1"/>
    <w:next w:val="1"/>
    <w:qFormat/>
    <w:uiPriority w:val="99"/>
    <w:pPr>
      <w:keepNext/>
      <w:keepLines/>
      <w:spacing w:before="280" w:after="290" w:line="376" w:lineRule="auto"/>
    </w:pPr>
    <w:rPr>
      <w:rFonts w:ascii="Arial" w:hAnsi="Arial" w:eastAsia="黑体"/>
      <w:b/>
      <w:bCs/>
      <w:sz w:val="28"/>
      <w:szCs w:val="28"/>
    </w:rPr>
  </w:style>
  <w:style w:type="paragraph" w:customStyle="1" w:styleId="71">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72">
    <w:name w:val="09正文_wh Char Char"/>
    <w:link w:val="73"/>
    <w:qFormat/>
    <w:uiPriority w:val="0"/>
    <w:rPr>
      <w:sz w:val="28"/>
      <w:lang w:val="en-US" w:eastAsia="zh-CN" w:bidi="ar-SA"/>
    </w:rPr>
  </w:style>
  <w:style w:type="paragraph" w:customStyle="1" w:styleId="73">
    <w:name w:val="09正文_wh"/>
    <w:link w:val="72"/>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character" w:customStyle="1" w:styleId="74">
    <w:name w:val="Char Char Char Char"/>
    <w:link w:val="75"/>
    <w:qFormat/>
    <w:uiPriority w:val="0"/>
    <w:rPr>
      <w:rFonts w:eastAsia="宋体"/>
      <w:kern w:val="2"/>
      <w:sz w:val="21"/>
      <w:szCs w:val="24"/>
      <w:lang w:val="en-US" w:eastAsia="zh-CN" w:bidi="ar-SA"/>
    </w:rPr>
  </w:style>
  <w:style w:type="paragraph" w:customStyle="1" w:styleId="75">
    <w:name w:val="Char"/>
    <w:basedOn w:val="1"/>
    <w:link w:val="74"/>
    <w:qFormat/>
    <w:uiPriority w:val="0"/>
    <w:pPr>
      <w:spacing w:line="240" w:lineRule="auto"/>
    </w:pPr>
  </w:style>
  <w:style w:type="character" w:customStyle="1" w:styleId="76">
    <w:name w:val="apple-converted-space"/>
    <w:qFormat/>
    <w:uiPriority w:val="0"/>
  </w:style>
  <w:style w:type="character" w:customStyle="1" w:styleId="77">
    <w:name w:val="样式1 Char"/>
    <w:qFormat/>
    <w:uiPriority w:val="0"/>
    <w:rPr>
      <w:rFonts w:ascii="宋体" w:hAnsi="宋体" w:eastAsia="宋体"/>
      <w:sz w:val="21"/>
      <w:szCs w:val="21"/>
      <w:lang w:val="en-US" w:eastAsia="zh-CN" w:bidi="ar-SA"/>
    </w:rPr>
  </w:style>
  <w:style w:type="paragraph" w:customStyle="1" w:styleId="7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4"/>
    </w:rPr>
  </w:style>
  <w:style w:type="paragraph" w:customStyle="1" w:styleId="7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24"/>
    </w:rPr>
  </w:style>
  <w:style w:type="paragraph" w:customStyle="1" w:styleId="80">
    <w:name w:val="04正文二级标题"/>
    <w:qFormat/>
    <w:uiPriority w:val="0"/>
    <w:pPr>
      <w:spacing w:line="300" w:lineRule="auto"/>
      <w:ind w:firstLine="200" w:firstLineChars="200"/>
      <w:jc w:val="both"/>
    </w:pPr>
    <w:rPr>
      <w:rFonts w:ascii="Times New Roman" w:hAnsi="Times New Roman" w:eastAsia="黑体" w:cs="Times New Roman"/>
      <w:sz w:val="28"/>
      <w:lang w:val="en-US" w:eastAsia="zh-CN" w:bidi="ar-SA"/>
    </w:rPr>
  </w:style>
  <w:style w:type="paragraph" w:customStyle="1" w:styleId="81">
    <w:name w:val="xl5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82">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83">
    <w:name w:val="2级列表"/>
    <w:basedOn w:val="1"/>
    <w:qFormat/>
    <w:uiPriority w:val="0"/>
    <w:pPr>
      <w:spacing w:before="156" w:beforeLines="50" w:line="240" w:lineRule="auto"/>
    </w:pPr>
    <w:rPr>
      <w:rFonts w:eastAsia="楷体_GB2312"/>
      <w:sz w:val="24"/>
    </w:rPr>
  </w:style>
  <w:style w:type="paragraph" w:customStyle="1" w:styleId="84">
    <w:name w:val="PMletterTextBullet"/>
    <w:basedOn w:val="85"/>
    <w:qFormat/>
    <w:uiPriority w:val="0"/>
    <w:pPr>
      <w:tabs>
        <w:tab w:val="left" w:pos="360"/>
        <w:tab w:val="left" w:pos="1800"/>
      </w:tabs>
      <w:ind w:left="1800" w:hanging="360"/>
    </w:pPr>
  </w:style>
  <w:style w:type="paragraph" w:customStyle="1" w:styleId="85">
    <w:name w:val="PMletterText"/>
    <w:basedOn w:val="86"/>
    <w:qFormat/>
    <w:uiPriority w:val="0"/>
    <w:pPr>
      <w:spacing w:before="240"/>
      <w:ind w:left="720"/>
    </w:pPr>
  </w:style>
  <w:style w:type="paragraph" w:customStyle="1" w:styleId="86">
    <w:name w:val="PMstyle"/>
    <w:qFormat/>
    <w:uiPriority w:val="0"/>
    <w:rPr>
      <w:rFonts w:ascii="Tahoma" w:hAnsi="Tahoma" w:eastAsia="宋体" w:cs="Times New Roman"/>
      <w:sz w:val="22"/>
      <w:lang w:val="en-US" w:eastAsia="zh-CN" w:bidi="ar-SA"/>
    </w:rPr>
  </w:style>
  <w:style w:type="paragraph" w:customStyle="1" w:styleId="87">
    <w:name w:val="xl62"/>
    <w:basedOn w:val="1"/>
    <w:qFormat/>
    <w:uiPriority w:val="0"/>
    <w:pPr>
      <w:widowControl/>
      <w:pBdr>
        <w:top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88">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8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kern w:val="0"/>
      <w:sz w:val="24"/>
    </w:rPr>
  </w:style>
  <w:style w:type="paragraph" w:customStyle="1" w:styleId="90">
    <w:name w:val="Body Text Indent 21"/>
    <w:basedOn w:val="1"/>
    <w:qFormat/>
    <w:uiPriority w:val="0"/>
    <w:pPr>
      <w:adjustRightInd w:val="0"/>
      <w:spacing w:line="240" w:lineRule="auto"/>
      <w:ind w:left="720" w:hanging="720"/>
      <w:textAlignment w:val="baseline"/>
    </w:pPr>
    <w:rPr>
      <w:b/>
      <w:sz w:val="28"/>
      <w:szCs w:val="20"/>
    </w:rPr>
  </w:style>
  <w:style w:type="paragraph" w:customStyle="1" w:styleId="91">
    <w:name w:val="xl56"/>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92">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3">
    <w:name w:val="样式 样式 标题 2 + 宋体 五号 非加粗 黑色 + 段前: 6 磅 段后: 0 磅 行距: 单倍行距"/>
    <w:basedOn w:val="94"/>
    <w:qFormat/>
    <w:uiPriority w:val="0"/>
    <w:pPr>
      <w:spacing w:before="120" w:after="0" w:line="240" w:lineRule="auto"/>
    </w:pPr>
    <w:rPr>
      <w:rFonts w:cs="宋体"/>
      <w:szCs w:val="20"/>
    </w:rPr>
  </w:style>
  <w:style w:type="paragraph" w:customStyle="1" w:styleId="94">
    <w:name w:val="样式 标题 2 + 宋体 五号 非加粗 黑色"/>
    <w:basedOn w:val="3"/>
    <w:qFormat/>
    <w:uiPriority w:val="0"/>
    <w:pPr>
      <w:adjustRightInd w:val="0"/>
      <w:spacing w:before="260" w:after="260" w:line="416" w:lineRule="atLeast"/>
      <w:jc w:val="left"/>
      <w:textAlignment w:val="baseline"/>
    </w:pPr>
    <w:rPr>
      <w:rFonts w:ascii="宋体" w:hAnsi="宋体"/>
      <w:b w:val="0"/>
      <w:bCs w:val="0"/>
      <w:color w:val="000000"/>
      <w:kern w:val="0"/>
      <w:sz w:val="21"/>
    </w:rPr>
  </w:style>
  <w:style w:type="paragraph" w:customStyle="1" w:styleId="95">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9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97">
    <w:name w:val="列表段落"/>
    <w:basedOn w:val="1"/>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9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9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kern w:val="0"/>
      <w:sz w:val="24"/>
    </w:rPr>
  </w:style>
  <w:style w:type="paragraph" w:customStyle="1" w:styleId="10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color w:val="000000"/>
      <w:kern w:val="0"/>
      <w:sz w:val="24"/>
    </w:rPr>
  </w:style>
  <w:style w:type="paragraph" w:customStyle="1" w:styleId="101">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02">
    <w:name w:val="样式2"/>
    <w:basedOn w:val="1"/>
    <w:qFormat/>
    <w:uiPriority w:val="0"/>
    <w:pPr>
      <w:tabs>
        <w:tab w:val="left" w:pos="567"/>
      </w:tabs>
      <w:adjustRightInd w:val="0"/>
      <w:spacing w:line="240" w:lineRule="auto"/>
      <w:ind w:left="567" w:hanging="567"/>
      <w:textAlignment w:val="baseline"/>
    </w:pPr>
    <w:rPr>
      <w:rFonts w:ascii="宋体" w:hAnsi="宋体"/>
      <w:kern w:val="0"/>
      <w:szCs w:val="21"/>
    </w:rPr>
  </w:style>
  <w:style w:type="paragraph" w:customStyle="1" w:styleId="103">
    <w:name w:val="样式 样式 样式 标题 2 + 宋体 五号 非加粗 黑色 + 段前: 6 磅 段后: 0 磅 行距: 单倍行距 + 段前: 12..."/>
    <w:basedOn w:val="93"/>
    <w:qFormat/>
    <w:uiPriority w:val="0"/>
    <w:pPr>
      <w:spacing w:before="240"/>
    </w:pPr>
  </w:style>
  <w:style w:type="paragraph" w:customStyle="1" w:styleId="104">
    <w:name w:val="xl58"/>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05">
    <w:name w:val="Char Char Char1 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默认段落字体 Para Char Char Char Char"/>
    <w:basedOn w:val="1"/>
    <w:qFormat/>
    <w:uiPriority w:val="0"/>
    <w:pPr>
      <w:spacing w:line="240" w:lineRule="auto"/>
    </w:pPr>
  </w:style>
  <w:style w:type="paragraph" w:customStyle="1" w:styleId="107">
    <w:name w:val="样式 标题 5 + 段前: 5 磅 段后: 5 磅 行距: 单倍行距"/>
    <w:basedOn w:val="7"/>
    <w:qFormat/>
    <w:uiPriority w:val="0"/>
    <w:pPr>
      <w:spacing w:before="100" w:after="100" w:line="240" w:lineRule="auto"/>
    </w:pPr>
    <w:rPr>
      <w:rFonts w:cs="宋体"/>
      <w:szCs w:val="20"/>
    </w:rPr>
  </w:style>
  <w:style w:type="paragraph" w:customStyle="1" w:styleId="108">
    <w:name w:val="样式 样式 标题 5 + 段前: 5 磅 段后: 5 磅 行距: 单倍行距 + 五号"/>
    <w:basedOn w:val="107"/>
    <w:qFormat/>
    <w:uiPriority w:val="0"/>
    <w:rPr>
      <w:sz w:val="21"/>
    </w:rPr>
  </w:style>
  <w:style w:type="paragraph" w:customStyle="1" w:styleId="109">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110">
    <w:name w:val="xl61"/>
    <w:basedOn w:val="1"/>
    <w:qFormat/>
    <w:uiPriority w:val="0"/>
    <w:pPr>
      <w:widowControl/>
      <w:pBdr>
        <w:top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11">
    <w:name w:val="xl39"/>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112">
    <w:name w:val="3"/>
    <w:basedOn w:val="1"/>
    <w:next w:val="1"/>
    <w:qFormat/>
    <w:uiPriority w:val="0"/>
    <w:pPr>
      <w:adjustRightInd w:val="0"/>
      <w:spacing w:after="120" w:line="360" w:lineRule="atLeast"/>
      <w:jc w:val="left"/>
      <w:textAlignment w:val="baseline"/>
    </w:pPr>
    <w:rPr>
      <w:kern w:val="0"/>
      <w:sz w:val="16"/>
      <w:szCs w:val="16"/>
    </w:rPr>
  </w:style>
  <w:style w:type="paragraph" w:customStyle="1" w:styleId="113">
    <w:name w:val="Char Char Char Char1"/>
    <w:basedOn w:val="1"/>
    <w:qFormat/>
    <w:uiPriority w:val="0"/>
    <w:pPr>
      <w:spacing w:line="240" w:lineRule="auto"/>
    </w:pPr>
    <w:rPr>
      <w:rFonts w:ascii="Tahoma" w:hAnsi="Tahoma"/>
      <w:sz w:val="24"/>
      <w:szCs w:val="20"/>
    </w:rPr>
  </w:style>
  <w:style w:type="paragraph" w:customStyle="1" w:styleId="114">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115">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116">
    <w:name w:val="正文1"/>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paragraph" w:customStyle="1" w:styleId="11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8"/>
      <w:szCs w:val="28"/>
    </w:rPr>
  </w:style>
  <w:style w:type="paragraph" w:customStyle="1" w:styleId="118">
    <w:name w:val="样式 标题 4 + 段前: 5 磅 段后: 5 磅 行距: 单倍行距"/>
    <w:basedOn w:val="6"/>
    <w:qFormat/>
    <w:uiPriority w:val="0"/>
    <w:pPr>
      <w:adjustRightInd w:val="0"/>
      <w:spacing w:before="100" w:after="100" w:line="240" w:lineRule="auto"/>
      <w:jc w:val="left"/>
      <w:textAlignment w:val="baseline"/>
    </w:pPr>
    <w:rPr>
      <w:rFonts w:cs="宋体"/>
      <w:kern w:val="0"/>
      <w:szCs w:val="20"/>
    </w:rPr>
  </w:style>
  <w:style w:type="paragraph" w:customStyle="1" w:styleId="119">
    <w:name w:val="样式3"/>
    <w:basedOn w:val="20"/>
    <w:qFormat/>
    <w:uiPriority w:val="0"/>
    <w:pPr>
      <w:spacing w:line="0" w:lineRule="atLeast"/>
      <w:outlineLvl w:val="0"/>
    </w:pPr>
    <w:rPr>
      <w:rFonts w:cs="Times New Roman"/>
      <w:sz w:val="28"/>
      <w:szCs w:val="24"/>
    </w:rPr>
  </w:style>
  <w:style w:type="paragraph" w:customStyle="1" w:styleId="12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2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2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123">
    <w:name w:val="列表内容"/>
    <w:basedOn w:val="1"/>
    <w:next w:val="1"/>
    <w:qFormat/>
    <w:uiPriority w:val="0"/>
    <w:pPr>
      <w:widowControl/>
      <w:tabs>
        <w:tab w:val="left" w:pos="840"/>
      </w:tabs>
      <w:spacing w:line="240" w:lineRule="auto"/>
      <w:ind w:left="840" w:hanging="420"/>
      <w:jc w:val="left"/>
    </w:pPr>
    <w:rPr>
      <w:kern w:val="0"/>
      <w:sz w:val="18"/>
      <w:szCs w:val="20"/>
    </w:rPr>
  </w:style>
  <w:style w:type="paragraph" w:customStyle="1" w:styleId="124">
    <w:name w:val="_Style 5"/>
    <w:basedOn w:val="1"/>
    <w:qFormat/>
    <w:uiPriority w:val="0"/>
    <w:pPr>
      <w:widowControl/>
      <w:spacing w:after="160" w:line="240" w:lineRule="exact"/>
      <w:jc w:val="center"/>
    </w:pPr>
  </w:style>
  <w:style w:type="paragraph" w:customStyle="1" w:styleId="125">
    <w:name w:val="_Style 3"/>
    <w:basedOn w:val="1"/>
    <w:qFormat/>
    <w:uiPriority w:val="0"/>
    <w:pPr>
      <w:spacing w:before="120" w:after="120" w:line="360" w:lineRule="auto"/>
      <w:ind w:firstLine="420"/>
    </w:pPr>
    <w:rPr>
      <w:szCs w:val="20"/>
    </w:rPr>
  </w:style>
  <w:style w:type="paragraph" w:customStyle="1" w:styleId="126">
    <w:name w:val="样式 宋体 五号 行距: 单倍行距"/>
    <w:basedOn w:val="1"/>
    <w:qFormat/>
    <w:uiPriority w:val="0"/>
    <w:pPr>
      <w:adjustRightInd w:val="0"/>
      <w:spacing w:line="240" w:lineRule="auto"/>
      <w:jc w:val="left"/>
      <w:textAlignment w:val="baseline"/>
    </w:pPr>
    <w:rPr>
      <w:rFonts w:ascii="宋体" w:hAnsi="宋体" w:cs="宋体"/>
      <w:kern w:val="0"/>
      <w:szCs w:val="20"/>
    </w:rPr>
  </w:style>
  <w:style w:type="paragraph" w:customStyle="1" w:styleId="127">
    <w:name w:val="样式 标题 2 + 宋体 五号 行距: 单倍行距"/>
    <w:basedOn w:val="3"/>
    <w:qFormat/>
    <w:uiPriority w:val="0"/>
    <w:pPr>
      <w:adjustRightInd w:val="0"/>
      <w:spacing w:before="260" w:after="260" w:line="240" w:lineRule="auto"/>
      <w:jc w:val="left"/>
      <w:textAlignment w:val="baseline"/>
    </w:pPr>
    <w:rPr>
      <w:rFonts w:ascii="宋体" w:hAnsi="宋体" w:cs="宋体"/>
      <w:kern w:val="0"/>
      <w:sz w:val="21"/>
      <w:szCs w:val="20"/>
    </w:rPr>
  </w:style>
  <w:style w:type="paragraph" w:customStyle="1" w:styleId="128">
    <w:name w:val="正文文本1"/>
    <w:basedOn w:val="1"/>
    <w:unhideWhenUsed/>
    <w:qFormat/>
    <w:uiPriority w:val="0"/>
    <w:pPr>
      <w:shd w:val="clear" w:color="auto" w:fill="FFFFFF"/>
      <w:spacing w:line="240" w:lineRule="atLeast"/>
      <w:jc w:val="left"/>
    </w:pPr>
    <w:rPr>
      <w:rFonts w:eastAsia="Times New Roman"/>
      <w:kern w:val="0"/>
      <w:sz w:val="11"/>
      <w:szCs w:val="20"/>
    </w:rPr>
  </w:style>
  <w:style w:type="paragraph" w:customStyle="1" w:styleId="12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4"/>
    </w:rPr>
  </w:style>
  <w:style w:type="paragraph" w:customStyle="1" w:styleId="131">
    <w:name w:val="正文 New"/>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2">
    <w:name w:val="PMtextBullet"/>
    <w:basedOn w:val="86"/>
    <w:qFormat/>
    <w:uiPriority w:val="0"/>
    <w:pPr>
      <w:tabs>
        <w:tab w:val="left" w:pos="720"/>
        <w:tab w:val="left" w:pos="2520"/>
      </w:tabs>
      <w:spacing w:after="200"/>
      <w:ind w:left="2520" w:hanging="720"/>
    </w:pPr>
  </w:style>
  <w:style w:type="paragraph" w:customStyle="1" w:styleId="13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color w:val="000000"/>
      <w:kern w:val="0"/>
      <w:sz w:val="24"/>
    </w:rPr>
  </w:style>
  <w:style w:type="paragraph" w:customStyle="1" w:styleId="135">
    <w:name w:val="样式 样式 样式 样式 标题 2 + 宋体 五号 非加粗 黑色 + 段前: 6 磅 段后: 0 磅 行距: 单倍行距 + 段前:..."/>
    <w:basedOn w:val="103"/>
    <w:qFormat/>
    <w:uiPriority w:val="0"/>
    <w:rPr>
      <w:b/>
      <w:bCs/>
    </w:rPr>
  </w:style>
  <w:style w:type="paragraph" w:customStyle="1" w:styleId="136">
    <w:name w:val="样式 样式 标题 4 + 段前: 5 磅 段后: 5 磅 行距: 单倍行距 + 五号"/>
    <w:basedOn w:val="118"/>
    <w:qFormat/>
    <w:uiPriority w:val="0"/>
    <w:rPr>
      <w:sz w:val="21"/>
    </w:rPr>
  </w:style>
  <w:style w:type="paragraph" w:customStyle="1" w:styleId="137">
    <w:name w:val="0"/>
    <w:qFormat/>
    <w:uiPriority w:val="0"/>
    <w:pPr>
      <w:snapToGrid w:val="0"/>
    </w:pPr>
    <w:rPr>
      <w:rFonts w:ascii="Times New Roman" w:hAnsi="Times New Roman" w:eastAsia="宋体" w:cs="Times New Roman"/>
      <w:lang w:val="en-US" w:eastAsia="zh-CN" w:bidi="ar-SA"/>
    </w:rPr>
  </w:style>
  <w:style w:type="paragraph" w:customStyle="1" w:styleId="138">
    <w:name w:val="Body Text 21"/>
    <w:basedOn w:val="1"/>
    <w:qFormat/>
    <w:uiPriority w:val="0"/>
    <w:pPr>
      <w:adjustRightInd w:val="0"/>
      <w:spacing w:before="240" w:line="400" w:lineRule="exact"/>
      <w:ind w:firstLine="357"/>
      <w:textAlignment w:val="baseline"/>
    </w:pPr>
    <w:rPr>
      <w:sz w:val="28"/>
      <w:szCs w:val="20"/>
    </w:rPr>
  </w:style>
  <w:style w:type="paragraph" w:customStyle="1" w:styleId="139">
    <w:name w:val="2"/>
    <w:basedOn w:val="1"/>
    <w:next w:val="20"/>
    <w:qFormat/>
    <w:uiPriority w:val="0"/>
    <w:pPr>
      <w:spacing w:line="240" w:lineRule="auto"/>
    </w:pPr>
    <w:rPr>
      <w:rFonts w:ascii="宋体" w:hAnsi="Courier New"/>
      <w:szCs w:val="21"/>
    </w:rPr>
  </w:style>
  <w:style w:type="paragraph" w:customStyle="1" w:styleId="140">
    <w:name w:val="Char Char Char1 Char Char Char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41">
    <w:name w:val="表格文字中"/>
    <w:basedOn w:val="1"/>
    <w:qFormat/>
    <w:uiPriority w:val="0"/>
    <w:pPr>
      <w:adjustRightInd w:val="0"/>
      <w:snapToGrid w:val="0"/>
      <w:ind w:left="22" w:leftChars="8"/>
      <w:jc w:val="center"/>
    </w:pPr>
  </w:style>
  <w:style w:type="paragraph" w:customStyle="1" w:styleId="142">
    <w:name w:val="默认段落字体 Para Char Char Char Char Char Char Char Char Char1 Char Char Char"/>
    <w:basedOn w:val="1"/>
    <w:qFormat/>
    <w:uiPriority w:val="0"/>
    <w:pPr>
      <w:spacing w:line="240" w:lineRule="auto"/>
    </w:pPr>
    <w:rPr>
      <w:rFonts w:ascii="Tahoma" w:hAnsi="Tahoma"/>
      <w:sz w:val="24"/>
      <w:szCs w:val="20"/>
    </w:rPr>
  </w:style>
  <w:style w:type="paragraph" w:customStyle="1" w:styleId="143">
    <w:name w:val="1"/>
    <w:basedOn w:val="1"/>
    <w:next w:val="20"/>
    <w:qFormat/>
    <w:uiPriority w:val="0"/>
    <w:pPr>
      <w:spacing w:line="240" w:lineRule="auto"/>
    </w:pPr>
    <w:rPr>
      <w:rFonts w:ascii="宋体" w:hAnsi="Courier New"/>
      <w:szCs w:val="21"/>
    </w:rPr>
  </w:style>
  <w:style w:type="paragraph" w:customStyle="1" w:styleId="1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145">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14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4"/>
    </w:rPr>
  </w:style>
  <w:style w:type="paragraph" w:customStyle="1" w:styleId="14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sz w:val="28"/>
      <w:szCs w:val="20"/>
    </w:rPr>
  </w:style>
  <w:style w:type="paragraph" w:customStyle="1" w:styleId="148">
    <w:name w:val="表注1"/>
    <w:basedOn w:val="1"/>
    <w:qFormat/>
    <w:uiPriority w:val="0"/>
    <w:pPr>
      <w:adjustRightInd w:val="0"/>
      <w:snapToGrid w:val="0"/>
      <w:spacing w:beforeLines="50" w:line="300" w:lineRule="auto"/>
      <w:ind w:left="350" w:hanging="350" w:hangingChars="350"/>
    </w:pPr>
    <w:rPr>
      <w:rFonts w:eastAsia="仿宋_GB2312"/>
      <w:bCs/>
      <w:color w:val="000000"/>
    </w:rPr>
  </w:style>
  <w:style w:type="paragraph" w:customStyle="1" w:styleId="149">
    <w:name w:val="样式 标题 3h3H3sect1.2.3 + 五号 段前: 6 磅 段后: 6 磅 行距: 单倍行距"/>
    <w:basedOn w:val="4"/>
    <w:qFormat/>
    <w:uiPriority w:val="0"/>
    <w:pPr>
      <w:tabs>
        <w:tab w:val="left" w:pos="735"/>
      </w:tabs>
      <w:adjustRightInd w:val="0"/>
      <w:spacing w:line="240" w:lineRule="auto"/>
      <w:ind w:left="735" w:hanging="735" w:firstLineChars="0"/>
      <w:jc w:val="left"/>
      <w:textAlignment w:val="baseline"/>
    </w:pPr>
    <w:rPr>
      <w:rFonts w:eastAsia="宋体" w:cs="宋体"/>
      <w:kern w:val="0"/>
      <w:szCs w:val="20"/>
    </w:rPr>
  </w:style>
  <w:style w:type="paragraph" w:customStyle="1" w:styleId="150">
    <w:name w:val="正文 + 宋体"/>
    <w:basedOn w:val="1"/>
    <w:qFormat/>
    <w:uiPriority w:val="0"/>
    <w:pPr>
      <w:spacing w:line="360" w:lineRule="auto"/>
      <w:ind w:firstLine="360" w:firstLineChars="150"/>
    </w:pPr>
    <w:rPr>
      <w:rFonts w:ascii="宋体" w:hAnsi="宋体" w:cs="Arial"/>
      <w:bCs/>
      <w:sz w:val="24"/>
    </w:rPr>
  </w:style>
  <w:style w:type="paragraph" w:customStyle="1" w:styleId="151">
    <w:name w:val="Char1"/>
    <w:basedOn w:val="1"/>
    <w:qFormat/>
    <w:uiPriority w:val="0"/>
    <w:pPr>
      <w:spacing w:line="240" w:lineRule="auto"/>
    </w:pPr>
    <w:rPr>
      <w:sz w:val="28"/>
      <w:szCs w:val="20"/>
    </w:rPr>
  </w:style>
  <w:style w:type="paragraph" w:customStyle="1" w:styleId="152">
    <w:name w:val="样式 宋体 五号 两端对齐 行距: 单倍行距1"/>
    <w:basedOn w:val="1"/>
    <w:qFormat/>
    <w:uiPriority w:val="0"/>
    <w:pPr>
      <w:adjustRightInd w:val="0"/>
      <w:spacing w:line="240" w:lineRule="auto"/>
      <w:textAlignment w:val="baseline"/>
    </w:pPr>
    <w:rPr>
      <w:rFonts w:ascii="宋体" w:hAnsi="宋体" w:cs="宋体"/>
      <w:kern w:val="0"/>
      <w:szCs w:val="20"/>
    </w:rPr>
  </w:style>
  <w:style w:type="paragraph" w:customStyle="1" w:styleId="153">
    <w:name w:val="样式 宋体 五号 两端对齐 行距: 单倍行距"/>
    <w:basedOn w:val="1"/>
    <w:qFormat/>
    <w:uiPriority w:val="0"/>
    <w:pPr>
      <w:adjustRightInd w:val="0"/>
      <w:spacing w:line="240" w:lineRule="auto"/>
      <w:textAlignment w:val="baseline"/>
    </w:pPr>
    <w:rPr>
      <w:rFonts w:ascii="宋体" w:hAnsi="宋体" w:cs="宋体"/>
      <w:kern w:val="0"/>
      <w:szCs w:val="20"/>
    </w:rPr>
  </w:style>
  <w:style w:type="paragraph" w:customStyle="1" w:styleId="154">
    <w:name w:val="样式 标题 1 + 四号 居中 段前: 12 磅 段后: 12 磅 行距: 单倍行距"/>
    <w:basedOn w:val="2"/>
    <w:qFormat/>
    <w:uiPriority w:val="0"/>
    <w:pPr>
      <w:tabs>
        <w:tab w:val="left" w:pos="735"/>
      </w:tabs>
      <w:adjustRightInd w:val="0"/>
      <w:spacing w:before="240" w:after="240" w:line="240" w:lineRule="auto"/>
      <w:ind w:left="735" w:hanging="735"/>
      <w:textAlignment w:val="baseline"/>
    </w:pPr>
    <w:rPr>
      <w:rFonts w:cs="宋体"/>
      <w:sz w:val="28"/>
      <w:szCs w:val="20"/>
    </w:rPr>
  </w:style>
  <w:style w:type="paragraph" w:customStyle="1" w:styleId="15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156">
    <w:name w:val="表格文字"/>
    <w:next w:val="1"/>
    <w:qFormat/>
    <w:uiPriority w:val="99"/>
    <w:pPr>
      <w:adjustRightInd w:val="0"/>
      <w:snapToGrid w:val="0"/>
      <w:jc w:val="center"/>
    </w:pPr>
    <w:rPr>
      <w:rFonts w:ascii="Times New Roman" w:hAnsi="Times New Roman" w:eastAsia="楷体_GB2312" w:cs="Times New Roman"/>
      <w:snapToGrid w:val="0"/>
      <w:w w:val="90"/>
      <w:sz w:val="21"/>
      <w:szCs w:val="22"/>
      <w:lang w:val="en-US" w:eastAsia="zh-CN" w:bidi="ar-SA"/>
    </w:rPr>
  </w:style>
  <w:style w:type="paragraph" w:customStyle="1" w:styleId="157">
    <w:name w:val="font5"/>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158">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4"/>
    </w:rPr>
  </w:style>
  <w:style w:type="paragraph" w:customStyle="1" w:styleId="159">
    <w:name w:val="样式1"/>
    <w:basedOn w:val="1"/>
    <w:qFormat/>
    <w:uiPriority w:val="0"/>
    <w:pPr>
      <w:tabs>
        <w:tab w:val="left" w:pos="709"/>
        <w:tab w:val="left" w:pos="840"/>
      </w:tabs>
      <w:adjustRightInd w:val="0"/>
      <w:spacing w:line="240" w:lineRule="auto"/>
      <w:ind w:left="840" w:hanging="420"/>
      <w:textAlignment w:val="baseline"/>
    </w:pPr>
    <w:rPr>
      <w:rFonts w:ascii="宋体" w:hAnsi="宋体"/>
      <w:kern w:val="0"/>
      <w:szCs w:val="21"/>
    </w:rPr>
  </w:style>
  <w:style w:type="paragraph" w:customStyle="1" w:styleId="160">
    <w:name w:val="xl57"/>
    <w:basedOn w:val="1"/>
    <w:qFormat/>
    <w:uiPriority w:val="0"/>
    <w:pPr>
      <w:widowControl/>
      <w:pBdr>
        <w:top w:val="single" w:color="auto" w:sz="4" w:space="0"/>
        <w:bottom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61">
    <w:name w:val="xl60"/>
    <w:basedOn w:val="1"/>
    <w:qFormat/>
    <w:uiPriority w:val="0"/>
    <w:pPr>
      <w:widowControl/>
      <w:pBdr>
        <w:top w:val="single" w:color="auto" w:sz="4" w:space="0"/>
        <w:lef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6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16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b/>
      <w:bCs/>
      <w:kern w:val="0"/>
      <w:sz w:val="24"/>
    </w:rPr>
  </w:style>
  <w:style w:type="paragraph" w:customStyle="1" w:styleId="16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4"/>
    </w:rPr>
  </w:style>
  <w:style w:type="paragraph" w:customStyle="1" w:styleId="16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kern w:val="0"/>
      <w:sz w:val="24"/>
    </w:rPr>
  </w:style>
  <w:style w:type="paragraph" w:customStyle="1" w:styleId="166">
    <w:name w:val="Char Char3"/>
    <w:basedOn w:val="1"/>
    <w:qFormat/>
    <w:uiPriority w:val="0"/>
    <w:pPr>
      <w:spacing w:line="240" w:lineRule="auto"/>
    </w:pPr>
  </w:style>
  <w:style w:type="paragraph" w:customStyle="1" w:styleId="167">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28"/>
      <w:szCs w:val="28"/>
    </w:rPr>
  </w:style>
  <w:style w:type="paragraph" w:customStyle="1" w:styleId="168">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4"/>
    </w:rPr>
  </w:style>
  <w:style w:type="paragraph" w:customStyle="1" w:styleId="169">
    <w:name w:val="p0"/>
    <w:basedOn w:val="1"/>
    <w:qFormat/>
    <w:uiPriority w:val="0"/>
    <w:pPr>
      <w:widowControl/>
    </w:pPr>
    <w:rPr>
      <w:kern w:val="0"/>
      <w:szCs w:val="21"/>
    </w:rPr>
  </w:style>
  <w:style w:type="paragraph" w:customStyle="1" w:styleId="17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7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4"/>
    </w:rPr>
  </w:style>
  <w:style w:type="paragraph" w:customStyle="1" w:styleId="172">
    <w:name w:val="楷体正文~"/>
    <w:unhideWhenUsed/>
    <w:qFormat/>
    <w:uiPriority w:val="0"/>
    <w:pPr>
      <w:widowControl w:val="0"/>
      <w:adjustRightInd w:val="0"/>
      <w:snapToGrid w:val="0"/>
      <w:spacing w:line="360" w:lineRule="auto"/>
      <w:ind w:firstLine="200" w:firstLineChars="200"/>
      <w:jc w:val="both"/>
    </w:pPr>
    <w:rPr>
      <w:rFonts w:ascii="Calibri" w:hAnsi="Calibri" w:eastAsia="楷体" w:cs="Times New Roman"/>
      <w:snapToGrid w:val="0"/>
      <w:kern w:val="2"/>
      <w:sz w:val="32"/>
      <w:szCs w:val="22"/>
      <w:lang w:val="en-US" w:eastAsia="zh-CN" w:bidi="ar-SA"/>
    </w:rPr>
  </w:style>
  <w:style w:type="character" w:customStyle="1" w:styleId="173">
    <w:name w:val="font41"/>
    <w:qFormat/>
    <w:uiPriority w:val="0"/>
    <w:rPr>
      <w:rFonts w:hint="eastAsia" w:ascii="仿宋" w:hAnsi="仿宋" w:eastAsia="仿宋" w:cs="仿宋"/>
      <w:color w:val="000000"/>
      <w:sz w:val="28"/>
      <w:szCs w:val="28"/>
      <w:u w:val="none"/>
    </w:rPr>
  </w:style>
  <w:style w:type="character" w:customStyle="1" w:styleId="174">
    <w:name w:val="font21"/>
    <w:qFormat/>
    <w:uiPriority w:val="0"/>
    <w:rPr>
      <w:rFonts w:hint="eastAsia" w:ascii="仿宋" w:hAnsi="仿宋" w:eastAsia="仿宋" w:cs="仿宋"/>
      <w:color w:val="000000"/>
      <w:sz w:val="28"/>
      <w:szCs w:val="28"/>
      <w:u w:val="none"/>
    </w:rPr>
  </w:style>
  <w:style w:type="paragraph" w:customStyle="1" w:styleId="175">
    <w:name w:val="正文首行缩进 21"/>
    <w:basedOn w:val="176"/>
    <w:qFormat/>
    <w:uiPriority w:val="0"/>
    <w:pPr>
      <w:ind w:firstLine="420"/>
    </w:pPr>
  </w:style>
  <w:style w:type="paragraph" w:customStyle="1" w:styleId="176">
    <w:name w:val="正文文本缩进1"/>
    <w:basedOn w:val="1"/>
    <w:qFormat/>
    <w:uiPriority w:val="0"/>
    <w:pPr>
      <w:spacing w:line="500" w:lineRule="exact"/>
      <w:ind w:firstLine="880" w:firstLineChars="200"/>
    </w:pPr>
  </w:style>
  <w:style w:type="paragraph" w:customStyle="1" w:styleId="177">
    <w:name w:val="null3"/>
    <w:qFormat/>
    <w:uiPriority w:val="0"/>
    <w:rPr>
      <w:rFonts w:hint="eastAsia" w:ascii="Calibri" w:hAnsi="Calibri" w:eastAsia="宋体" w:cs="Times New Roman"/>
      <w:lang w:val="en-US" w:eastAsia="zh-Hans" w:bidi="ar-SA"/>
    </w:rPr>
  </w:style>
  <w:style w:type="table" w:customStyle="1" w:styleId="178">
    <w:name w:val="网格型1"/>
    <w:basedOn w:val="36"/>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80">
    <w:name w:val="正文文本缩进 字符"/>
    <w:basedOn w:val="38"/>
    <w:link w:val="18"/>
    <w:qFormat/>
    <w:uiPriority w:val="0"/>
    <w:rPr>
      <w:rFonts w:ascii="宋体" w:hAnsi="宋体"/>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yngp</Company>
  <Pages>12</Pages>
  <Words>5899</Words>
  <Characters>6458</Characters>
  <Lines>50</Lines>
  <Paragraphs>14</Paragraphs>
  <TotalTime>1</TotalTime>
  <ScaleCrop>false</ScaleCrop>
  <LinksUpToDate>false</LinksUpToDate>
  <CharactersWithSpaces>6878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2026-05-28T07:55:00Z</dcterms:created>
  <dc:creator>wh</dc:creator>
  <cp:lastModifiedBy>肖蓓#蜗蜗任意3瓶享受vip价</cp:lastModifiedBy>
  <cp:lastPrinted>2026-04-21T10:00:00Z</cp:lastPrinted>
  <dcterms:modified xsi:type="dcterms:W3CDTF">2026-05-29T14:00:53Z</dcterms:modified>
  <dc:title>封  面</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EEA909B7658848F4A7706AA986F001E5</vt:lpwstr>
  </property>
  <property fmtid="{D5CDD505-2E9C-101B-9397-08002B2CF9AE}" pid="4" name="KSOTemplateDocerSaveRecord">
    <vt:lpwstr>eyJoZGlkIjoiYWZjOTVmZmIxN2QzZDA1ODAxZTNiMmI5ZTc5MGZjY2MiLCJ1c2VySWQiOiI3ODkzMzgwNDcifQ==</vt:lpwstr>
  </property>
</Properties>
</file>