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版本号：ZCSP-渭南市-2026-0017020260529001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陕西省第十八届运动会2026年主场馆病媒生物防制和区域消杀项目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ZCSP-渭南市-2026-00170</w:t>
      </w:r>
      <w:r>
        <w:br/>
      </w:r>
      <w:r>
        <w:br/>
      </w:r>
      <w:r>
        <w:br/>
      </w:r>
    </w:p>
    <w:p>
      <w:pPr>
        <w:pStyle w:val="null3"/>
        <w:jc w:val="center"/>
        <w:outlineLvl w:val="2"/>
      </w:pPr>
      <w:r>
        <w:rPr>
          <w:rFonts w:ascii="仿宋_GB2312" w:hAnsi="仿宋_GB2312" w:cs="仿宋_GB2312" w:eastAsia="仿宋_GB2312"/>
          <w:sz w:val="28"/>
          <w:b/>
        </w:rPr>
        <w:t>陕西省第十八届运动会筹委会办公室</w:t>
      </w:r>
    </w:p>
    <w:p>
      <w:pPr>
        <w:pStyle w:val="null3"/>
        <w:jc w:val="center"/>
        <w:outlineLvl w:val="2"/>
      </w:pPr>
      <w:r>
        <w:rPr>
          <w:rFonts w:ascii="仿宋_GB2312" w:hAnsi="仿宋_GB2312" w:cs="仿宋_GB2312" w:eastAsia="仿宋_GB2312"/>
          <w:sz w:val="28"/>
          <w:b/>
        </w:rPr>
        <w:t>语芯建设集团有限公司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语芯建设集团有限公司</w:t>
      </w:r>
      <w:r>
        <w:rPr>
          <w:rFonts w:ascii="仿宋_GB2312" w:hAnsi="仿宋_GB2312" w:cs="仿宋_GB2312" w:eastAsia="仿宋_GB2312"/>
        </w:rPr>
        <w:t>（以下简称“代理机构”）受</w:t>
      </w:r>
      <w:r>
        <w:rPr>
          <w:rFonts w:ascii="仿宋_GB2312" w:hAnsi="仿宋_GB2312" w:cs="仿宋_GB2312" w:eastAsia="仿宋_GB2312"/>
        </w:rPr>
        <w:t>陕西省第十八届运动会筹委会办公室</w:t>
      </w:r>
      <w:r>
        <w:rPr>
          <w:rFonts w:ascii="仿宋_GB2312" w:hAnsi="仿宋_GB2312" w:cs="仿宋_GB2312" w:eastAsia="仿宋_GB2312"/>
        </w:rPr>
        <w:t>委托，拟对</w:t>
      </w:r>
      <w:r>
        <w:rPr>
          <w:rFonts w:ascii="仿宋_GB2312" w:hAnsi="仿宋_GB2312" w:cs="仿宋_GB2312" w:eastAsia="仿宋_GB2312"/>
        </w:rPr>
        <w:t>陕西省第十八届运动会2026年主场馆病媒生物防制和区域消杀项目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ZCSP-渭南市-2026-00170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陕西省第十八届运动会2026年主场馆病媒生物防制和区域消杀项目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赛事场馆及周边区域病媒生物防控、防制设施运维、全域消杀、密度监测及应急保障服务，保障赛事公共卫生安全。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采购包1（陕西省第十八届运动会2026年主场馆病媒生物防制和区域消杀项目）：属于专门面向中小企业采购。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授权代表身份证明：供应商应授权合法的人员参加磋商全过程，其中法定代表人直接参加磋商的，须出具法定代表人身份证明及身份证复印件，并与营业执照上信息一致；法定代表人授权代表参加磋商的，须出具法定代表人授权书（附法定代表人、被授权人身份证复印件）及被授权人在本单位近3个月内任意一个月缴纳的养老保险证明。供应商需在项目电子化交易系统中按要求上传相应证明文件并进行电子签章。</w:t>
      </w:r>
    </w:p>
    <w:p>
      <w:pPr>
        <w:pStyle w:val="null3"/>
      </w:pPr>
      <w:r>
        <w:rPr>
          <w:rFonts w:ascii="仿宋_GB2312" w:hAnsi="仿宋_GB2312" w:cs="仿宋_GB2312" w:eastAsia="仿宋_GB2312"/>
        </w:rPr>
        <w:t>2、信用记录：供应商不得在“信用中国”网站(http://www.creditchina.gov.cn)被列入失信被执行人、重大税收违法失信主体；不得在“中国政府采购网” (http://www.ccgp.gov.cn) 被列入政府采购严重违法失信行为记录名单。</w:t>
      </w:r>
    </w:p>
    <w:p>
      <w:pPr>
        <w:pStyle w:val="null3"/>
      </w:pPr>
      <w:r>
        <w:rPr>
          <w:rFonts w:ascii="仿宋_GB2312" w:hAnsi="仿宋_GB2312" w:cs="仿宋_GB2312" w:eastAsia="仿宋_GB2312"/>
        </w:rPr>
        <w:t>3、非联合体磋商：供应商须提供《非联合体磋商声明函》；供应商需在项目电子化交易系统中按要求上传相应证明文件并进行电子签章。</w:t>
      </w:r>
    </w:p>
    <w:p>
      <w:pPr>
        <w:pStyle w:val="null3"/>
      </w:pPr>
      <w:r>
        <w:rPr>
          <w:rFonts w:ascii="仿宋_GB2312" w:hAnsi="仿宋_GB2312" w:cs="仿宋_GB2312" w:eastAsia="仿宋_GB2312"/>
        </w:rPr>
        <w:t>4、供应商不得存在下列情形之一：供应商不得存在下列情形之一： ①单位负责人为同一人或者存在控股、管理关系的不同单位，不得参加同一合同项下的政府采购活动； ②为本项目提供整体设计、规范编制或者项目管理、监理、检测等服务的供应商，不得再参加本项目的采购活动。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陕西省第十八届运动会筹委会办公室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渭南市渭清路体育中心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17762214546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语芯建设集团有限公司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陕西省渭南市高新技术产业开发区万达广场4号写字楼301-1室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行增凯、肖蓓蓓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18191811889、15592262110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开户名称：语芯建设集团有限公司</w:t>
            </w:r>
          </w:p>
          <w:p>
            <w:pPr>
              <w:pStyle w:val="null3"/>
            </w:pPr>
            <w:r>
              <w:rPr>
                <w:rFonts w:ascii="仿宋_GB2312" w:hAnsi="仿宋_GB2312" w:cs="仿宋_GB2312" w:eastAsia="仿宋_GB2312"/>
              </w:rPr>
              <w:t>开户银行：中国建设银行渭南电信支行</w:t>
            </w:r>
          </w:p>
          <w:p>
            <w:pPr>
              <w:pStyle w:val="null3"/>
            </w:pPr>
            <w:r>
              <w:rPr>
                <w:rFonts w:ascii="仿宋_GB2312" w:hAnsi="仿宋_GB2312" w:cs="仿宋_GB2312" w:eastAsia="仿宋_GB2312"/>
              </w:rPr>
              <w:t>银行账号：61050164280000000703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文)、国家发改委办公厅关于《招标代理服务收费有关问题》的通知(发改办价格[2003]857号文)、发改价格[2011】534号文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陕西省第十八届运动会筹委会办公室</w:t>
      </w:r>
      <w:r>
        <w:rPr>
          <w:rFonts w:ascii="仿宋_GB2312" w:hAnsi="仿宋_GB2312" w:cs="仿宋_GB2312" w:eastAsia="仿宋_GB2312"/>
        </w:rPr>
        <w:t>和</w:t>
      </w:r>
      <w:r>
        <w:rPr>
          <w:rFonts w:ascii="仿宋_GB2312" w:hAnsi="仿宋_GB2312" w:cs="仿宋_GB2312" w:eastAsia="仿宋_GB2312"/>
        </w:rPr>
        <w:t>语芯建设集团有限公司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陕西省第十八届运动会筹委会办公室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语芯建设集团有限公司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陕西省第十八届运动会筹委会办公室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语芯建设集团有限公司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1.病媒生物密度管控严格执行 GB/T 27770-2011、GB/T 27771-2011、GB/T 27772-2011、GB/T 27773-2011 规范，全域密度等级达到 C 级及以上，核心区域达到 B 级及以上； 2.病媒防制设施布设规范、完好可用，防鼠、防蝇设施整体合格率不低于 95%，核心区域设施合格率 100%； 3.消杀作业流程、药剂器械选用、现场人员操作均符合国家及陕西省现行技术规范，杜绝违规用药行为，全程无安全生产事故； 4.密度监测记录、日常作业台账、问题整改档案资料齐全规范，可完整追溯核查； 5.服务保障周期内，未引发病媒生物关联公共卫生事件，无有效服务投诉； 6.服务频次、作业覆盖范围、应急处置响应均契合合同约定与赛事保障要求，现场核验评定合格。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语芯建设集团有限公司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语芯建设集团有限公司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语芯建设集团有限公司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联系人：行增凯</w:t>
      </w:r>
    </w:p>
    <w:p>
      <w:pPr>
        <w:pStyle w:val="null3"/>
      </w:pPr>
      <w:r>
        <w:rPr>
          <w:rFonts w:ascii="仿宋_GB2312" w:hAnsi="仿宋_GB2312" w:cs="仿宋_GB2312" w:eastAsia="仿宋_GB2312"/>
        </w:rPr>
        <w:t>联系电话：0913-2101155</w:t>
      </w:r>
    </w:p>
    <w:p>
      <w:pPr>
        <w:pStyle w:val="null3"/>
      </w:pPr>
      <w:r>
        <w:rPr>
          <w:rFonts w:ascii="仿宋_GB2312" w:hAnsi="仿宋_GB2312" w:cs="仿宋_GB2312" w:eastAsia="仿宋_GB2312"/>
        </w:rPr>
        <w:t>地址：陕西省渭南市高新技术产业开发区万达广场4号写字楼301-1室</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赛事场馆及周边区域病媒生物防控、防制设施运维、全域消杀、密度监测及应急保障服务，保障赛事公共卫生安全。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陕西省第十八届运动会2026年主场馆病媒生物防制和区域消杀项目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标的名称：陕西省第十八届运动会2026年主场馆病媒生物防制和区域消杀项目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1、采购内容：赛事场馆及周边区域病媒生物防控、防制设施运维、全域消杀、密度监测及应急保障服务，保障赛事公共卫生安全。</w:t>
            </w:r>
          </w:p>
          <w:p>
            <w:pPr>
              <w:pStyle w:val="null3"/>
            </w:pPr>
            <w:r>
              <w:rPr>
                <w:rFonts w:ascii="仿宋_GB2312" w:hAnsi="仿宋_GB2312" w:cs="仿宋_GB2312" w:eastAsia="仿宋_GB2312"/>
              </w:rPr>
              <w:t>2、功能要求：零病媒生物引发公共卫生事件及传染病传播事件，保障赛事安全顺利举办。</w:t>
            </w:r>
          </w:p>
          <w:p>
            <w:pPr>
              <w:pStyle w:val="null3"/>
            </w:pPr>
            <w:r>
              <w:rPr>
                <w:rFonts w:ascii="仿宋_GB2312" w:hAnsi="仿宋_GB2312" w:cs="仿宋_GB2312" w:eastAsia="仿宋_GB2312"/>
              </w:rPr>
              <w:t>3、服务期限：自合同签订之日起至第十八届运动会赛事结束后 30 日内完成全部服务并通过最终验收。</w:t>
            </w:r>
          </w:p>
          <w:p>
            <w:pPr>
              <w:pStyle w:val="null3"/>
            </w:pPr>
            <w:r>
              <w:rPr>
                <w:rFonts w:ascii="仿宋_GB2312" w:hAnsi="仿宋_GB2312" w:cs="仿宋_GB2312" w:eastAsia="仿宋_GB2312"/>
              </w:rPr>
              <w:t>4、服务地点：采购人指定地点</w:t>
            </w:r>
          </w:p>
          <w:p>
            <w:pPr>
              <w:pStyle w:val="null3"/>
            </w:pPr>
            <w:r>
              <w:rPr>
                <w:rFonts w:ascii="仿宋_GB2312" w:hAnsi="仿宋_GB2312" w:cs="仿宋_GB2312" w:eastAsia="仿宋_GB2312"/>
              </w:rPr>
              <w:t>5、服务质量标准：符合现行国家、行业规范标准，严格遵照采购文件及合同约定执行，全面满足项目实际服务需求。</w:t>
            </w:r>
          </w:p>
          <w:p>
            <w:pPr>
              <w:pStyle w:val="null3"/>
              <w:jc w:val="both"/>
            </w:pPr>
            <w:r>
              <w:rPr>
                <w:rFonts w:ascii="仿宋_GB2312" w:hAnsi="仿宋_GB2312" w:cs="仿宋_GB2312" w:eastAsia="仿宋_GB2312"/>
              </w:rPr>
              <w:t>6、采购人名称：陕西省第十八届运动会渭南市筹委会办公室</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二、需执行的国家相关标准、行业标准、地方标准或者其他标准、规范标准</w:t>
            </w:r>
          </w:p>
          <w:p>
            <w:pPr>
              <w:pStyle w:val="null3"/>
            </w:pPr>
            <w:r>
              <w:rPr>
                <w:rFonts w:ascii="仿宋_GB2312" w:hAnsi="仿宋_GB2312" w:cs="仿宋_GB2312" w:eastAsia="仿宋_GB2312"/>
              </w:rPr>
              <w:t>1.《病媒生物密度控制水平 鼠类》（GB/T 27770-2011）</w:t>
            </w:r>
          </w:p>
          <w:p>
            <w:pPr>
              <w:pStyle w:val="null3"/>
            </w:pPr>
            <w:r>
              <w:rPr>
                <w:rFonts w:ascii="仿宋_GB2312" w:hAnsi="仿宋_GB2312" w:cs="仿宋_GB2312" w:eastAsia="仿宋_GB2312"/>
              </w:rPr>
              <w:t>2.《病媒生物密度控制水平 蚊虫》（GB/T 27771-2011）</w:t>
            </w:r>
          </w:p>
          <w:p>
            <w:pPr>
              <w:pStyle w:val="null3"/>
            </w:pPr>
            <w:r>
              <w:rPr>
                <w:rFonts w:ascii="仿宋_GB2312" w:hAnsi="仿宋_GB2312" w:cs="仿宋_GB2312" w:eastAsia="仿宋_GB2312"/>
              </w:rPr>
              <w:t>3.《病媒生物密度控制水平 蝇类》（GB/T 27772-2011）</w:t>
            </w:r>
          </w:p>
          <w:p>
            <w:pPr>
              <w:pStyle w:val="null3"/>
            </w:pPr>
            <w:r>
              <w:rPr>
                <w:rFonts w:ascii="仿宋_GB2312" w:hAnsi="仿宋_GB2312" w:cs="仿宋_GB2312" w:eastAsia="仿宋_GB2312"/>
              </w:rPr>
              <w:t>4.《病媒生物密度控制水平 蜚蠊》（GB/T 27773-2011）</w:t>
            </w:r>
          </w:p>
          <w:p>
            <w:pPr>
              <w:pStyle w:val="null3"/>
            </w:pPr>
            <w:r>
              <w:rPr>
                <w:rFonts w:ascii="仿宋_GB2312" w:hAnsi="仿宋_GB2312" w:cs="仿宋_GB2312" w:eastAsia="仿宋_GB2312"/>
              </w:rPr>
              <w:t>5.《病媒生物密度监测方法 蜚蠊》（GB/T 23795-2009）</w:t>
            </w:r>
          </w:p>
          <w:p>
            <w:pPr>
              <w:pStyle w:val="null3"/>
            </w:pPr>
            <w:r>
              <w:rPr>
                <w:rFonts w:ascii="仿宋_GB2312" w:hAnsi="仿宋_GB2312" w:cs="仿宋_GB2312" w:eastAsia="仿宋_GB2312"/>
              </w:rPr>
              <w:t>6.《病媒生物密度监测方法 蝇类》（GB/T 23796-2009）</w:t>
            </w:r>
          </w:p>
          <w:p>
            <w:pPr>
              <w:pStyle w:val="null3"/>
            </w:pPr>
            <w:r>
              <w:rPr>
                <w:rFonts w:ascii="仿宋_GB2312" w:hAnsi="仿宋_GB2312" w:cs="仿宋_GB2312" w:eastAsia="仿宋_GB2312"/>
              </w:rPr>
              <w:t>7.《病媒生物密度监测方法 蚊虫》（GB/T 23797-2020）</w:t>
            </w:r>
          </w:p>
          <w:p>
            <w:pPr>
              <w:pStyle w:val="null3"/>
            </w:pPr>
            <w:r>
              <w:rPr>
                <w:rFonts w:ascii="仿宋_GB2312" w:hAnsi="仿宋_GB2312" w:cs="仿宋_GB2312" w:eastAsia="仿宋_GB2312"/>
              </w:rPr>
              <w:t>8.《病媒生物密度监测方法 鼠类》（GB/T 23798-2009）</w:t>
            </w:r>
          </w:p>
          <w:p>
            <w:pPr>
              <w:pStyle w:val="null3"/>
            </w:pPr>
            <w:r>
              <w:rPr>
                <w:rFonts w:ascii="仿宋_GB2312" w:hAnsi="仿宋_GB2312" w:cs="仿宋_GB2312" w:eastAsia="仿宋_GB2312"/>
              </w:rPr>
              <w:t>9.《病媒生物应急监测与控制 通则》（GB/T 27774-2011）</w:t>
            </w:r>
          </w:p>
          <w:p>
            <w:pPr>
              <w:pStyle w:val="null3"/>
            </w:pPr>
            <w:r>
              <w:rPr>
                <w:rFonts w:ascii="仿宋_GB2312" w:hAnsi="仿宋_GB2312" w:cs="仿宋_GB2312" w:eastAsia="仿宋_GB2312"/>
              </w:rPr>
              <w:t>10.《病媒生物控制术语与分类》（GB/T 31721-2015）</w:t>
            </w:r>
          </w:p>
          <w:p>
            <w:pPr>
              <w:pStyle w:val="null3"/>
            </w:pPr>
            <w:r>
              <w:rPr>
                <w:rFonts w:ascii="仿宋_GB2312" w:hAnsi="仿宋_GB2312" w:cs="仿宋_GB2312" w:eastAsia="仿宋_GB2312"/>
              </w:rPr>
              <w:t>11.《病媒生物抗药性治理 总则》（GB/T 31720-2015）</w:t>
            </w:r>
          </w:p>
          <w:p>
            <w:pPr>
              <w:pStyle w:val="null3"/>
            </w:pPr>
            <w:r>
              <w:rPr>
                <w:rFonts w:ascii="仿宋_GB2312" w:hAnsi="仿宋_GB2312" w:cs="仿宋_GB2312" w:eastAsia="仿宋_GB2312"/>
              </w:rPr>
              <w:t>12.《病媒生物危害风险评估应用准则与指南 大型活动》（GB/T 31716-2015）</w:t>
            </w:r>
          </w:p>
          <w:p>
            <w:pPr>
              <w:pStyle w:val="null3"/>
            </w:pPr>
            <w:r>
              <w:rPr>
                <w:rFonts w:ascii="仿宋_GB2312" w:hAnsi="仿宋_GB2312" w:cs="仿宋_GB2312" w:eastAsia="仿宋_GB2312"/>
              </w:rPr>
              <w:t>13.《病媒生物防制操作规程 居民区》（WS/T 687-2020）</w:t>
            </w:r>
          </w:p>
          <w:p>
            <w:pPr>
              <w:pStyle w:val="null3"/>
            </w:pPr>
            <w:r>
              <w:rPr>
                <w:rFonts w:ascii="仿宋_GB2312" w:hAnsi="仿宋_GB2312" w:cs="仿宋_GB2312" w:eastAsia="仿宋_GB2312"/>
              </w:rPr>
              <w:t>14.《病媒生物防制操作规程 宾馆饭店》（WS/T 688-2020）</w:t>
            </w:r>
          </w:p>
          <w:p>
            <w:pPr>
              <w:pStyle w:val="null3"/>
            </w:pPr>
            <w:r>
              <w:rPr>
                <w:rFonts w:ascii="仿宋_GB2312" w:hAnsi="仿宋_GB2312" w:cs="仿宋_GB2312" w:eastAsia="仿宋_GB2312"/>
              </w:rPr>
              <w:t>15.《病媒生物防制操作规程 餐饮服务场所》（WS/T 690-2020）</w:t>
            </w:r>
          </w:p>
          <w:p>
            <w:pPr>
              <w:pStyle w:val="null3"/>
            </w:pPr>
            <w:r>
              <w:rPr>
                <w:rFonts w:ascii="仿宋_GB2312" w:hAnsi="仿宋_GB2312" w:cs="仿宋_GB2312" w:eastAsia="仿宋_GB2312"/>
              </w:rPr>
              <w:t>16.《登革热病媒生物应急监测与控制标准》（WS/T 784-2021）</w:t>
            </w:r>
          </w:p>
          <w:p>
            <w:pPr>
              <w:pStyle w:val="null3"/>
            </w:pPr>
            <w:r>
              <w:rPr>
                <w:rFonts w:ascii="仿宋_GB2312" w:hAnsi="仿宋_GB2312" w:cs="仿宋_GB2312" w:eastAsia="仿宋_GB2312"/>
              </w:rPr>
              <w:t>17.《蚊虫生物防治技术指南 细菌杀幼剂》（WS/T 693-2020）</w:t>
            </w:r>
          </w:p>
          <w:p>
            <w:pPr>
              <w:pStyle w:val="null3"/>
            </w:pPr>
            <w:r>
              <w:rPr>
                <w:rFonts w:ascii="仿宋_GB2312" w:hAnsi="仿宋_GB2312" w:cs="仿宋_GB2312" w:eastAsia="仿宋_GB2312"/>
              </w:rPr>
              <w:t>18.《大型群众性活动安全管理条例》</w:t>
            </w:r>
          </w:p>
          <w:p>
            <w:pPr>
              <w:pStyle w:val="null3"/>
            </w:pPr>
            <w:r>
              <w:rPr>
                <w:rFonts w:ascii="仿宋_GB2312" w:hAnsi="仿宋_GB2312" w:cs="仿宋_GB2312" w:eastAsia="仿宋_GB2312"/>
              </w:rPr>
              <w:t>19.《体育赛事活动管理办法》（国家体育总局令第 31 号）</w:t>
            </w:r>
          </w:p>
          <w:p>
            <w:pPr>
              <w:pStyle w:val="null3"/>
            </w:pPr>
            <w:r>
              <w:rPr>
                <w:rFonts w:ascii="仿宋_GB2312" w:hAnsi="仿宋_GB2312" w:cs="仿宋_GB2312" w:eastAsia="仿宋_GB2312"/>
              </w:rPr>
              <w:t>20.《国家卫生城市标准（2021 版）》</w:t>
            </w:r>
          </w:p>
          <w:p>
            <w:pPr>
              <w:pStyle w:val="null3"/>
            </w:pPr>
            <w:r>
              <w:rPr>
                <w:rFonts w:ascii="仿宋_GB2312" w:hAnsi="仿宋_GB2312" w:cs="仿宋_GB2312" w:eastAsia="仿宋_GB2312"/>
              </w:rPr>
              <w:t>21.WHO《大型集会公共卫生风险管理指南》</w:t>
            </w:r>
          </w:p>
          <w:p>
            <w:pPr>
              <w:pStyle w:val="null3"/>
            </w:pPr>
            <w:r>
              <w:rPr>
                <w:rFonts w:ascii="仿宋_GB2312" w:hAnsi="仿宋_GB2312" w:cs="仿宋_GB2312" w:eastAsia="仿宋_GB2312"/>
              </w:rPr>
              <w:t>22.《病媒生物密度控制水平 现场检查规范》（DB61/T 1063—2017）</w:t>
            </w:r>
          </w:p>
          <w:p>
            <w:pPr>
              <w:pStyle w:val="null3"/>
            </w:pPr>
            <w:r>
              <w:rPr>
                <w:rFonts w:ascii="仿宋_GB2312" w:hAnsi="仿宋_GB2312" w:cs="仿宋_GB2312" w:eastAsia="仿宋_GB2312"/>
              </w:rPr>
              <w:t>23.《病媒生物防制服务机构等级评定规范》（DB61/T 1162—2018）</w:t>
            </w:r>
          </w:p>
          <w:p>
            <w:pPr>
              <w:pStyle w:val="null3"/>
            </w:pPr>
            <w:r>
              <w:rPr>
                <w:rFonts w:ascii="仿宋_GB2312" w:hAnsi="仿宋_GB2312" w:cs="仿宋_GB2312" w:eastAsia="仿宋_GB2312"/>
              </w:rPr>
              <w:t>24.《公共场所病媒生物防制技术规范》（DB61/T 1287—2019）</w:t>
            </w:r>
          </w:p>
          <w:p>
            <w:pPr>
              <w:pStyle w:val="null3"/>
            </w:pPr>
            <w:r>
              <w:rPr>
                <w:rFonts w:ascii="仿宋_GB2312" w:hAnsi="仿宋_GB2312" w:cs="仿宋_GB2312" w:eastAsia="仿宋_GB2312"/>
              </w:rPr>
              <w:t>25.《城市蚊虫综合防制技术规范》（DB61/T 1398—2020）</w:t>
            </w:r>
          </w:p>
          <w:p>
            <w:pPr>
              <w:pStyle w:val="null3"/>
            </w:pPr>
            <w:r>
              <w:rPr>
                <w:rFonts w:ascii="仿宋_GB2312" w:hAnsi="仿宋_GB2312" w:cs="仿宋_GB2312" w:eastAsia="仿宋_GB2312"/>
              </w:rPr>
              <w:t>26.《城市鼠类综合防制技术规范》（DB61/T 1497—2021）</w:t>
            </w:r>
          </w:p>
          <w:p>
            <w:pPr>
              <w:pStyle w:val="null3"/>
            </w:pPr>
            <w:r>
              <w:rPr>
                <w:rFonts w:ascii="仿宋_GB2312" w:hAnsi="仿宋_GB2312" w:cs="仿宋_GB2312" w:eastAsia="仿宋_GB2312"/>
              </w:rPr>
              <w:t>27.《病媒生物消杀消毒服务规范》（DB61/T 1596—2022）</w:t>
            </w:r>
          </w:p>
          <w:p>
            <w:pPr>
              <w:pStyle w:val="null3"/>
            </w:pPr>
            <w:r>
              <w:rPr>
                <w:rFonts w:ascii="仿宋_GB2312" w:hAnsi="仿宋_GB2312" w:cs="仿宋_GB2312" w:eastAsia="仿宋_GB2312"/>
              </w:rPr>
              <w:t>28.《陕西省大型活动公共卫生应急保障工作规范》</w:t>
            </w:r>
          </w:p>
          <w:p>
            <w:pPr>
              <w:pStyle w:val="null3"/>
            </w:pPr>
            <w:r>
              <w:rPr>
                <w:rFonts w:ascii="仿宋_GB2312" w:hAnsi="仿宋_GB2312" w:cs="仿宋_GB2312" w:eastAsia="仿宋_GB2312"/>
              </w:rPr>
              <w:t>29.《陕西省病媒生物防制工作管理办法》</w:t>
            </w:r>
          </w:p>
          <w:p>
            <w:pPr>
              <w:pStyle w:val="null3"/>
            </w:pPr>
            <w:r>
              <w:rPr>
                <w:rFonts w:ascii="仿宋_GB2312" w:hAnsi="仿宋_GB2312" w:cs="仿宋_GB2312" w:eastAsia="仿宋_GB2312"/>
              </w:rPr>
              <w:t>30.《陕西省爱国卫生工作条例》（2021 年修订）</w:t>
            </w:r>
          </w:p>
          <w:p>
            <w:pPr>
              <w:pStyle w:val="null3"/>
              <w:jc w:val="both"/>
            </w:pPr>
            <w:r>
              <w:rPr>
                <w:rFonts w:ascii="仿宋_GB2312" w:hAnsi="仿宋_GB2312" w:cs="仿宋_GB2312" w:eastAsia="仿宋_GB2312"/>
              </w:rPr>
              <w:t>31. 其他现行有效、与本项目相关的标准、规范及文件</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三、具体要求</w:t>
            </w:r>
          </w:p>
          <w:p>
            <w:pPr>
              <w:pStyle w:val="null3"/>
            </w:pPr>
            <w:r>
              <w:rPr>
                <w:rFonts w:ascii="仿宋_GB2312" w:hAnsi="仿宋_GB2312" w:cs="仿宋_GB2312" w:eastAsia="仿宋_GB2312"/>
              </w:rPr>
              <w:t>（一）总体要求</w:t>
            </w:r>
          </w:p>
          <w:p>
            <w:pPr>
              <w:pStyle w:val="null3"/>
            </w:pPr>
            <w:r>
              <w:rPr>
                <w:rFonts w:ascii="仿宋_GB2312" w:hAnsi="仿宋_GB2312" w:cs="仿宋_GB2312" w:eastAsia="仿宋_GB2312"/>
              </w:rPr>
              <w:t>确保十八运会期间病媒生物密度达到国家《病媒生物密度控制水平》C 级以上，防鼠防蝇设施合格率达到 95% 以上，环境消毒符合大型赛事公共卫生安全规范，预防和控制感染性疾病传播，保障各项赛事顺利进行。</w:t>
            </w:r>
          </w:p>
          <w:p>
            <w:pPr>
              <w:pStyle w:val="null3"/>
            </w:pPr>
            <w:r>
              <w:rPr>
                <w:rFonts w:ascii="仿宋_GB2312" w:hAnsi="仿宋_GB2312" w:cs="仿宋_GB2312" w:eastAsia="仿宋_GB2312"/>
              </w:rPr>
              <w:t>1. 病媒生物密度管控：全域（各场馆及周边 1000 米）鼠、蝇、蚊、蟑等主要病媒生物密度严格控制在国家《病媒生物密度控制水平》C 级及以上标准，核心赛事区域执行 B 级及以上标准，全程稳定达标，无超标反弹情况。</w:t>
            </w:r>
          </w:p>
          <w:p>
            <w:pPr>
              <w:pStyle w:val="null3"/>
            </w:pPr>
            <w:r>
              <w:rPr>
                <w:rFonts w:ascii="仿宋_GB2312" w:hAnsi="仿宋_GB2312" w:cs="仿宋_GB2312" w:eastAsia="仿宋_GB2312"/>
              </w:rPr>
              <w:t>2. 防制设施建设：全场馆及保障区域防鼠、防蝇、防蚊、防蟑等基础设施完整有效，设施合格率≥95%，核心区域合格率 100%，做到全覆盖、无盲区、无破损、无失效。</w:t>
            </w:r>
          </w:p>
          <w:p>
            <w:pPr>
              <w:pStyle w:val="null3"/>
            </w:pPr>
            <w:r>
              <w:rPr>
                <w:rFonts w:ascii="仿宋_GB2312" w:hAnsi="仿宋_GB2312" w:cs="仿宋_GB2312" w:eastAsia="仿宋_GB2312"/>
              </w:rPr>
              <w:t>3. 环境消杀规范：所有公共区域、功能用房、后勤区域、卫生死角消杀作业严格遵循大型赛事公共卫生安全规范，赛前、赛期、赛后全周期消杀，消杀流程、药剂使用、作业频次、安全防护全部合规，有效阻断感染性疾病传播途径。</w:t>
            </w:r>
          </w:p>
          <w:p>
            <w:pPr>
              <w:pStyle w:val="null3"/>
            </w:pPr>
            <w:r>
              <w:rPr>
                <w:rFonts w:ascii="仿宋_GB2312" w:hAnsi="仿宋_GB2312" w:cs="仿宋_GB2312" w:eastAsia="仿宋_GB2312"/>
              </w:rPr>
              <w:t>4. 安全保障目标：全程杜绝因病媒生物滋生、消杀作业不规范引发的公共卫生隐患、传染病传播、人员健康损害及赛事影响事件。</w:t>
            </w:r>
          </w:p>
          <w:p>
            <w:pPr>
              <w:pStyle w:val="null3"/>
            </w:pPr>
            <w:r>
              <w:rPr>
                <w:rFonts w:ascii="仿宋_GB2312" w:hAnsi="仿宋_GB2312" w:cs="仿宋_GB2312" w:eastAsia="仿宋_GB2312"/>
              </w:rPr>
              <w:t>（二）服务范围、区域划分与作业频次</w:t>
            </w:r>
          </w:p>
          <w:p>
            <w:pPr>
              <w:pStyle w:val="null3"/>
            </w:pPr>
            <w:r>
              <w:rPr>
                <w:rFonts w:ascii="仿宋_GB2312" w:hAnsi="仿宋_GB2312" w:cs="仿宋_GB2312" w:eastAsia="仿宋_GB2312"/>
              </w:rPr>
              <w:t>1. 服务范围</w:t>
            </w:r>
          </w:p>
          <w:p>
            <w:pPr>
              <w:pStyle w:val="null3"/>
            </w:pPr>
            <w:r>
              <w:rPr>
                <w:rFonts w:ascii="仿宋_GB2312" w:hAnsi="仿宋_GB2312" w:cs="仿宋_GB2312" w:eastAsia="仿宋_GB2312"/>
              </w:rPr>
              <w:t>覆盖体育场（37740㎡）、体育馆（21690㎡）、游泳馆（17250㎡）、全民健身中心（27820㎡）、射击馆（6410㎡）、跳水馆（4631㎡）及每个场馆周边 1000 米范围内所有公共区域、绿化带、管网、道路、垃圾收集点、餐饮配套区等。</w:t>
            </w:r>
          </w:p>
          <w:p>
            <w:pPr>
              <w:pStyle w:val="null3"/>
            </w:pPr>
            <w:r>
              <w:rPr>
                <w:rFonts w:ascii="仿宋_GB2312" w:hAnsi="仿宋_GB2312" w:cs="仿宋_GB2312" w:eastAsia="仿宋_GB2312"/>
              </w:rPr>
              <w:t>2. 区域划分</w:t>
            </w:r>
          </w:p>
          <w:p>
            <w:pPr>
              <w:pStyle w:val="null3"/>
            </w:pPr>
            <w:r>
              <w:rPr>
                <w:rFonts w:ascii="仿宋_GB2312" w:hAnsi="仿宋_GB2312" w:cs="仿宋_GB2312" w:eastAsia="仿宋_GB2312"/>
              </w:rPr>
              <w:t>1. 核心保障区：正式比赛场馆、开闭幕式场馆、训练场馆、贵宾室、会议室、运动员休息室、餐厅厨房、媒体中心、医疗点。</w:t>
            </w:r>
          </w:p>
          <w:p>
            <w:pPr>
              <w:pStyle w:val="null3"/>
            </w:pPr>
            <w:r>
              <w:rPr>
                <w:rFonts w:ascii="仿宋_GB2312" w:hAnsi="仿宋_GB2312" w:cs="仿宋_GB2312" w:eastAsia="仿宋_GB2312"/>
              </w:rPr>
              <w:t>2. 重点保障区：核心区外、场馆及周边 1000 米范围内公共区域、观众区域、通道、后勤库房、设备机房、卫生间、垃圾站、停车场。</w:t>
            </w:r>
          </w:p>
          <w:p>
            <w:pPr>
              <w:pStyle w:val="null3"/>
            </w:pPr>
            <w:r>
              <w:rPr>
                <w:rFonts w:ascii="仿宋_GB2312" w:hAnsi="仿宋_GB2312" w:cs="仿宋_GB2312" w:eastAsia="仿宋_GB2312"/>
              </w:rPr>
              <w:t>3. 一般保障区：场馆周边 1000 米以外的公园、绿地、河道、商业区、交通站点等公共区域。</w:t>
            </w:r>
          </w:p>
          <w:p>
            <w:pPr>
              <w:pStyle w:val="null3"/>
            </w:pPr>
            <w:r>
              <w:rPr>
                <w:rFonts w:ascii="仿宋_GB2312" w:hAnsi="仿宋_GB2312" w:cs="仿宋_GB2312" w:eastAsia="仿宋_GB2312"/>
              </w:rPr>
              <w:t>3. 全周期作业频次</w:t>
            </w:r>
          </w:p>
          <w:p>
            <w:pPr>
              <w:pStyle w:val="null3"/>
            </w:pPr>
            <w:r>
              <w:rPr>
                <w:rFonts w:ascii="仿宋_GB2312" w:hAnsi="仿宋_GB2312" w:cs="仿宋_GB2312" w:eastAsia="仿宋_GB2312"/>
              </w:rPr>
              <w:t>赛前保障期：全域深度消杀不少于 2 次，彻底治理孳生地；</w:t>
            </w:r>
          </w:p>
          <w:p>
            <w:pPr>
              <w:pStyle w:val="null3"/>
            </w:pPr>
            <w:r>
              <w:rPr>
                <w:rFonts w:ascii="仿宋_GB2312" w:hAnsi="仿宋_GB2312" w:cs="仿宋_GB2312" w:eastAsia="仿宋_GB2312"/>
              </w:rPr>
              <w:t>赛时保障期：每日常态化消杀 + 重点区域加密消杀；</w:t>
            </w:r>
          </w:p>
          <w:p>
            <w:pPr>
              <w:pStyle w:val="null3"/>
            </w:pPr>
            <w:r>
              <w:rPr>
                <w:rFonts w:ascii="仿宋_GB2312" w:hAnsi="仿宋_GB2312" w:cs="仿宋_GB2312" w:eastAsia="仿宋_GB2312"/>
              </w:rPr>
              <w:t>赛后巩固期：全面巩固消杀不少于 1 次，防止密度反弹；</w:t>
            </w:r>
          </w:p>
          <w:p>
            <w:pPr>
              <w:pStyle w:val="null3"/>
            </w:pPr>
            <w:r>
              <w:rPr>
                <w:rFonts w:ascii="仿宋_GB2312" w:hAnsi="仿宋_GB2312" w:cs="仿宋_GB2312" w:eastAsia="仿宋_GB2312"/>
              </w:rPr>
              <w:t>日常强化（6、7、8 月）：每个场馆及周边 1000 米每月 2 次、累计 6 次专项防制服务。</w:t>
            </w:r>
          </w:p>
          <w:p>
            <w:pPr>
              <w:pStyle w:val="null3"/>
            </w:pPr>
            <w:r>
              <w:rPr>
                <w:rFonts w:ascii="仿宋_GB2312" w:hAnsi="仿宋_GB2312" w:cs="仿宋_GB2312" w:eastAsia="仿宋_GB2312"/>
              </w:rPr>
              <w:t>（三）病媒生物分级密度控制标准</w:t>
            </w:r>
          </w:p>
          <w:p>
            <w:pPr>
              <w:pStyle w:val="null3"/>
            </w:pPr>
            <w:r>
              <w:rPr>
                <w:rFonts w:ascii="仿宋_GB2312" w:hAnsi="仿宋_GB2312" w:cs="仿宋_GB2312" w:eastAsia="仿宋_GB2312"/>
              </w:rPr>
              <w:t>1. 鼠类</w:t>
            </w:r>
          </w:p>
          <w:p>
            <w:pPr>
              <w:pStyle w:val="null3"/>
            </w:pPr>
            <w:r>
              <w:rPr>
                <w:rFonts w:ascii="仿宋_GB2312" w:hAnsi="仿宋_GB2312" w:cs="仿宋_GB2312" w:eastAsia="仿宋_GB2312"/>
              </w:rPr>
              <w:t>核心区：室内无鼠迹；外环境 1000 米路径鼠迹≤1 处；防鼠设施合格率 100%</w:t>
            </w:r>
          </w:p>
          <w:p>
            <w:pPr>
              <w:pStyle w:val="null3"/>
            </w:pPr>
            <w:r>
              <w:rPr>
                <w:rFonts w:ascii="仿宋_GB2312" w:hAnsi="仿宋_GB2312" w:cs="仿宋_GB2312" w:eastAsia="仿宋_GB2312"/>
              </w:rPr>
              <w:t>重点区：有鼠迹房间≤3%；外环境 1000 米路径鼠迹≤3 处；防鼠设施合格率≥95%</w:t>
            </w:r>
          </w:p>
          <w:p>
            <w:pPr>
              <w:pStyle w:val="null3"/>
            </w:pPr>
            <w:r>
              <w:rPr>
                <w:rFonts w:ascii="仿宋_GB2312" w:hAnsi="仿宋_GB2312" w:cs="仿宋_GB2312" w:eastAsia="仿宋_GB2312"/>
              </w:rPr>
              <w:t>一般区：有鼠迹房间≤5%；外环境 1000 米路径鼠迹≤5 处；防鼠设施合格率≥95%</w:t>
            </w:r>
          </w:p>
          <w:p>
            <w:pPr>
              <w:pStyle w:val="null3"/>
            </w:pPr>
            <w:r>
              <w:rPr>
                <w:rFonts w:ascii="仿宋_GB2312" w:hAnsi="仿宋_GB2312" w:cs="仿宋_GB2312" w:eastAsia="仿宋_GB2312"/>
              </w:rPr>
              <w:t>2. 蚊虫</w:t>
            </w:r>
          </w:p>
          <w:p>
            <w:pPr>
              <w:pStyle w:val="null3"/>
            </w:pPr>
            <w:r>
              <w:rPr>
                <w:rFonts w:ascii="仿宋_GB2312" w:hAnsi="仿宋_GB2312" w:cs="仿宋_GB2312" w:eastAsia="仿宋_GB2312"/>
              </w:rPr>
              <w:t>核心区：室内无成蚊；路径指数≤0.1；布雷图指数≤5</w:t>
            </w:r>
          </w:p>
          <w:p>
            <w:pPr>
              <w:pStyle w:val="null3"/>
            </w:pPr>
            <w:r>
              <w:rPr>
                <w:rFonts w:ascii="仿宋_GB2312" w:hAnsi="仿宋_GB2312" w:cs="仿宋_GB2312" w:eastAsia="仿宋_GB2312"/>
              </w:rPr>
              <w:t>重点区：路径指数≤0.5；布雷图指数≤5</w:t>
            </w:r>
          </w:p>
          <w:p>
            <w:pPr>
              <w:pStyle w:val="null3"/>
            </w:pPr>
            <w:r>
              <w:rPr>
                <w:rFonts w:ascii="仿宋_GB2312" w:hAnsi="仿宋_GB2312" w:cs="仿宋_GB2312" w:eastAsia="仿宋_GB2312"/>
              </w:rPr>
              <w:t>一般区：路径指数≤0.8；布雷图指数≤10</w:t>
            </w:r>
          </w:p>
          <w:p>
            <w:pPr>
              <w:pStyle w:val="null3"/>
            </w:pPr>
            <w:r>
              <w:rPr>
                <w:rFonts w:ascii="仿宋_GB2312" w:hAnsi="仿宋_GB2312" w:cs="仿宋_GB2312" w:eastAsia="仿宋_GB2312"/>
              </w:rPr>
              <w:t>3. 蝇类</w:t>
            </w:r>
          </w:p>
          <w:p>
            <w:pPr>
              <w:pStyle w:val="null3"/>
            </w:pPr>
            <w:r>
              <w:rPr>
                <w:rFonts w:ascii="仿宋_GB2312" w:hAnsi="仿宋_GB2312" w:cs="仿宋_GB2312" w:eastAsia="仿宋_GB2312"/>
              </w:rPr>
              <w:t>核心区：有蝇房间≤3%；防蝇设施合格率 100%；食品场所无蝇</w:t>
            </w:r>
          </w:p>
          <w:p>
            <w:pPr>
              <w:pStyle w:val="null3"/>
            </w:pPr>
            <w:r>
              <w:rPr>
                <w:rFonts w:ascii="仿宋_GB2312" w:hAnsi="仿宋_GB2312" w:cs="仿宋_GB2312" w:eastAsia="仿宋_GB2312"/>
              </w:rPr>
              <w:t>重点区：有蝇房间≤6%；防蝇设施合格率≥95%；食品场所无蝇</w:t>
            </w:r>
          </w:p>
          <w:p>
            <w:pPr>
              <w:pStyle w:val="null3"/>
            </w:pPr>
            <w:r>
              <w:rPr>
                <w:rFonts w:ascii="仿宋_GB2312" w:hAnsi="仿宋_GB2312" w:cs="仿宋_GB2312" w:eastAsia="仿宋_GB2312"/>
              </w:rPr>
              <w:t>一般区：有蝇房间≤9%；防蝇设施合格率≥95%；食品场所无蝇</w:t>
            </w:r>
          </w:p>
          <w:p>
            <w:pPr>
              <w:pStyle w:val="null3"/>
            </w:pPr>
            <w:r>
              <w:rPr>
                <w:rFonts w:ascii="仿宋_GB2312" w:hAnsi="仿宋_GB2312" w:cs="仿宋_GB2312" w:eastAsia="仿宋_GB2312"/>
              </w:rPr>
              <w:t>4. 蟑螂（蜚蠊）</w:t>
            </w:r>
          </w:p>
          <w:p>
            <w:pPr>
              <w:pStyle w:val="null3"/>
            </w:pPr>
            <w:r>
              <w:rPr>
                <w:rFonts w:ascii="仿宋_GB2312" w:hAnsi="仿宋_GB2312" w:cs="仿宋_GB2312" w:eastAsia="仿宋_GB2312"/>
              </w:rPr>
              <w:t>核心区：无蟑螂、无卵鞘、无蟑迹</w:t>
            </w:r>
          </w:p>
          <w:p>
            <w:pPr>
              <w:pStyle w:val="null3"/>
            </w:pPr>
            <w:r>
              <w:rPr>
                <w:rFonts w:ascii="仿宋_GB2312" w:hAnsi="仿宋_GB2312" w:cs="仿宋_GB2312" w:eastAsia="仿宋_GB2312"/>
              </w:rPr>
              <w:t>重点区：阳性房间≤3%；蟑迹房间≤5%</w:t>
            </w:r>
          </w:p>
          <w:p>
            <w:pPr>
              <w:pStyle w:val="null3"/>
            </w:pPr>
            <w:r>
              <w:rPr>
                <w:rFonts w:ascii="仿宋_GB2312" w:hAnsi="仿宋_GB2312" w:cs="仿宋_GB2312" w:eastAsia="仿宋_GB2312"/>
              </w:rPr>
              <w:t>一般区：阳性房间≤5%；蟑迹房间≤7%</w:t>
            </w:r>
          </w:p>
          <w:p>
            <w:pPr>
              <w:pStyle w:val="null3"/>
            </w:pPr>
            <w:r>
              <w:rPr>
                <w:rFonts w:ascii="仿宋_GB2312" w:hAnsi="仿宋_GB2312" w:cs="仿宋_GB2312" w:eastAsia="仿宋_GB2312"/>
              </w:rPr>
              <w:t>（四）专项病媒生物防制服务要求</w:t>
            </w:r>
          </w:p>
          <w:p>
            <w:pPr>
              <w:pStyle w:val="null3"/>
            </w:pPr>
            <w:r>
              <w:rPr>
                <w:rFonts w:ascii="仿宋_GB2312" w:hAnsi="仿宋_GB2312" w:cs="仿宋_GB2312" w:eastAsia="仿宋_GB2312"/>
              </w:rPr>
              <w:t>1. 鼠类防制</w:t>
            </w:r>
          </w:p>
          <w:p>
            <w:pPr>
              <w:pStyle w:val="null3"/>
            </w:pPr>
            <w:r>
              <w:rPr>
                <w:rFonts w:ascii="仿宋_GB2312" w:hAnsi="仿宋_GB2312" w:cs="仿宋_GB2312" w:eastAsia="仿宋_GB2312"/>
              </w:rPr>
              <w:t>设施布设：在场馆出入口、门窗、通风口、下水道、电缆井口、库房、后厨、设备间及周边 1000 米重点区域，规范设置挡鼠板、防鼠网、灭鼠诱饵站、粘鼠板，设施布设牢固规整，无空缺破损。</w:t>
            </w:r>
          </w:p>
          <w:p>
            <w:pPr>
              <w:pStyle w:val="null3"/>
            </w:pPr>
            <w:r>
              <w:rPr>
                <w:rFonts w:ascii="仿宋_GB2312" w:hAnsi="仿宋_GB2312" w:cs="仿宋_GB2312" w:eastAsia="仿宋_GB2312"/>
              </w:rPr>
              <w:t>密度管控：常态化排查鼠类活动痕迹，现场无鼠粪、咬痕、盗洞及活体踪迹，鼠类密度稳定达到 C 级及以上标准。</w:t>
            </w:r>
          </w:p>
          <w:p>
            <w:pPr>
              <w:pStyle w:val="null3"/>
            </w:pPr>
            <w:r>
              <w:rPr>
                <w:rFonts w:ascii="仿宋_GB2312" w:hAnsi="仿宋_GB2312" w:cs="仿宋_GB2312" w:eastAsia="仿宋_GB2312"/>
              </w:rPr>
              <w:t>日常运维：每日开展设施巡检维护，及时更换损耗耗材、清理痕迹、封堵孔洞，从源头抑制鼠类滋生扩散。</w:t>
            </w:r>
          </w:p>
          <w:p>
            <w:pPr>
              <w:pStyle w:val="null3"/>
            </w:pPr>
            <w:r>
              <w:rPr>
                <w:rFonts w:ascii="仿宋_GB2312" w:hAnsi="仿宋_GB2312" w:cs="仿宋_GB2312" w:eastAsia="仿宋_GB2312"/>
              </w:rPr>
              <w:t>作业频次：赛前每周开展 2 次全域防制巡检；赛期每日巡查并按需补药维护；发现问题第一时间开展应急处置。</w:t>
            </w:r>
          </w:p>
          <w:p>
            <w:pPr>
              <w:pStyle w:val="null3"/>
            </w:pPr>
            <w:r>
              <w:rPr>
                <w:rFonts w:ascii="仿宋_GB2312" w:hAnsi="仿宋_GB2312" w:cs="仿宋_GB2312" w:eastAsia="仿宋_GB2312"/>
              </w:rPr>
              <w:t>2. 蝇类防制</w:t>
            </w:r>
          </w:p>
          <w:p>
            <w:pPr>
              <w:pStyle w:val="null3"/>
            </w:pPr>
            <w:r>
              <w:rPr>
                <w:rFonts w:ascii="仿宋_GB2312" w:hAnsi="仿宋_GB2312" w:cs="仿宋_GB2312" w:eastAsia="仿宋_GB2312"/>
              </w:rPr>
              <w:t>设施配置：在卫生间、垃圾收集点位、餐饮区域、走廊及低洼区域足额布设灭蝇灯、粘蝇条、风幕设备，确保设备正常通电运行。</w:t>
            </w:r>
          </w:p>
          <w:p>
            <w:pPr>
              <w:pStyle w:val="null3"/>
            </w:pPr>
            <w:r>
              <w:rPr>
                <w:rFonts w:ascii="仿宋_GB2312" w:hAnsi="仿宋_GB2312" w:cs="仿宋_GB2312" w:eastAsia="仿宋_GB2312"/>
              </w:rPr>
              <w:t>环境治理：配合全域环境卫生整治工作，及时清理积存垃圾、积水与腐败杂物，严格落实垃圾日产日清要求，彻底消除蝇类孳生源头。</w:t>
            </w:r>
          </w:p>
          <w:p>
            <w:pPr>
              <w:pStyle w:val="null3"/>
            </w:pPr>
            <w:r>
              <w:rPr>
                <w:rFonts w:ascii="仿宋_GB2312" w:hAnsi="仿宋_GB2312" w:cs="仿宋_GB2312" w:eastAsia="仿宋_GB2312"/>
              </w:rPr>
              <w:t>密度管控：服务区域内杜绝蝇类大规模聚集，不得干扰赛事正常开展与人员活动。</w:t>
            </w:r>
          </w:p>
          <w:p>
            <w:pPr>
              <w:pStyle w:val="null3"/>
            </w:pPr>
            <w:r>
              <w:rPr>
                <w:rFonts w:ascii="仿宋_GB2312" w:hAnsi="仿宋_GB2312" w:cs="仿宋_GB2312" w:eastAsia="仿宋_GB2312"/>
              </w:rPr>
              <w:t>3. 蚊虫防制</w:t>
            </w:r>
          </w:p>
          <w:p>
            <w:pPr>
              <w:pStyle w:val="null3"/>
            </w:pPr>
            <w:r>
              <w:rPr>
                <w:rFonts w:ascii="仿宋_GB2312" w:hAnsi="仿宋_GB2312" w:cs="仿宋_GB2312" w:eastAsia="仿宋_GB2312"/>
              </w:rPr>
              <w:t>孳生地治理：全面清理场馆及周边 1000 米范围内积水点位，常态化开展滞留喷洒、孳生地消杀作业，杜绝蚊虫滋生繁衍。</w:t>
            </w:r>
          </w:p>
          <w:p>
            <w:pPr>
              <w:pStyle w:val="null3"/>
            </w:pPr>
            <w:r>
              <w:rPr>
                <w:rFonts w:ascii="仿宋_GB2312" w:hAnsi="仿宋_GB2312" w:cs="仿宋_GB2312" w:eastAsia="仿宋_GB2312"/>
              </w:rPr>
              <w:t>成蚊防控：针对重点区域采用空间喷雾、热烟雾消杀等方式，有效降低成蚊活动密度。</w:t>
            </w:r>
          </w:p>
          <w:p>
            <w:pPr>
              <w:pStyle w:val="null3"/>
            </w:pPr>
            <w:r>
              <w:rPr>
                <w:rFonts w:ascii="仿宋_GB2312" w:hAnsi="仿宋_GB2312" w:cs="仿宋_GB2312" w:eastAsia="仿宋_GB2312"/>
              </w:rPr>
              <w:t>作业频次：赛前每周开展 3 次消杀管控；赛期每日对重点区域实施消杀作业，并同步落实物理防蚊措施。</w:t>
            </w:r>
          </w:p>
          <w:p>
            <w:pPr>
              <w:pStyle w:val="null3"/>
            </w:pPr>
            <w:r>
              <w:rPr>
                <w:rFonts w:ascii="仿宋_GB2312" w:hAnsi="仿宋_GB2312" w:cs="仿宋_GB2312" w:eastAsia="仿宋_GB2312"/>
              </w:rPr>
              <w:t>4. 蟑螂及其他虫害防制</w:t>
            </w:r>
          </w:p>
          <w:p>
            <w:pPr>
              <w:pStyle w:val="null3"/>
            </w:pPr>
            <w:r>
              <w:rPr>
                <w:rFonts w:ascii="仿宋_GB2312" w:hAnsi="仿宋_GB2312" w:cs="仿宋_GB2312" w:eastAsia="仿宋_GB2312"/>
              </w:rPr>
              <w:t>蟑螂防制：对卫生间、设备机房、储物间、后厨管线缝隙等点位定点施药消杀，定期排查核验，区域内无蟑螂活体、虫迹及卵鞘。</w:t>
            </w:r>
          </w:p>
          <w:p>
            <w:pPr>
              <w:pStyle w:val="null3"/>
            </w:pPr>
            <w:r>
              <w:rPr>
                <w:rFonts w:ascii="仿宋_GB2312" w:hAnsi="仿宋_GB2312" w:cs="仿宋_GB2312" w:eastAsia="仿宋_GB2312"/>
              </w:rPr>
              <w:t>其他虫害防制：同步开展蚂蚁、螨虫、小飞虫等虫害防控工作，快速处置突发虫害隐患，保障区域环境整洁安全。</w:t>
            </w:r>
          </w:p>
          <w:p>
            <w:pPr>
              <w:pStyle w:val="null3"/>
            </w:pPr>
            <w:r>
              <w:rPr>
                <w:rFonts w:ascii="仿宋_GB2312" w:hAnsi="仿宋_GB2312" w:cs="仿宋_GB2312" w:eastAsia="仿宋_GB2312"/>
              </w:rPr>
              <w:t>（五）全域环境消杀服务要求</w:t>
            </w:r>
          </w:p>
          <w:p>
            <w:pPr>
              <w:pStyle w:val="null3"/>
            </w:pPr>
            <w:r>
              <w:rPr>
                <w:rFonts w:ascii="仿宋_GB2312" w:hAnsi="仿宋_GB2312" w:cs="仿宋_GB2312" w:eastAsia="仿宋_GB2312"/>
              </w:rPr>
              <w:t>1. 消杀覆盖范围</w:t>
            </w:r>
          </w:p>
          <w:p>
            <w:pPr>
              <w:pStyle w:val="null3"/>
            </w:pPr>
            <w:r>
              <w:rPr>
                <w:rFonts w:ascii="仿宋_GB2312" w:hAnsi="仿宋_GB2312" w:cs="仿宋_GB2312" w:eastAsia="仿宋_GB2312"/>
              </w:rPr>
              <w:t>全面覆盖竞赛场地、观众区、贵宾区、运动员休息室、更衣室、卫生间、通道、电梯、会议室、医疗点、后勤库房、设备机房、垃圾收集点、出入口及各场馆外围 1000 米保障区域，做到全域覆盖、无死角遗漏。</w:t>
            </w:r>
          </w:p>
          <w:p>
            <w:pPr>
              <w:pStyle w:val="null3"/>
            </w:pPr>
            <w:r>
              <w:rPr>
                <w:rFonts w:ascii="仿宋_GB2312" w:hAnsi="仿宋_GB2312" w:cs="仿宋_GB2312" w:eastAsia="仿宋_GB2312"/>
              </w:rPr>
              <w:t>2. 消杀作业规范</w:t>
            </w:r>
          </w:p>
          <w:p>
            <w:pPr>
              <w:pStyle w:val="null3"/>
            </w:pPr>
            <w:r>
              <w:rPr>
                <w:rFonts w:ascii="仿宋_GB2312" w:hAnsi="仿宋_GB2312" w:cs="仿宋_GB2312" w:eastAsia="仿宋_GB2312"/>
              </w:rPr>
              <w:t>药剂合规：所有消杀防制药剂均具备农药登记证、生产许可证、产品合格证，选用低毒高效、环保无残留品类，严禁使用各类违禁药剂。</w:t>
            </w:r>
          </w:p>
          <w:p>
            <w:pPr>
              <w:pStyle w:val="null3"/>
            </w:pPr>
            <w:r>
              <w:rPr>
                <w:rFonts w:ascii="仿宋_GB2312" w:hAnsi="仿宋_GB2312" w:cs="仿宋_GB2312" w:eastAsia="仿宋_GB2312"/>
              </w:rPr>
              <w:t>频次标准：赛前完成不少于 2 次深度消杀；6-8 月每月常态化开展专项作业，累计完成 6 次；赛期执行每日消杀；赛后开展不少于 1 次巩固消杀。</w:t>
            </w:r>
          </w:p>
          <w:p>
            <w:pPr>
              <w:pStyle w:val="null3"/>
            </w:pPr>
            <w:r>
              <w:rPr>
                <w:rFonts w:ascii="仿宋_GB2312" w:hAnsi="仿宋_GB2312" w:cs="仿宋_GB2312" w:eastAsia="仿宋_GB2312"/>
              </w:rPr>
              <w:t>作业安全：作业人员规范穿戴防护装备，严格按照配比标准调配药剂，避开赛事活动高峰时段作业，做好现场警示防护，杜绝药剂残留、人员受伤及设备腐蚀问题。</w:t>
            </w:r>
          </w:p>
          <w:p>
            <w:pPr>
              <w:pStyle w:val="null3"/>
            </w:pPr>
            <w:r>
              <w:rPr>
                <w:rFonts w:ascii="仿宋_GB2312" w:hAnsi="仿宋_GB2312" w:cs="仿宋_GB2312" w:eastAsia="仿宋_GB2312"/>
              </w:rPr>
              <w:t>台账留存：完整记录作业时间、服务区域、药剂规格、作业人员及巡检整改情况，所有资料留存完整，可随时追溯核查。</w:t>
            </w:r>
          </w:p>
          <w:p>
            <w:pPr>
              <w:pStyle w:val="null3"/>
            </w:pPr>
            <w:r>
              <w:rPr>
                <w:rFonts w:ascii="仿宋_GB2312" w:hAnsi="仿宋_GB2312" w:cs="仿宋_GB2312" w:eastAsia="仿宋_GB2312"/>
              </w:rPr>
              <w:t>（六）药剂与器械要求</w:t>
            </w:r>
          </w:p>
          <w:p>
            <w:pPr>
              <w:pStyle w:val="null3"/>
            </w:pPr>
            <w:r>
              <w:rPr>
                <w:rFonts w:ascii="仿宋_GB2312" w:hAnsi="仿宋_GB2312" w:cs="仿宋_GB2312" w:eastAsia="仿宋_GB2312"/>
              </w:rPr>
              <w:t>1. 药剂要求</w:t>
            </w:r>
          </w:p>
          <w:p>
            <w:pPr>
              <w:pStyle w:val="null3"/>
            </w:pPr>
            <w:r>
              <w:rPr>
                <w:rFonts w:ascii="仿宋_GB2312" w:hAnsi="仿宋_GB2312" w:cs="仿宋_GB2312" w:eastAsia="仿宋_GB2312"/>
              </w:rPr>
              <w:t>所有消杀、防制、消毒药剂均三证齐全，符合大型赛事安全使用管理规定。药剂选用低毒环保、刺激性小、无残留产品，严禁采购、使用高毒剧毒及违规违禁类药剂。</w:t>
            </w:r>
          </w:p>
          <w:p>
            <w:pPr>
              <w:pStyle w:val="null3"/>
            </w:pPr>
            <w:r>
              <w:rPr>
                <w:rFonts w:ascii="仿宋_GB2312" w:hAnsi="仿宋_GB2312" w:cs="仿宋_GB2312" w:eastAsia="仿宋_GB2312"/>
              </w:rPr>
              <w:t>2. 器械要求</w:t>
            </w:r>
          </w:p>
          <w:p>
            <w:pPr>
              <w:pStyle w:val="null3"/>
            </w:pPr>
            <w:r>
              <w:rPr>
                <w:rFonts w:ascii="仿宋_GB2312" w:hAnsi="仿宋_GB2312" w:cs="仿宋_GB2312" w:eastAsia="仿宋_GB2312"/>
              </w:rPr>
              <w:t>配齐超低容量喷雾机、热烟雾机、各类喷雾器具、捕鼠捕蝇设备、密度监测仪器等专业作业器械，定期开展维护保养，确保设备性能完好，满足日常作业与应急处置需求。同步配备防护服、防护口罩、护目镜、防护手套、防滑胶靴等全套个人防护装备。</w:t>
            </w:r>
          </w:p>
          <w:p>
            <w:pPr>
              <w:pStyle w:val="null3"/>
            </w:pPr>
            <w:r>
              <w:rPr>
                <w:rFonts w:ascii="仿宋_GB2312" w:hAnsi="仿宋_GB2312" w:cs="仿宋_GB2312" w:eastAsia="仿宋_GB2312"/>
              </w:rPr>
              <w:t>（七）监测与质控要求</w:t>
            </w:r>
          </w:p>
          <w:p>
            <w:pPr>
              <w:pStyle w:val="null3"/>
            </w:pPr>
            <w:r>
              <w:rPr>
                <w:rFonts w:ascii="仿宋_GB2312" w:hAnsi="仿宋_GB2312" w:cs="仿宋_GB2312" w:eastAsia="仿宋_GB2312"/>
              </w:rPr>
              <w:t>1. 常态化监测</w:t>
            </w:r>
          </w:p>
          <w:p>
            <w:pPr>
              <w:pStyle w:val="null3"/>
            </w:pPr>
            <w:r>
              <w:rPr>
                <w:rFonts w:ascii="仿宋_GB2312" w:hAnsi="仿宋_GB2312" w:cs="仿宋_GB2312" w:eastAsia="仿宋_GB2312"/>
              </w:rPr>
              <w:t>严格按照 GB/T 23795-2009、GB/T 23796-2009、GB/T 23797-2020、GB/T 23798-2009 标准，开展鼠、蚊、蝇、蟑四类病媒生物定点密度监测，如实完整留存监测数据。</w:t>
            </w:r>
          </w:p>
          <w:p>
            <w:pPr>
              <w:pStyle w:val="null3"/>
            </w:pPr>
            <w:r>
              <w:rPr>
                <w:rFonts w:ascii="仿宋_GB2312" w:hAnsi="仿宋_GB2312" w:cs="仿宋_GB2312" w:eastAsia="仿宋_GB2312"/>
              </w:rPr>
              <w:t>2. 重点监测区域</w:t>
            </w:r>
          </w:p>
          <w:p>
            <w:pPr>
              <w:pStyle w:val="null3"/>
            </w:pPr>
            <w:r>
              <w:rPr>
                <w:rFonts w:ascii="仿宋_GB2312" w:hAnsi="仿宋_GB2312" w:cs="仿宋_GB2312" w:eastAsia="仿宋_GB2312"/>
              </w:rPr>
              <w:t>重点排查孳生地、积水区域、垃圾站点、管网井道、后厨、机房、卫生间等薄弱点位，实时掌握虫害活动情况。</w:t>
            </w:r>
          </w:p>
          <w:p>
            <w:pPr>
              <w:pStyle w:val="null3"/>
            </w:pPr>
            <w:r>
              <w:rPr>
                <w:rFonts w:ascii="仿宋_GB2312" w:hAnsi="仿宋_GB2312" w:cs="仿宋_GB2312" w:eastAsia="仿宋_GB2312"/>
              </w:rPr>
              <w:t>3. 质量管控</w:t>
            </w:r>
          </w:p>
          <w:p>
            <w:pPr>
              <w:pStyle w:val="null3"/>
            </w:pPr>
            <w:r>
              <w:rPr>
                <w:rFonts w:ascii="仿宋_GB2312" w:hAnsi="仿宋_GB2312" w:cs="仿宋_GB2312" w:eastAsia="仿宋_GB2312"/>
              </w:rPr>
              <w:t>每周汇总监测数据并开展效果评估，按时提交监测工作报表；一旦发现密度超标，立即加密作业频次强化处置，动态管控虫害情况；主动接受赛事组委会、卫健、疾控部门监督考核。</w:t>
            </w:r>
          </w:p>
          <w:p>
            <w:pPr>
              <w:pStyle w:val="null3"/>
            </w:pPr>
            <w:r>
              <w:rPr>
                <w:rFonts w:ascii="仿宋_GB2312" w:hAnsi="仿宋_GB2312" w:cs="仿宋_GB2312" w:eastAsia="仿宋_GB2312"/>
              </w:rPr>
              <w:t>4. 资料管理</w:t>
            </w:r>
          </w:p>
          <w:p>
            <w:pPr>
              <w:pStyle w:val="null3"/>
            </w:pPr>
            <w:r>
              <w:rPr>
                <w:rFonts w:ascii="仿宋_GB2312" w:hAnsi="仿宋_GB2312" w:cs="仿宋_GB2312" w:eastAsia="仿宋_GB2312"/>
              </w:rPr>
              <w:t>分类建立监测档案、质控记录、药剂领用台账、作业单据及整改凭证，全过程资料齐全规范，可溯源可查验。</w:t>
            </w:r>
          </w:p>
          <w:p>
            <w:pPr>
              <w:pStyle w:val="null3"/>
            </w:pPr>
            <w:r>
              <w:rPr>
                <w:rFonts w:ascii="仿宋_GB2312" w:hAnsi="仿宋_GB2312" w:cs="仿宋_GB2312" w:eastAsia="仿宋_GB2312"/>
              </w:rPr>
              <w:t>（八）巡查运维与整改要求</w:t>
            </w:r>
          </w:p>
          <w:p>
            <w:pPr>
              <w:pStyle w:val="null3"/>
            </w:pPr>
            <w:r>
              <w:rPr>
                <w:rFonts w:ascii="仿宋_GB2312" w:hAnsi="仿宋_GB2312" w:cs="仿宋_GB2312" w:eastAsia="仿宋_GB2312"/>
              </w:rPr>
              <w:t>日常实行全域每日巡查、重点时段加密巡检，巡查范围覆盖场馆及周边 1000 米区域，重点核查虫害密度、设施完好度、消杀成效及孳生隐患，同步建立巡查台账。发现设施破损、指标超标、消杀盲区等问题立即落实整改，闭环处置不留隐患。结合天气变化、人流规模动态调整作业频次与防控方案，保障各项指标稳定达标。</w:t>
            </w:r>
          </w:p>
          <w:p>
            <w:pPr>
              <w:pStyle w:val="null3"/>
            </w:pPr>
            <w:r>
              <w:rPr>
                <w:rFonts w:ascii="仿宋_GB2312" w:hAnsi="仿宋_GB2312" w:cs="仿宋_GB2312" w:eastAsia="仿宋_GB2312"/>
              </w:rPr>
              <w:t>（九）应急保障要求</w:t>
            </w:r>
          </w:p>
          <w:p>
            <w:pPr>
              <w:pStyle w:val="null3"/>
            </w:pPr>
            <w:r>
              <w:rPr>
                <w:rFonts w:ascii="仿宋_GB2312" w:hAnsi="仿宋_GB2312" w:cs="仿宋_GB2312" w:eastAsia="仿宋_GB2312"/>
              </w:rPr>
              <w:t>组建赛事专属应急保障班组，配齐在岗工作人员与作业药械物资，实行 24 小时在岗值守制度。遇病媒生物暴发、密度异常超标、突发虫害侵扰等情况，即刻启动应急处置预案，确保 30 分钟内人员到场处置。强化源头防控管理，切断疫病传播途径，筑牢赛事公共卫生安全防护底线。</w:t>
            </w:r>
          </w:p>
          <w:p>
            <w:pPr>
              <w:pStyle w:val="null3"/>
            </w:pPr>
            <w:r>
              <w:rPr>
                <w:rFonts w:ascii="仿宋_GB2312" w:hAnsi="仿宋_GB2312" w:cs="仿宋_GB2312" w:eastAsia="仿宋_GB2312"/>
              </w:rPr>
              <w:t>（十）人员配置要求</w:t>
            </w:r>
          </w:p>
          <w:p>
            <w:pPr>
              <w:pStyle w:val="null3"/>
            </w:pPr>
            <w:r>
              <w:rPr>
                <w:rFonts w:ascii="仿宋_GB2312" w:hAnsi="仿宋_GB2312" w:cs="仿宋_GB2312" w:eastAsia="仿宋_GB2312"/>
              </w:rPr>
              <w:t>项目负责人 1 名，须持有有害生物防制员三级/高级工及以上职业技能等级证书，具备公共卫生保障管理经验，全程驻场统筹各项工作。</w:t>
            </w:r>
          </w:p>
          <w:p>
            <w:pPr>
              <w:pStyle w:val="null3"/>
            </w:pPr>
            <w:r>
              <w:rPr>
                <w:rFonts w:ascii="仿宋_GB2312" w:hAnsi="仿宋_GB2312" w:cs="仿宋_GB2312" w:eastAsia="仿宋_GB2312"/>
              </w:rPr>
              <w:t>技术负责人 1 名，须持有有害生物防制员四级/中级工及以上职业技能等级证书，负责技术方案落地、药剂管控及质量监督工作。</w:t>
            </w:r>
          </w:p>
          <w:p>
            <w:pPr>
              <w:pStyle w:val="null3"/>
            </w:pPr>
            <w:r>
              <w:rPr>
                <w:rFonts w:ascii="仿宋_GB2312" w:hAnsi="仿宋_GB2312" w:cs="仿宋_GB2312" w:eastAsia="仿宋_GB2312"/>
              </w:rPr>
              <w:t>现场作业人员不少于 4 名，均持有有害生物防制员五级/初级工及以上职业技能等级证书，分组完成日常消杀、设施维护、孳生地清理等工作。</w:t>
            </w:r>
          </w:p>
          <w:p>
            <w:pPr>
              <w:pStyle w:val="null3"/>
            </w:pPr>
            <w:r>
              <w:rPr>
                <w:rFonts w:ascii="仿宋_GB2312" w:hAnsi="仿宋_GB2312" w:cs="仿宋_GB2312" w:eastAsia="仿宋_GB2312"/>
              </w:rPr>
              <w:t>应急处置专职人员不少于 2 名，均持有有害生物防制员五级/初级工及以上职业技能等级证书，24 小时待命值守，保障突发问题快速响应处置。</w:t>
            </w:r>
          </w:p>
          <w:p>
            <w:pPr>
              <w:pStyle w:val="null3"/>
            </w:pPr>
            <w:r>
              <w:rPr>
                <w:rFonts w:ascii="仿宋_GB2312" w:hAnsi="仿宋_GB2312" w:cs="仿宋_GB2312" w:eastAsia="仿宋_GB2312"/>
              </w:rPr>
              <w:t>全体在岗人员均持有有效健康证明，经赛事专项培训考核合格后方可上岗，统一着装规范，按规定购买作业相关保险。</w:t>
            </w:r>
          </w:p>
          <w:p>
            <w:pPr>
              <w:pStyle w:val="null3"/>
            </w:pPr>
            <w:r>
              <w:rPr>
                <w:rFonts w:ascii="仿宋_GB2312" w:hAnsi="仿宋_GB2312" w:cs="仿宋_GB2312" w:eastAsia="仿宋_GB2312"/>
              </w:rPr>
              <w:t>（十一）核心考核指标</w:t>
            </w:r>
          </w:p>
          <w:p>
            <w:pPr>
              <w:pStyle w:val="null3"/>
            </w:pPr>
            <w:r>
              <w:rPr>
                <w:rFonts w:ascii="仿宋_GB2312" w:hAnsi="仿宋_GB2312" w:cs="仿宋_GB2312" w:eastAsia="仿宋_GB2312"/>
              </w:rPr>
              <w:t>1. 全域病媒生物密度 100% 达到国家 C 级及以上标准，核心区域达到 B 级及以上标准；</w:t>
            </w:r>
          </w:p>
          <w:p>
            <w:pPr>
              <w:pStyle w:val="null3"/>
            </w:pPr>
            <w:r>
              <w:rPr>
                <w:rFonts w:ascii="仿宋_GB2312" w:hAnsi="仿宋_GB2312" w:cs="仿宋_GB2312" w:eastAsia="仿宋_GB2312"/>
              </w:rPr>
              <w:t>2. 防鼠、防蝇基础设施整体合格率≥95%，核心区域设施合格率 100%；</w:t>
            </w:r>
          </w:p>
          <w:p>
            <w:pPr>
              <w:pStyle w:val="null3"/>
            </w:pPr>
            <w:r>
              <w:rPr>
                <w:rFonts w:ascii="仿宋_GB2312" w:hAnsi="仿宋_GB2312" w:cs="仿宋_GB2312" w:eastAsia="仿宋_GB2312"/>
              </w:rPr>
              <w:t>3. 各阶段消杀作业足额按时完成，6-8 月专项服务次数全部达标；</w:t>
            </w:r>
          </w:p>
          <w:p>
            <w:pPr>
              <w:pStyle w:val="null3"/>
            </w:pPr>
            <w:r>
              <w:rPr>
                <w:rFonts w:ascii="仿宋_GB2312" w:hAnsi="仿宋_GB2312" w:cs="仿宋_GB2312" w:eastAsia="仿宋_GB2312"/>
              </w:rPr>
              <w:t>4. 赛事服务期间杜绝病媒生物引发公共卫生事件，无相关传染病传播情况；</w:t>
            </w:r>
          </w:p>
          <w:p>
            <w:pPr>
              <w:pStyle w:val="null3"/>
            </w:pPr>
            <w:r>
              <w:rPr>
                <w:rFonts w:ascii="仿宋_GB2312" w:hAnsi="仿宋_GB2312" w:cs="仿宋_GB2312" w:eastAsia="仿宋_GB2312"/>
              </w:rPr>
              <w:t>5. 消杀作业合规率、隐患整改闭环率、区域覆盖达标率均达到 100%；</w:t>
            </w:r>
          </w:p>
          <w:p>
            <w:pPr>
              <w:pStyle w:val="null3"/>
              <w:jc w:val="both"/>
            </w:pPr>
            <w:r>
              <w:rPr>
                <w:rFonts w:ascii="仿宋_GB2312" w:hAnsi="仿宋_GB2312" w:cs="仿宋_GB2312" w:eastAsia="仿宋_GB2312"/>
              </w:rPr>
              <w:t>6. 人员持证上岗率、驻场值守率、应急响应及时率均达到 100%。</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rPr>
              <w:t>四、验收标准</w:t>
            </w:r>
          </w:p>
          <w:p>
            <w:pPr>
              <w:pStyle w:val="null3"/>
            </w:pPr>
            <w:r>
              <w:rPr>
                <w:rFonts w:ascii="仿宋_GB2312" w:hAnsi="仿宋_GB2312" w:cs="仿宋_GB2312" w:eastAsia="仿宋_GB2312"/>
              </w:rPr>
              <w:t>1.病媒生物密度管控严格执行 GB/T 27770-2011、GB/T 27771-2011、GB/T 27772-2011、GB/T 27773-2011 规范，全域密度等级达到 C 级及以上，核心区域达到 B 级及以上；</w:t>
            </w:r>
          </w:p>
          <w:p>
            <w:pPr>
              <w:pStyle w:val="null3"/>
            </w:pPr>
            <w:r>
              <w:rPr>
                <w:rFonts w:ascii="仿宋_GB2312" w:hAnsi="仿宋_GB2312" w:cs="仿宋_GB2312" w:eastAsia="仿宋_GB2312"/>
              </w:rPr>
              <w:t>2.病媒防制设施布设规范、完好可用，防鼠、防蝇设施整体合格率不低于 95%，核心区域设施合格率 100%；</w:t>
            </w:r>
          </w:p>
          <w:p>
            <w:pPr>
              <w:pStyle w:val="null3"/>
            </w:pPr>
            <w:r>
              <w:rPr>
                <w:rFonts w:ascii="仿宋_GB2312" w:hAnsi="仿宋_GB2312" w:cs="仿宋_GB2312" w:eastAsia="仿宋_GB2312"/>
              </w:rPr>
              <w:t>3.消杀作业流程、药剂器械选用、现场人员操作均符合国家及陕西省现行技术规范，杜绝违规用药行为，全程无安全生产事故；</w:t>
            </w:r>
          </w:p>
          <w:p>
            <w:pPr>
              <w:pStyle w:val="null3"/>
            </w:pPr>
            <w:r>
              <w:rPr>
                <w:rFonts w:ascii="仿宋_GB2312" w:hAnsi="仿宋_GB2312" w:cs="仿宋_GB2312" w:eastAsia="仿宋_GB2312"/>
              </w:rPr>
              <w:t>4.密度监测记录、日常作业台账、问题整改档案资料齐全规范，可完整追溯核查；</w:t>
            </w:r>
          </w:p>
          <w:p>
            <w:pPr>
              <w:pStyle w:val="null3"/>
            </w:pPr>
            <w:r>
              <w:rPr>
                <w:rFonts w:ascii="仿宋_GB2312" w:hAnsi="仿宋_GB2312" w:cs="仿宋_GB2312" w:eastAsia="仿宋_GB2312"/>
              </w:rPr>
              <w:t>5.服务保障周期内，未引发病媒生物关联公共卫生事件，无有效服务投诉；</w:t>
            </w:r>
          </w:p>
          <w:p>
            <w:pPr>
              <w:pStyle w:val="null3"/>
              <w:jc w:val="both"/>
            </w:pPr>
            <w:r>
              <w:rPr>
                <w:rFonts w:ascii="仿宋_GB2312" w:hAnsi="仿宋_GB2312" w:cs="仿宋_GB2312" w:eastAsia="仿宋_GB2312"/>
              </w:rPr>
              <w:t>6.服务频次、作业覆盖范围、应急处置响应均契合合同约定与赛事保障要求，现场核验评定合格。</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满足“3.2.2 服务要求”中明确的岗位、数量、资质等全部配置要求，且人员配备合理、职责分工明确，能保障本项目各项服务需求的落实。</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满足“3.2.2 服务要求”中明确的设施设备及药剂配置标准，配备齐全、性能完好，可满足本项目日常作业与应急处置需求。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自合同签订之日起至第十八届运动会赛事结束后 30 日内完成全部服务并通过最终验收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1.病媒生物密度管控严格执行 GB/T 27770-2011、GB/T 27771-2011、GB/T 27772-2011、GB/T 27773-2011 规范，全域密度等级达到 C 级及以上，核心区域达到 B 级及以上； 2.病媒防制设施布设规范、完好可用，防鼠、防蝇设施整体合格率不低于 95%，核心区域设施合格率 100%； 3.消杀作业流程、药剂器械选用、现场人员操作均符合国家及陕西省现行技术规范，杜绝违规用药行为，全程无安全生产事故； 4.密度监测记录、日常作业台账、问题整改档案资料齐全规范，可完整追溯核查； 5.服务保障周期内，未引发病媒生物关联公共卫生事件，无有效服务投诉； 6.服务频次、作业覆盖范围、应急处置响应均契合合同约定与赛事保障要求，现场核验评定合格。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进度款，全部服务完成、赛事结束且项目通过最终验收后，双方按照实际服务面积、实际作业次数据实办理结算，甲方付清剩余款项，达到付款条件起15个工作日内，支付合同总金额的60.0%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的相关条款和本合同约定，乙方未全面履行合同义务或拒绝继续履行合同义务，造成活动延误或给甲方带来经济损失，甲方有权单方终止合同，并向乙方索赔。甲方违约的，应赔偿乙方的直接经济损失。在履行本合同期间若发生争议，甲、乙双方应友好协商解决。若协商不成，任何一方均可向甲方所在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响应报价是供应商响应本项目要求的全部工作内容的价格体现，包括供应商完成本项目所需的人工费、设备费、管理费、利润和税金等全部费用。在提供服务的过程中的任何遗漏，均由成交供应商免费提供，采购人将不再支付任何费用。 2、采购标的对应的中小企业划分标准所属行业为其他未列明行业。其他未列明行业的划型标准为：从业人员300人以下的为中小微型企业。其中，从业人员100人及以上的为中型企业；从业人员10人及以上的为小型企业；从业人员10人以下的为微型企业。 3、本项目落实政府采购政策：（1） 《关于进一步加大政府采购支持中小企业力度的通知》（财库〔2022〕19号）、《政府采购促进中小企业发展管理办法》（财库〔2020〕46号）、《关于政府采购支持监狱企业发展有关问题的通知》（财库〔2014〕68号）、《关于促进残疾人就业政府采购政策的通知》（财库〔2017〕141号）；（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陕西省财政厅关于进一步加强政府绿色采购有关问题的通知》（陕财办采〔2021〕29号）、《商品包装政府采购需求标准（试行）》和《快递包装政府采购需求标准（试行）》（财办库〔2020〕123号）；（3）国务院办公厅《关于在政府采购中实施本国产品标准及相关政策的通知》（国办发〔2025〕34号）、财政部 工业和信息化部《关于贯彻落实&lt;国务院办公厅关于在政府采购中实施本国产品标准及相关政策的通知&gt;的意见》（财库〔2025〕30号）、《陕西省财政厅关于在政府采购活动中实施本国产品标准及相关政策的通知》（陕财办采〔2026〕2号）；（4）《财政部 农业农村部 国家乡村振兴局关于运用政府采购政策支持乡村产业振兴的通知》（财库〔2021〕19号）、《财政部 农业农村部 国家乡村振兴局 中华全国供销合作总社关于印发&lt;关于深入开展政府采购脱贫地区农副产品工作推进乡村产业振兴的实施意见&gt;的通知》（财库〔2021〕20号）；（5）《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工业和信息化部办公厅关于印发&lt;政府采购支持绿色建材促进建筑品质提升政策项目实施指南&gt;的通知》（财办库〔2023〕52号）；（6）《财政部 国家发展改革委 信息产业部关于印发无线局域网产品政府采购实施意见的通知》（财库〔2005〕366号）、《国家互联网信息办公室 工业和信息化部 公安部 财政部 国家认证认可监督管理委员会关于调整网络安全专用产品安全管理有关事项的公告》（2023年第1号）、《数据库政府采购需求标准（2023年版）》（财库〔2023〕35号）；（7） 《陕西省财政厅关于加快推进我省中小企业政府采购信用融资工作的通知》（陕财办采〔2020〕15号）、《陕西省财政厅关于印发&lt;陕西省中小企业政府采购信用融资办法&gt;的通知》（陕财办采〔2018〕23号）；（8）其他需要落实的政府采购政策。4、中标（成交）供应商在中标（成交）结果公告发布后3个工作日内提供叁套纸质响应文件（经编标工具生成的文件直接打印并加盖公章），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（1）供应商应具有独立承担民事责任的能力，提供合法有效的营业执照；供应商需在项目电子化交易系统中按要求上传相应证明文件并进行电子签章。 （2）供应商提供2025年度经审计的财务审计报告；或提供磋商响应文件递交截止时间前三个月内基本存款账户银行出具的资信证明及基本存款账户银行相关证明资料；供应商需在项目电子化交易系统中按要求上传相应证明文件并进行电子签章。 （3）具有履行合同所必需的设备和专业技术能力书面声明函；供应商需在项目电子化交易系统中按要求上传相应证明文件并进行电子签章。 （4）供应商提供在本项目磋商响应文件递交截止时间前六个月内任意一个月的依法缴纳税收和社会保障资金的证明（依法免税或不需要缴纳社会保障资金的供应商，应提供相应文件证明其依法免税或不需要缴纳社会保障资金）；供应商需在项目电子化交易系统中按要求上传相应证明文件并进行电子签章。 （5）参加政府采购活动前3年内在经营活动中没有重大违法记录的书面声明；供应商需在项目电子化交易系统中按要求上传相应证明文件并进行电子签章。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法定代表人或授权代表身份证明</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明及身份证复印件，并与营业执照上信息一致；法定代表人授权代表参加磋商的，须出具法定代表人授权书（附法定代表人、被授权人身份证复印件）及被授权人在本单位近3个月内任意一个月缴纳的养老保险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供应商不得在“信用中国”网站(http://www.creditchina.gov.cn)被列入失信被执行人、重大税收违法失信主体；不得在“中国政府采购网” (http://www.ccgp.gov.cn) 被列入政府采购严重违法失信行为记录名单。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供应商须提供《非联合体磋商声明函》；供应商需在项目电子化交易系统中按要求上传相应证明文件并进行电子签章。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供应商不得存在下列情形之一</w:t>
            </w:r>
          </w:p>
        </w:tc>
        <w:tc>
          <w:tcPr>
            <w:tcW w:type="dxa" w:w="3322"/>
          </w:tcPr>
          <w:p>
            <w:pPr>
              <w:pStyle w:val="null3"/>
            </w:pPr>
            <w:r>
              <w:rPr>
                <w:rFonts w:ascii="仿宋_GB2312" w:hAnsi="仿宋_GB2312" w:cs="仿宋_GB2312" w:eastAsia="仿宋_GB2312"/>
              </w:rPr>
              <w:t>供应商不得存在下列情形之一： ①单位负责人为同一人或者存在控股、管理关系的不同单位，不得参加同一合同项下的政府采购活动； ②为本项目提供整体设计、规范编制或者项目管理、监理、检测等服务的供应商，不得再参加本项目的采购活动。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磋商保证金.docx 中小企业声明函 商务应答表 服务内容及服务要求应答表 报价表 资格证明文件.docx 响应文件封面 分项报价表.docx 残疾人福利性单位声明函 标的清单 响应函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货币单位符合磋商文件要求，报价符合磋商文件填报要求，报价唯一，且没有超过采购预算或限价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符合磋商文件规定</w:t>
            </w:r>
          </w:p>
        </w:tc>
        <w:tc>
          <w:tcPr>
            <w:tcW w:type="dxa" w:w="1661"/>
          </w:tcPr>
          <w:p>
            <w:pPr>
              <w:pStyle w:val="null3"/>
            </w:pPr>
            <w:r>
              <w:rPr>
                <w:rFonts w:ascii="仿宋_GB2312" w:hAnsi="仿宋_GB2312" w:cs="仿宋_GB2312" w:eastAsia="仿宋_GB2312"/>
              </w:rPr>
              <w:t>分项报价表.docx 商务应答表 服务内容及服务要求应答表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w:t>
            </w:r>
          </w:p>
        </w:tc>
        <w:tc>
          <w:tcPr>
            <w:tcW w:type="dxa" w:w="3322"/>
          </w:tcPr>
          <w:p>
            <w:pPr>
              <w:pStyle w:val="null3"/>
            </w:pPr>
            <w:r>
              <w:rPr>
                <w:rFonts w:ascii="仿宋_GB2312" w:hAnsi="仿宋_GB2312" w:cs="仿宋_GB2312" w:eastAsia="仿宋_GB2312"/>
              </w:rPr>
              <w:t>完全理解并接受对合格供应商、合格服务的要求，实质性要求完全响应且没有负偏离，不能有任何采购人不能接受的附加条件</w:t>
            </w:r>
          </w:p>
        </w:tc>
        <w:tc>
          <w:tcPr>
            <w:tcW w:type="dxa" w:w="1661"/>
          </w:tcPr>
          <w:p>
            <w:pPr>
              <w:pStyle w:val="null3"/>
            </w:pPr>
            <w:r>
              <w:rPr>
                <w:rFonts w:ascii="仿宋_GB2312" w:hAnsi="仿宋_GB2312" w:cs="仿宋_GB2312" w:eastAsia="仿宋_GB2312"/>
              </w:rPr>
              <w:t>磋商保证金.docx 中小企业声明函 商务应答表 服务内容及服务要求应答表 报价表 资格证明文件.docx 响应文件封面 分项报价表.docx 残疾人福利性单位声明函 标的清单 响应函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磋商保证金.docx 中小企业声明函 商务应答表 服务内容及服务要求应答表 报价表 资格证明文件.docx 响应文件封面 分项报价表.docx 残疾人福利性单位声明函 标的清单 响应函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磋商保证金.docx 中小企业声明函 商务应答表 服务内容及服务要求应答表 报价表 资格证明文件.docx 响应文件封面 分项报价表.docx 残疾人福利性单位声明函 标的清单 响应函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按照磋商文件的规定提交磋商保证金（包括形式及金额）</w:t>
            </w:r>
          </w:p>
        </w:tc>
        <w:tc>
          <w:tcPr>
            <w:tcW w:type="dxa" w:w="1661"/>
          </w:tcPr>
          <w:p>
            <w:pPr>
              <w:pStyle w:val="null3"/>
            </w:pPr>
            <w:r>
              <w:rPr>
                <w:rFonts w:ascii="仿宋_GB2312" w:hAnsi="仿宋_GB2312" w:cs="仿宋_GB2312" w:eastAsia="仿宋_GB2312"/>
              </w:rPr>
              <w:t>磋商保证金.docx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项目理解与重点难点分析</w:t>
            </w:r>
          </w:p>
        </w:tc>
        <w:tc>
          <w:tcPr>
            <w:tcW w:type="dxa" w:w="2492"/>
          </w:tcPr>
          <w:p>
            <w:pPr>
              <w:pStyle w:val="null3"/>
            </w:pPr>
            <w:r>
              <w:rPr>
                <w:rFonts w:ascii="仿宋_GB2312" w:hAnsi="仿宋_GB2312" w:cs="仿宋_GB2312" w:eastAsia="仿宋_GB2312"/>
              </w:rPr>
              <w:t>供应商根据本项目的服务内容及要求编制，包括但不限于①项目总体认知与赛事特点理解；②项目重难点分析及对应保障思路。以上2项内容每项4分，切合本项目实际情况及采购要求，合理、可行、无缺陷得8分；评审内容缺一项扣4分；每项内容中每有一处存在缺陷的扣1分，该项分值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根据本项目的服务内容及要求编制，包括但不限于①整体服务实施总体思路；②工作流程及工作计划；③分区、分阶段服务实施方案。④设施运维与源头治理方案；⑤质量保障措施。以上5项内容每项4分，切合本项目实际情况及采购要求，合理、可行、无缺陷得20分；评审内容缺一项扣4分；每项内容中每有一处存在缺陷的扣1分，该项分值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病媒防制技术措施</w:t>
            </w:r>
          </w:p>
        </w:tc>
        <w:tc>
          <w:tcPr>
            <w:tcW w:type="dxa" w:w="2492"/>
          </w:tcPr>
          <w:p>
            <w:pPr>
              <w:pStyle w:val="null3"/>
            </w:pPr>
            <w:r>
              <w:rPr>
                <w:rFonts w:ascii="仿宋_GB2312" w:hAnsi="仿宋_GB2312" w:cs="仿宋_GB2312" w:eastAsia="仿宋_GB2312"/>
              </w:rPr>
              <w:t>供应商根据本项目的服务内容及要求编制，包括但不限于①四害消杀措施；②密度监测措施；③孳生地治理措施、④药物及器械配置方案；⑤环保安全措施。以上5项内容每项3分，切合本项目实际情况及采购要求，合理、可行、无缺陷得15分；评审内容缺一项扣3分；每项内容中每有一处存在缺陷的扣1分，该项分值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应急防控方案</w:t>
            </w:r>
          </w:p>
        </w:tc>
        <w:tc>
          <w:tcPr>
            <w:tcW w:type="dxa" w:w="2492"/>
          </w:tcPr>
          <w:p>
            <w:pPr>
              <w:pStyle w:val="null3"/>
            </w:pPr>
            <w:r>
              <w:rPr>
                <w:rFonts w:ascii="仿宋_GB2312" w:hAnsi="仿宋_GB2312" w:cs="仿宋_GB2312" w:eastAsia="仿宋_GB2312"/>
              </w:rPr>
              <w:t>供应商根据本项目的服务内容及要求编制，包括但不限于①突发公共卫生事件、疫情或重大病媒生物入侵事件应急处置方案；②应急响应方案（含响应流程、人员配置、物资保障、到场时限承诺）。以上2项内容每项3分，切合本项目实际情况及采购要求，合理、可行、无缺陷得6分；评审内容缺一项扣3分；每项内容中每有一处存在缺陷的扣1分，该项分值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服务团队配置</w:t>
            </w:r>
          </w:p>
        </w:tc>
        <w:tc>
          <w:tcPr>
            <w:tcW w:type="dxa" w:w="2492"/>
          </w:tcPr>
          <w:p>
            <w:pPr>
              <w:pStyle w:val="null3"/>
            </w:pPr>
            <w:r>
              <w:rPr>
                <w:rFonts w:ascii="仿宋_GB2312" w:hAnsi="仿宋_GB2312" w:cs="仿宋_GB2312" w:eastAsia="仿宋_GB2312"/>
              </w:rPr>
              <w:t>1.拟投入本项目的人员配备满足服务要求中人员配置的基本要求，得 6分； 2.在满足基本要求的基础上，每多配备 1 名持有有害生物防制员五级/初级工及以上职业技能等级证书的人员，加 1分，最高加 6分； 3.本项满分 12分。 注：所有人员须提供有害生物防制员职业技能等级证书、有效健康证明清晰可辨的证书复印件或扫描件。</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项目负责人业绩</w:t>
            </w:r>
          </w:p>
        </w:tc>
        <w:tc>
          <w:tcPr>
            <w:tcW w:type="dxa" w:w="2492"/>
          </w:tcPr>
          <w:p>
            <w:pPr>
              <w:pStyle w:val="null3"/>
            </w:pPr>
            <w:r>
              <w:rPr>
                <w:rFonts w:ascii="仿宋_GB2312" w:hAnsi="仿宋_GB2312" w:cs="仿宋_GB2312" w:eastAsia="仿宋_GB2312"/>
              </w:rPr>
              <w:t>2023年1月1日至今（以合同签订时间为准），担任过类似项目的项目负责人，每提供 1 项有效业绩得 3 分，本项最高得 6分。 注：业绩须提供合同或验收报告等佐证材料，且材料中能清晰体现项目负责人姓名及对应服务内容，否则不予计分。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体系认证证书</w:t>
            </w:r>
          </w:p>
        </w:tc>
        <w:tc>
          <w:tcPr>
            <w:tcW w:type="dxa" w:w="2492"/>
          </w:tcPr>
          <w:p>
            <w:pPr>
              <w:pStyle w:val="null3"/>
            </w:pPr>
            <w:r>
              <w:rPr>
                <w:rFonts w:ascii="仿宋_GB2312" w:hAnsi="仿宋_GB2312" w:cs="仿宋_GB2312" w:eastAsia="仿宋_GB2312"/>
              </w:rPr>
              <w:t>具有有效的质量管理体系认证证书、环境管理体系认证证书、职业健康安全管理体系认证证书，每提供 1 个得 1 分，本项最高得 3 分 注：须提供在有效期内的认证证书复印件或扫描件。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2023年1月1日至今（以合同签订日期为准），供应商每提供1个类似业绩得2 分，本项最多得10分； 注：以响应文件中加盖公章的合同复印件或扫描件为准，合同需至少包含合同首页、服务内容页、签署页，否则该业绩无效。</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价格分采用低价优先法计算，即满足竞争性磋商文件要求且最后报价最低的供应商的价格为评审基准价，其价格分为满分。其他供应商的价格分统一按照下列公式计算： 报价得分=（评审基准价/最后报价）×价格权值（即20%）×100 注：本项目为专门面向中小企业采购项目，不再执行价格评审优惠的扶持政策。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