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5C2">
      <w:pPr>
        <w:shd w:val="clea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3D778867">
      <w:pPr>
        <w:keepNext w:val="0"/>
        <w:keepLines w:val="0"/>
        <w:widowControl/>
        <w:suppressLineNumbers w:val="0"/>
        <w:shd w:val="clear"/>
        <w:wordWrap w:val="0"/>
        <w:spacing w:before="0" w:beforeAutospacing="0" w:after="0" w:afterAutospacing="0" w:line="480" w:lineRule="atLeast"/>
        <w:ind w:left="0" w:right="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（一）基本资格条件：符合《中华人民共和国政府采购法》第二十二条的规定，并提供以下资料：</w:t>
      </w:r>
    </w:p>
    <w:p w14:paraId="16C0185C">
      <w:pPr>
        <w:pStyle w:val="4"/>
        <w:shd w:val="clear"/>
        <w:ind w:firstLine="480" w:firstLineChars="200"/>
        <w:rPr>
          <w:rFonts w:ascii="仿宋_GB2312" w:hAnsi="仿宋_GB2312" w:eastAsia="仿宋_GB2312" w:cs="仿宋_GB2312"/>
        </w:rPr>
      </w:pPr>
      <w:r>
        <w:rPr>
          <w:rFonts w:ascii="仿宋_GB2312" w:hAnsi="仿宋_GB2312" w:eastAsia="仿宋_GB2312" w:cs="仿宋_GB2312"/>
        </w:rPr>
        <w:t>1.提供合格有效的法人或者其他组织的营业执照等证明文件，自然人的身份证明（供应商是法人或其他组织的应提供营业执照等证明文件，供应商是自然人的应提供有效的自然人身份证明）；</w:t>
      </w:r>
    </w:p>
    <w:p w14:paraId="16C185EF">
      <w:pPr>
        <w:pStyle w:val="4"/>
        <w:shd w:val="clear"/>
        <w:ind w:firstLine="480" w:firstLineChars="200"/>
        <w:rPr>
          <w:rFonts w:ascii="仿宋_GB2312" w:hAnsi="仿宋_GB2312" w:eastAsia="仿宋_GB2312" w:cs="仿宋_GB2312"/>
        </w:rPr>
      </w:pPr>
      <w:r>
        <w:rPr>
          <w:rFonts w:ascii="仿宋_GB2312" w:hAnsi="仿宋_GB2312" w:eastAsia="仿宋_GB2312" w:cs="仿宋_GB2312"/>
        </w:rPr>
        <w:t>2.提供202</w:t>
      </w:r>
      <w:r>
        <w:rPr>
          <w:rFonts w:hint="eastAsia" w:ascii="仿宋_GB2312" w:hAnsi="仿宋_GB2312" w:eastAsia="仿宋_GB2312" w:cs="仿宋_GB2312"/>
          <w:lang w:val="en-US" w:eastAsia="zh-CN"/>
        </w:rPr>
        <w:t>4</w:t>
      </w:r>
      <w:r>
        <w:rPr>
          <w:rFonts w:ascii="仿宋_GB2312" w:hAnsi="仿宋_GB2312" w:eastAsia="仿宋_GB2312" w:cs="仿宋_GB2312"/>
        </w:rPr>
        <w:t>年度或202</w:t>
      </w:r>
      <w:r>
        <w:rPr>
          <w:rFonts w:hint="eastAsia" w:ascii="仿宋_GB2312" w:hAnsi="仿宋_GB2312" w:eastAsia="仿宋_GB2312" w:cs="仿宋_GB2312"/>
          <w:lang w:val="en-US" w:eastAsia="zh-CN"/>
        </w:rPr>
        <w:t>5</w:t>
      </w:r>
      <w:r>
        <w:rPr>
          <w:rFonts w:ascii="仿宋_GB2312" w:hAnsi="仿宋_GB2312" w:eastAsia="仿宋_GB2312" w:cs="仿宋_GB2312"/>
        </w:rPr>
        <w:t>年度任意一年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5FC0772E">
      <w:pPr>
        <w:pStyle w:val="4"/>
        <w:shd w:val="clear"/>
        <w:ind w:firstLine="480" w:firstLineChars="200"/>
        <w:rPr>
          <w:rFonts w:ascii="仿宋_GB2312" w:hAnsi="仿宋_GB2312" w:eastAsia="仿宋_GB2312" w:cs="仿宋_GB2312"/>
        </w:rPr>
      </w:pPr>
      <w:r>
        <w:rPr>
          <w:rFonts w:ascii="仿宋_GB2312" w:hAnsi="仿宋_GB2312" w:eastAsia="仿宋_GB2312" w:cs="仿宋_GB2312"/>
        </w:rPr>
        <w:t>3.提供具有履行合同所必需的设备和专业技术能力的承诺；</w:t>
      </w:r>
    </w:p>
    <w:p w14:paraId="63E53B82">
      <w:pPr>
        <w:pStyle w:val="4"/>
        <w:shd w:val="clear"/>
        <w:ind w:firstLine="480" w:firstLineChars="200"/>
        <w:rPr>
          <w:rFonts w:ascii="仿宋_GB2312" w:hAnsi="仿宋_GB2312" w:eastAsia="仿宋_GB2312" w:cs="仿宋_GB2312"/>
        </w:rPr>
      </w:pPr>
      <w:r>
        <w:rPr>
          <w:rFonts w:ascii="仿宋_GB2312" w:hAnsi="仿宋_GB2312" w:eastAsia="仿宋_GB2312" w:cs="仿宋_GB2312"/>
        </w:rPr>
        <w:t>4.提供响应文件提交截止时间前一年内已缴纳的至少一个月的纳税证明或完税证明，纳税证明或完税证明上应有代收机构或税务机关的公章或业务专用章，依法免税的供应商应提供相应证明文件；</w:t>
      </w:r>
    </w:p>
    <w:p w14:paraId="50E31825">
      <w:pPr>
        <w:pStyle w:val="4"/>
        <w:shd w:val="clear"/>
        <w:ind w:firstLine="480" w:firstLineChars="200"/>
        <w:rPr>
          <w:rFonts w:ascii="仿宋_GB2312" w:hAnsi="仿宋_GB2312" w:eastAsia="仿宋_GB2312" w:cs="仿宋_GB2312"/>
        </w:rPr>
      </w:pPr>
      <w:r>
        <w:rPr>
          <w:rFonts w:ascii="仿宋_GB2312" w:hAnsi="仿宋_GB2312" w:eastAsia="仿宋_GB2312" w:cs="仿宋_GB2312"/>
        </w:rPr>
        <w:t>5.提供响应文件提交截止时间前一年内已缴存的至少一个月的社会保障资金缴存单据或社保机构开具的社会保险参保缴费情况证明，依法不需要缴纳社会保障资金的供应商应提供相应证明文件；</w:t>
      </w:r>
    </w:p>
    <w:p w14:paraId="37398362">
      <w:pPr>
        <w:pStyle w:val="4"/>
        <w:shd w:val="clear"/>
        <w:ind w:firstLine="480" w:firstLineChars="200"/>
        <w:rPr>
          <w:rFonts w:ascii="仿宋_GB2312" w:hAnsi="仿宋_GB2312" w:eastAsia="仿宋_GB2312" w:cs="仿宋_GB2312"/>
        </w:rPr>
      </w:pPr>
      <w:r>
        <w:rPr>
          <w:rFonts w:ascii="仿宋_GB2312" w:hAnsi="仿宋_GB2312" w:eastAsia="仿宋_GB2312" w:cs="仿宋_GB2312"/>
        </w:rPr>
        <w:t>6.参加政府采购活动前三年内，在经营活动中没有重大违法记录的书面声明。</w:t>
      </w:r>
    </w:p>
    <w:p w14:paraId="4C042C7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（二）</w:t>
      </w:r>
      <w:r>
        <w:rPr>
          <w:rFonts w:hint="eastAsia" w:ascii="仿宋" w:hAnsi="仿宋" w:eastAsia="仿宋" w:cs="仿宋"/>
          <w:b/>
          <w:bCs/>
          <w:color w:val="auto"/>
          <w:sz w:val="24"/>
          <w:szCs w:val="24"/>
          <w:highlight w:val="none"/>
          <w:lang w:val="en-US" w:eastAsia="zh-CN"/>
        </w:rPr>
        <w:t>落实政府采购政策需满足的资格要求：</w:t>
      </w:r>
    </w:p>
    <w:p w14:paraId="46742EB4">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本合同包专门面向中小企业采购，供应商应为中小微企业或监狱企业或残疾人福利性单位</w:t>
      </w:r>
    </w:p>
    <w:p w14:paraId="5426999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（三）特定资格条件：</w:t>
      </w:r>
    </w:p>
    <w:p w14:paraId="0FF1E482">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Hans"/>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r>
        <w:rPr>
          <w:rFonts w:hint="eastAsia" w:ascii="仿宋" w:hAnsi="仿宋" w:eastAsia="仿宋" w:cs="仿宋"/>
          <w:sz w:val="24"/>
          <w:szCs w:val="24"/>
          <w:highlight w:val="none"/>
          <w:lang w:val="en-US" w:eastAsia="zh-CN"/>
        </w:rPr>
        <w:t>；</w:t>
      </w:r>
    </w:p>
    <w:p w14:paraId="3D4F209E">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en-US" w:eastAsia="zh-Hans"/>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bookmarkStart w:id="24" w:name="_GoBack"/>
      <w:bookmarkEnd w:id="24"/>
    </w:p>
    <w:p w14:paraId="2CE0AB2F">
      <w:pPr>
        <w:keepLines/>
        <w:pageBreakBefore/>
        <w:shd w:val="clear"/>
        <w:jc w:val="center"/>
        <w:outlineLvl w:val="1"/>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法定代表人身份证明</w:t>
      </w:r>
    </w:p>
    <w:p w14:paraId="5D995A2F">
      <w:pPr>
        <w:shd w:val="clear"/>
        <w:spacing w:line="360" w:lineRule="auto"/>
        <w:ind w:firstLine="420" w:firstLineChars="200"/>
        <w:rPr>
          <w:rFonts w:hint="eastAsia" w:ascii="仿宋" w:hAnsi="仿宋" w:eastAsia="仿宋" w:cs="仿宋"/>
          <w:highlight w:val="none"/>
        </w:rPr>
      </w:pPr>
    </w:p>
    <w:p w14:paraId="41535AED">
      <w:pPr>
        <w:shd w:val="clea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56A2800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70B12F1D">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6172D08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5C821325">
      <w:pPr>
        <w:shd w:val="clea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38A68B6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E5F0F1">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3151ED05">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E49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FA22EFD">
            <w:pPr>
              <w:shd w:val="clear"/>
              <w:spacing w:line="480" w:lineRule="auto"/>
              <w:jc w:val="center"/>
              <w:rPr>
                <w:rFonts w:hint="eastAsia" w:ascii="仿宋" w:hAnsi="仿宋" w:eastAsia="仿宋" w:cs="仿宋"/>
                <w:color w:val="auto"/>
                <w:highlight w:val="none"/>
                <w:lang w:eastAsia="zh-CN"/>
              </w:rPr>
            </w:pPr>
          </w:p>
          <w:p w14:paraId="334B2FF3">
            <w:pPr>
              <w:shd w:val="clear"/>
              <w:spacing w:line="480" w:lineRule="auto"/>
              <w:jc w:val="center"/>
              <w:rPr>
                <w:rFonts w:hint="eastAsia" w:ascii="仿宋" w:hAnsi="仿宋" w:eastAsia="仿宋" w:cs="仿宋"/>
                <w:color w:val="auto"/>
                <w:highlight w:val="none"/>
                <w:lang w:eastAsia="zh-CN"/>
              </w:rPr>
            </w:pPr>
          </w:p>
          <w:p w14:paraId="0044CE18">
            <w:pPr>
              <w:shd w:val="clea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AE3988E">
            <w:pPr>
              <w:pStyle w:val="3"/>
              <w:shd w:val="clea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1B3338D0">
            <w:pPr>
              <w:shd w:val="clear"/>
              <w:spacing w:line="480" w:lineRule="auto"/>
              <w:jc w:val="center"/>
              <w:rPr>
                <w:rFonts w:hint="eastAsia" w:ascii="仿宋" w:hAnsi="仿宋" w:eastAsia="仿宋" w:cs="仿宋"/>
                <w:color w:val="auto"/>
                <w:highlight w:val="none"/>
              </w:rPr>
            </w:pPr>
          </w:p>
          <w:p w14:paraId="6FE08A37">
            <w:pPr>
              <w:shd w:val="clear"/>
              <w:spacing w:line="480" w:lineRule="auto"/>
              <w:jc w:val="center"/>
              <w:rPr>
                <w:rFonts w:hint="eastAsia" w:ascii="仿宋" w:hAnsi="仿宋" w:eastAsia="仿宋" w:cs="仿宋"/>
                <w:color w:val="auto"/>
                <w:highlight w:val="none"/>
              </w:rPr>
            </w:pPr>
          </w:p>
        </w:tc>
      </w:tr>
    </w:tbl>
    <w:p w14:paraId="6A4F41FF">
      <w:pPr>
        <w:shd w:val="clear"/>
        <w:spacing w:line="480" w:lineRule="auto"/>
        <w:rPr>
          <w:rFonts w:hint="eastAsia" w:ascii="仿宋" w:hAnsi="仿宋" w:eastAsia="仿宋" w:cs="仿宋"/>
          <w:color w:val="auto"/>
          <w:highlight w:val="none"/>
        </w:rPr>
      </w:pPr>
    </w:p>
    <w:p w14:paraId="2213A172">
      <w:pPr>
        <w:shd w:val="clear"/>
        <w:rPr>
          <w:rFonts w:hint="eastAsia" w:ascii="仿宋" w:hAnsi="仿宋" w:eastAsia="仿宋" w:cs="仿宋"/>
          <w:color w:val="auto"/>
          <w:highlight w:val="none"/>
        </w:rPr>
      </w:pPr>
    </w:p>
    <w:p w14:paraId="21625FE6">
      <w:pPr>
        <w:shd w:val="clear"/>
        <w:rPr>
          <w:rFonts w:hint="eastAsia" w:ascii="仿宋" w:hAnsi="仿宋" w:eastAsia="仿宋" w:cs="仿宋"/>
          <w:color w:val="auto"/>
          <w:highlight w:val="none"/>
        </w:rPr>
      </w:pPr>
    </w:p>
    <w:p w14:paraId="74D64C5C">
      <w:pPr>
        <w:shd w:val="clear"/>
        <w:rPr>
          <w:rFonts w:hint="eastAsia" w:ascii="仿宋" w:hAnsi="仿宋" w:eastAsia="仿宋" w:cs="仿宋"/>
          <w:color w:val="auto"/>
          <w:highlight w:val="none"/>
        </w:rPr>
      </w:pPr>
    </w:p>
    <w:p w14:paraId="317F87C4">
      <w:pPr>
        <w:shd w:val="clear"/>
        <w:rPr>
          <w:rFonts w:hint="eastAsia" w:ascii="仿宋" w:hAnsi="仿宋" w:eastAsia="仿宋" w:cs="仿宋"/>
          <w:color w:val="auto"/>
          <w:highlight w:val="none"/>
        </w:rPr>
      </w:pPr>
    </w:p>
    <w:p w14:paraId="650C38DC">
      <w:pPr>
        <w:shd w:val="clear"/>
        <w:spacing w:line="360" w:lineRule="auto"/>
        <w:rPr>
          <w:rFonts w:hint="eastAsia" w:ascii="仿宋" w:hAnsi="仿宋" w:eastAsia="仿宋" w:cs="仿宋"/>
          <w:color w:val="auto"/>
          <w:highlight w:val="none"/>
        </w:rPr>
      </w:pPr>
    </w:p>
    <w:p w14:paraId="7394B16C">
      <w:pPr>
        <w:shd w:val="clear"/>
        <w:spacing w:line="360" w:lineRule="auto"/>
        <w:ind w:right="420"/>
        <w:rPr>
          <w:rFonts w:hint="eastAsia" w:ascii="仿宋" w:hAnsi="仿宋" w:eastAsia="仿宋" w:cs="仿宋"/>
          <w:color w:val="auto"/>
          <w:highlight w:val="none"/>
        </w:rPr>
      </w:pPr>
    </w:p>
    <w:p w14:paraId="2BA1E409">
      <w:pPr>
        <w:shd w:val="clear"/>
        <w:spacing w:line="360" w:lineRule="auto"/>
        <w:ind w:right="420"/>
        <w:rPr>
          <w:rFonts w:hint="eastAsia" w:ascii="仿宋" w:hAnsi="仿宋" w:eastAsia="仿宋" w:cs="仿宋"/>
          <w:color w:val="auto"/>
          <w:highlight w:val="none"/>
        </w:rPr>
      </w:pPr>
    </w:p>
    <w:p w14:paraId="22D2C69F">
      <w:pPr>
        <w:shd w:val="clear"/>
        <w:spacing w:line="360" w:lineRule="auto"/>
        <w:ind w:right="420"/>
        <w:rPr>
          <w:rFonts w:hint="eastAsia" w:ascii="仿宋" w:hAnsi="仿宋" w:eastAsia="仿宋" w:cs="仿宋"/>
          <w:color w:val="auto"/>
          <w:highlight w:val="none"/>
        </w:rPr>
      </w:pPr>
    </w:p>
    <w:p w14:paraId="2F431170">
      <w:pPr>
        <w:shd w:val="clear"/>
        <w:spacing w:line="360" w:lineRule="auto"/>
        <w:ind w:right="420"/>
        <w:rPr>
          <w:rFonts w:hint="eastAsia" w:ascii="仿宋" w:hAnsi="仿宋" w:eastAsia="仿宋" w:cs="仿宋"/>
          <w:color w:val="auto"/>
          <w:highlight w:val="none"/>
        </w:rPr>
      </w:pPr>
    </w:p>
    <w:p w14:paraId="679A9EB2">
      <w:pPr>
        <w:shd w:val="clea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3DB91B8">
      <w:pPr>
        <w:shd w:val="clea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7B772061">
      <w:pPr>
        <w:shd w:val="clear"/>
        <w:spacing w:line="500" w:lineRule="exact"/>
        <w:ind w:firstLine="422" w:firstLineChars="200"/>
        <w:rPr>
          <w:rFonts w:hint="eastAsia" w:ascii="仿宋" w:hAnsi="仿宋" w:eastAsia="仿宋" w:cs="仿宋"/>
          <w:b/>
          <w:bCs/>
          <w:color w:val="auto"/>
          <w:szCs w:val="24"/>
          <w:highlight w:val="none"/>
          <w:lang w:eastAsia="zh-CN"/>
        </w:rPr>
      </w:pPr>
    </w:p>
    <w:p w14:paraId="2DD7C336">
      <w:pPr>
        <w:pStyle w:val="3"/>
        <w:shd w:val="clea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BDA78CD">
      <w:pPr>
        <w:shd w:val="clea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2AA01247">
      <w:pPr>
        <w:shd w:val="clea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586D4F87">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（姓名）为我方代理人。代理人根据授权，以我方名义签署、澄清、说明、补正、递交、撤回、修改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3E5F14AD">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75660B62">
      <w:pPr>
        <w:shd w:val="clear"/>
        <w:spacing w:line="360" w:lineRule="auto"/>
        <w:ind w:firstLine="480" w:firstLineChars="200"/>
        <w:rPr>
          <w:rFonts w:hint="eastAsia" w:ascii="仿宋" w:hAnsi="仿宋" w:eastAsia="仿宋" w:cs="仿宋"/>
          <w:color w:val="auto"/>
          <w:sz w:val="24"/>
          <w:szCs w:val="24"/>
          <w:highlight w:val="none"/>
        </w:rPr>
      </w:pPr>
      <w:bookmarkStart w:id="0" w:name="_Toc201637979"/>
      <w:bookmarkStart w:id="1"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递交响应文件截止</w:t>
      </w:r>
      <w:r>
        <w:rPr>
          <w:rFonts w:hint="eastAsia" w:ascii="仿宋" w:hAnsi="仿宋" w:eastAsia="仿宋" w:cs="仿宋"/>
          <w:color w:val="auto"/>
          <w:sz w:val="24"/>
          <w:szCs w:val="24"/>
          <w:highlight w:val="none"/>
        </w:rPr>
        <w:t>之日起不少于90日历天</w:t>
      </w:r>
    </w:p>
    <w:p w14:paraId="058FC093">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0"/>
      <w:bookmarkEnd w:id="1"/>
    </w:p>
    <w:p w14:paraId="432B7D15">
      <w:pPr>
        <w:shd w:val="clear"/>
        <w:spacing w:line="360" w:lineRule="auto"/>
        <w:ind w:firstLine="480" w:firstLineChars="200"/>
        <w:rPr>
          <w:rFonts w:hint="eastAsia" w:ascii="仿宋" w:hAnsi="仿宋" w:eastAsia="仿宋" w:cs="仿宋"/>
          <w:sz w:val="24"/>
          <w:szCs w:val="24"/>
          <w:highlight w:val="none"/>
        </w:rPr>
      </w:pPr>
      <w:bookmarkStart w:id="2" w:name="_Toc201637980"/>
      <w:bookmarkStart w:id="3" w:name="_Toc214090948"/>
      <w:r>
        <w:rPr>
          <w:rFonts w:hint="eastAsia" w:ascii="仿宋" w:hAnsi="仿宋" w:eastAsia="仿宋" w:cs="仿宋"/>
          <w:sz w:val="24"/>
          <w:szCs w:val="24"/>
          <w:highlight w:val="none"/>
        </w:rPr>
        <w:t>职务：</w:t>
      </w:r>
      <w:bookmarkEnd w:id="2"/>
      <w:bookmarkEnd w:id="3"/>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3B6A26FF">
      <w:pPr>
        <w:shd w:val="clear"/>
        <w:spacing w:line="360" w:lineRule="auto"/>
        <w:ind w:firstLine="480" w:firstLineChars="200"/>
        <w:rPr>
          <w:rFonts w:hint="eastAsia" w:ascii="仿宋" w:hAnsi="仿宋" w:eastAsia="仿宋" w:cs="仿宋"/>
          <w:sz w:val="24"/>
          <w:szCs w:val="24"/>
          <w:highlight w:val="none"/>
        </w:rPr>
      </w:pPr>
      <w:bookmarkStart w:id="4" w:name="_Toc201637981"/>
      <w:bookmarkStart w:id="5" w:name="_Toc214090949"/>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4"/>
      <w:bookmarkEnd w:id="5"/>
    </w:p>
    <w:p w14:paraId="553972F7">
      <w:pPr>
        <w:shd w:val="clear"/>
        <w:spacing w:line="360" w:lineRule="auto"/>
        <w:rPr>
          <w:rFonts w:hint="eastAsia" w:ascii="仿宋" w:hAnsi="仿宋" w:eastAsia="仿宋" w:cs="仿宋"/>
          <w:sz w:val="24"/>
          <w:szCs w:val="24"/>
          <w:highlight w:val="none"/>
        </w:rPr>
      </w:pPr>
      <w:bookmarkStart w:id="6" w:name="_Toc201637982"/>
      <w:bookmarkStart w:id="7" w:name="_Toc214090950"/>
      <w:r>
        <w:rPr>
          <w:rFonts w:hint="eastAsia" w:ascii="仿宋" w:hAnsi="仿宋" w:eastAsia="仿宋" w:cs="仿宋"/>
          <w:sz w:val="24"/>
          <w:szCs w:val="24"/>
          <w:highlight w:val="none"/>
        </w:rPr>
        <w:t>附：</w:t>
      </w:r>
      <w:bookmarkEnd w:id="6"/>
      <w:bookmarkEnd w:id="7"/>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val="en-US" w:eastAsia="zh-CN"/>
        </w:rPr>
        <w:t>及代理人本单位证明（响应文件提交截止日前六个月内任意一个月养老保险缴纳证明）</w:t>
      </w:r>
      <w:r>
        <w:rPr>
          <w:rFonts w:hint="eastAsia" w:ascii="仿宋" w:hAnsi="仿宋" w:eastAsia="仿宋" w:cs="仿宋"/>
          <w:sz w:val="24"/>
          <w:szCs w:val="24"/>
          <w:highlight w:val="none"/>
        </w:rPr>
        <w:t>。</w:t>
      </w:r>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96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63B0E6E3">
            <w:pPr>
              <w:shd w:val="clear"/>
              <w:spacing w:line="360" w:lineRule="auto"/>
              <w:jc w:val="center"/>
              <w:rPr>
                <w:rFonts w:hint="eastAsia" w:ascii="仿宋" w:hAnsi="仿宋" w:eastAsia="仿宋" w:cs="仿宋"/>
                <w:sz w:val="24"/>
                <w:szCs w:val="24"/>
                <w:highlight w:val="none"/>
              </w:rPr>
            </w:pPr>
            <w:bookmarkStart w:id="8" w:name="_Toc214090951"/>
            <w:bookmarkStart w:id="9" w:name="_Toc201637983"/>
            <w:r>
              <w:rPr>
                <w:rFonts w:hint="eastAsia" w:ascii="仿宋" w:hAnsi="仿宋" w:eastAsia="仿宋" w:cs="仿宋"/>
                <w:sz w:val="24"/>
                <w:szCs w:val="24"/>
                <w:highlight w:val="none"/>
              </w:rPr>
              <w:t>法定代表人身份证复印件</w:t>
            </w:r>
            <w:bookmarkEnd w:id="8"/>
            <w:bookmarkEnd w:id="9"/>
          </w:p>
          <w:p w14:paraId="3BFFBB54">
            <w:pPr>
              <w:shd w:val="clear"/>
              <w:spacing w:line="360" w:lineRule="auto"/>
              <w:jc w:val="center"/>
              <w:rPr>
                <w:rFonts w:hint="eastAsia" w:ascii="仿宋" w:hAnsi="仿宋" w:eastAsia="仿宋" w:cs="仿宋"/>
                <w:sz w:val="24"/>
                <w:szCs w:val="24"/>
                <w:highlight w:val="none"/>
              </w:rPr>
            </w:pPr>
            <w:bookmarkStart w:id="10" w:name="_Toc214090952"/>
            <w:bookmarkStart w:id="11" w:name="_Toc201637984"/>
            <w:r>
              <w:rPr>
                <w:rFonts w:hint="eastAsia" w:ascii="仿宋" w:hAnsi="仿宋" w:eastAsia="仿宋" w:cs="仿宋"/>
                <w:sz w:val="24"/>
                <w:szCs w:val="24"/>
                <w:highlight w:val="none"/>
              </w:rPr>
              <w:t>（正面）</w:t>
            </w:r>
            <w:bookmarkEnd w:id="10"/>
            <w:bookmarkEnd w:id="11"/>
          </w:p>
        </w:tc>
        <w:tc>
          <w:tcPr>
            <w:tcW w:w="4649" w:type="dxa"/>
            <w:vAlign w:val="center"/>
          </w:tcPr>
          <w:p w14:paraId="59664E7F">
            <w:pPr>
              <w:shd w:val="clear"/>
              <w:spacing w:line="360" w:lineRule="auto"/>
              <w:jc w:val="center"/>
              <w:rPr>
                <w:rFonts w:hint="eastAsia" w:ascii="仿宋" w:hAnsi="仿宋" w:eastAsia="仿宋" w:cs="仿宋"/>
                <w:sz w:val="24"/>
                <w:szCs w:val="24"/>
                <w:highlight w:val="none"/>
              </w:rPr>
            </w:pPr>
            <w:bookmarkStart w:id="12" w:name="_Toc214090953"/>
            <w:bookmarkStart w:id="13" w:name="_Toc201637985"/>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2"/>
            <w:bookmarkEnd w:id="13"/>
          </w:p>
          <w:p w14:paraId="7A717914">
            <w:pPr>
              <w:shd w:val="clear"/>
              <w:spacing w:line="360" w:lineRule="auto"/>
              <w:jc w:val="center"/>
              <w:rPr>
                <w:rFonts w:hint="eastAsia" w:ascii="仿宋" w:hAnsi="仿宋" w:eastAsia="仿宋" w:cs="仿宋"/>
                <w:sz w:val="24"/>
                <w:szCs w:val="24"/>
                <w:highlight w:val="none"/>
              </w:rPr>
            </w:pPr>
            <w:bookmarkStart w:id="14" w:name="_Toc201637986"/>
            <w:bookmarkStart w:id="15" w:name="_Toc214090954"/>
            <w:r>
              <w:rPr>
                <w:rFonts w:hint="eastAsia" w:ascii="仿宋" w:hAnsi="仿宋" w:eastAsia="仿宋" w:cs="仿宋"/>
                <w:sz w:val="24"/>
                <w:szCs w:val="24"/>
                <w:highlight w:val="none"/>
              </w:rPr>
              <w:t>（正面）</w:t>
            </w:r>
            <w:bookmarkEnd w:id="14"/>
            <w:bookmarkEnd w:id="15"/>
          </w:p>
        </w:tc>
      </w:tr>
      <w:tr w14:paraId="475B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50D4E3E6">
            <w:pPr>
              <w:shd w:val="clea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4E6E8A9">
            <w:pPr>
              <w:shd w:val="clear"/>
              <w:spacing w:line="360" w:lineRule="auto"/>
              <w:jc w:val="center"/>
              <w:rPr>
                <w:rFonts w:hint="eastAsia" w:ascii="仿宋" w:hAnsi="仿宋" w:eastAsia="仿宋" w:cs="仿宋"/>
                <w:color w:val="auto"/>
                <w:sz w:val="24"/>
                <w:szCs w:val="24"/>
                <w:highlight w:val="none"/>
              </w:rPr>
            </w:pPr>
            <w:bookmarkStart w:id="18" w:name="_Toc201637988"/>
            <w:bookmarkStart w:id="19" w:name="_Toc214090956"/>
            <w:r>
              <w:rPr>
                <w:rFonts w:hint="eastAsia" w:ascii="仿宋" w:hAnsi="仿宋" w:eastAsia="仿宋" w:cs="仿宋"/>
                <w:color w:val="auto"/>
                <w:sz w:val="24"/>
                <w:szCs w:val="24"/>
                <w:highlight w:val="none"/>
              </w:rPr>
              <w:t>（反面）</w:t>
            </w:r>
            <w:bookmarkEnd w:id="18"/>
            <w:bookmarkEnd w:id="19"/>
          </w:p>
        </w:tc>
        <w:tc>
          <w:tcPr>
            <w:tcW w:w="4649" w:type="dxa"/>
            <w:vAlign w:val="center"/>
          </w:tcPr>
          <w:p w14:paraId="4057FE2E">
            <w:pPr>
              <w:shd w:val="clear"/>
              <w:spacing w:line="360" w:lineRule="auto"/>
              <w:jc w:val="center"/>
              <w:rPr>
                <w:rFonts w:hint="eastAsia" w:ascii="仿宋" w:hAnsi="仿宋" w:eastAsia="仿宋" w:cs="仿宋"/>
                <w:color w:val="auto"/>
                <w:sz w:val="24"/>
                <w:szCs w:val="24"/>
                <w:highlight w:val="none"/>
              </w:rPr>
            </w:pPr>
            <w:bookmarkStart w:id="20" w:name="_Toc201637989"/>
            <w:bookmarkStart w:id="21" w:name="_Toc214090957"/>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0"/>
            <w:bookmarkEnd w:id="21"/>
          </w:p>
          <w:p w14:paraId="5FA4868D">
            <w:pPr>
              <w:shd w:val="clear"/>
              <w:spacing w:line="360" w:lineRule="auto"/>
              <w:jc w:val="center"/>
              <w:rPr>
                <w:rFonts w:hint="eastAsia" w:ascii="仿宋" w:hAnsi="仿宋" w:eastAsia="仿宋" w:cs="仿宋"/>
                <w:color w:val="auto"/>
                <w:sz w:val="24"/>
                <w:szCs w:val="24"/>
                <w:highlight w:val="none"/>
              </w:rPr>
            </w:pPr>
            <w:bookmarkStart w:id="22" w:name="_Toc214090958"/>
            <w:bookmarkStart w:id="23" w:name="_Toc201637990"/>
            <w:r>
              <w:rPr>
                <w:rFonts w:hint="eastAsia" w:ascii="仿宋" w:hAnsi="仿宋" w:eastAsia="仿宋" w:cs="仿宋"/>
                <w:color w:val="auto"/>
                <w:sz w:val="24"/>
                <w:szCs w:val="24"/>
                <w:highlight w:val="none"/>
              </w:rPr>
              <w:t>（反面）</w:t>
            </w:r>
            <w:bookmarkEnd w:id="22"/>
            <w:bookmarkEnd w:id="23"/>
          </w:p>
        </w:tc>
      </w:tr>
    </w:tbl>
    <w:p w14:paraId="1E1D248D">
      <w:pPr>
        <w:shd w:val="clear"/>
        <w:spacing w:line="360" w:lineRule="auto"/>
        <w:rPr>
          <w:rFonts w:hint="eastAsia" w:ascii="仿宋" w:hAnsi="仿宋" w:eastAsia="仿宋" w:cs="仿宋"/>
          <w:color w:val="auto"/>
          <w:sz w:val="24"/>
          <w:szCs w:val="24"/>
          <w:highlight w:val="none"/>
        </w:rPr>
      </w:pPr>
    </w:p>
    <w:p w14:paraId="37404DF8">
      <w:pPr>
        <w:shd w:val="clea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7F73826">
      <w:pPr>
        <w:shd w:val="clea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428BC3D">
      <w:pPr>
        <w:shd w:val="clea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39FF8666">
      <w:pPr>
        <w:shd w:val="clea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25A0CCD1">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181B50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E1FD02D">
      <w:pPr>
        <w:shd w:val="clear"/>
        <w:spacing w:line="360" w:lineRule="auto"/>
        <w:rPr>
          <w:rFonts w:hint="eastAsia" w:ascii="仿宋" w:hAnsi="仿宋" w:eastAsia="仿宋" w:cs="仿宋"/>
          <w:spacing w:val="4"/>
          <w:sz w:val="24"/>
          <w:szCs w:val="24"/>
          <w:highlight w:val="none"/>
        </w:rPr>
      </w:pPr>
    </w:p>
    <w:p w14:paraId="5B71A48A">
      <w:pPr>
        <w:pStyle w:val="5"/>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EC75CEB">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2A3273E">
      <w:pPr>
        <w:pStyle w:val="3"/>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069549A">
      <w:pPr>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1019E1B">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295A7A3B">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81A5FE9">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0764E26E">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5EE1F40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4C830891">
      <w:pPr>
        <w:keepNext w:val="0"/>
        <w:keepLines w:val="0"/>
        <w:widowControl/>
        <w:suppressLineNumbers w:val="0"/>
        <w:shd w:val="clear"/>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5346632">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F18592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3663BF6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616558B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7117246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57AE481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0AE5AD1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6B382CC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6B534AC8">
      <w:pPr>
        <w:shd w:val="clear" w:color="auto"/>
        <w:spacing w:line="560" w:lineRule="exact"/>
        <w:ind w:firstLine="480" w:firstLineChars="200"/>
        <w:rPr>
          <w:rFonts w:hint="eastAsia" w:ascii="仿宋" w:hAnsi="仿宋" w:eastAsia="仿宋" w:cs="仿宋"/>
          <w:sz w:val="24"/>
          <w:highlight w:val="none"/>
        </w:rPr>
      </w:pPr>
    </w:p>
    <w:p w14:paraId="30E4FE45">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7F31C13">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EF862DA">
      <w:pPr>
        <w:pStyle w:val="2"/>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681CCC1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z w:val="24"/>
          <w:highlight w:val="none"/>
        </w:rPr>
      </w:pPr>
    </w:p>
    <w:p w14:paraId="5411E20C">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4D33207E">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AC0FF0D">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7F571CD2">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91612"/>
    <w:rsid w:val="11BF6B9D"/>
    <w:rsid w:val="13765CAF"/>
    <w:rsid w:val="26FE1DEC"/>
    <w:rsid w:val="2B911481"/>
    <w:rsid w:val="2C212804"/>
    <w:rsid w:val="2F5922B5"/>
    <w:rsid w:val="305807C8"/>
    <w:rsid w:val="34DD7DB4"/>
    <w:rsid w:val="39E66E3B"/>
    <w:rsid w:val="3F7364A7"/>
    <w:rsid w:val="40E1210B"/>
    <w:rsid w:val="44623562"/>
    <w:rsid w:val="488C5052"/>
    <w:rsid w:val="53E45D42"/>
    <w:rsid w:val="554B7562"/>
    <w:rsid w:val="5D017965"/>
    <w:rsid w:val="63527D55"/>
    <w:rsid w:val="729B5D0E"/>
    <w:rsid w:val="7513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99"/>
    <w:rPr>
      <w:rFonts w:ascii="Calibri" w:hAnsi="Calibri" w:cs="Times New Roman"/>
      <w:kern w:val="0"/>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2023</Words>
  <Characters>2114</Characters>
  <Lines>0</Lines>
  <Paragraphs>0</Paragraphs>
  <TotalTime>0</TotalTime>
  <ScaleCrop>false</ScaleCrop>
  <LinksUpToDate>false</LinksUpToDate>
  <CharactersWithSpaces>2523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2025-04-21T03:19:00Z</dcterms:created>
  <dc:creator>Administrator</dc:creator>
  <cp:lastModifiedBy>...</cp:lastModifiedBy>
  <dcterms:modified xsi:type="dcterms:W3CDTF">2026-04-28T09:41:42Z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eyJoZGlkIjoiNGU4YWY1OGFhZTQ2OWViNzY3Zjc1NDQ0MmYzODYyMTAiLCJ1c2VySWQiOiI5NDkyODkwNDUifQ==</vt:lpwstr>
  </property>
  <property fmtid="{D5CDD505-2E9C-101B-9397-08002B2CF9AE}" pid="4" name="ICV">
    <vt:lpwstr>42757D689F4348DBBE220C246AA686FB_12</vt:lpwstr>
  </property>
</Properties>
</file>