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版本号：SXCC-2026-ZB104.1B120260811001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联村集体经济产业(二次)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SXCC-2026-ZB104.1B1</w:t>
      </w:r>
      <w:r>
        <w:br/>
      </w:r>
      <w:r>
        <w:br/>
      </w:r>
      <w:r>
        <w:br/>
      </w:r>
    </w:p>
    <w:p>
      <w:pPr>
        <w:pStyle w:val="null3"/>
        <w:jc w:val="center"/>
        <w:outlineLvl w:val="2"/>
      </w:pPr>
      <w:r>
        <w:rPr>
          <w:rFonts w:ascii="仿宋_GB2312" w:hAnsi="仿宋_GB2312" w:cs="仿宋_GB2312" w:eastAsia="仿宋_GB2312"/>
          <w:sz w:val="28"/>
          <w:b/>
        </w:rPr>
        <w:t>西安市蓝田县汤峪镇人民政府（本级）</w:t>
      </w:r>
    </w:p>
    <w:p>
      <w:pPr>
        <w:pStyle w:val="null3"/>
        <w:jc w:val="center"/>
        <w:outlineLvl w:val="2"/>
      </w:pPr>
      <w:r>
        <w:rPr>
          <w:rFonts w:ascii="仿宋_GB2312" w:hAnsi="仿宋_GB2312" w:cs="仿宋_GB2312" w:eastAsia="仿宋_GB2312"/>
          <w:sz w:val="28"/>
          <w:b/>
        </w:rPr>
        <w:t>陕西长城工程造价师事务所有限责任公司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陕西长城工程造价师事务所有限责任公司</w:t>
      </w:r>
      <w:r>
        <w:rPr>
          <w:rFonts w:ascii="仿宋_GB2312" w:hAnsi="仿宋_GB2312" w:cs="仿宋_GB2312" w:eastAsia="仿宋_GB2312"/>
        </w:rPr>
        <w:t>（以下简称“代理机构”）受</w:t>
      </w:r>
      <w:r>
        <w:rPr>
          <w:rFonts w:ascii="仿宋_GB2312" w:hAnsi="仿宋_GB2312" w:cs="仿宋_GB2312" w:eastAsia="仿宋_GB2312"/>
        </w:rPr>
        <w:t>西安市蓝田县汤峪镇人民政府（本级）</w:t>
      </w:r>
      <w:r>
        <w:rPr>
          <w:rFonts w:ascii="仿宋_GB2312" w:hAnsi="仿宋_GB2312" w:cs="仿宋_GB2312" w:eastAsia="仿宋_GB2312"/>
        </w:rPr>
        <w:t>委托，拟对</w:t>
      </w:r>
      <w:r>
        <w:rPr>
          <w:rFonts w:ascii="仿宋_GB2312" w:hAnsi="仿宋_GB2312" w:cs="仿宋_GB2312" w:eastAsia="仿宋_GB2312"/>
        </w:rPr>
        <w:t>联村集体经济产业(二次)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SXCC-2026-ZB104.1B1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联村集体经济产业(二次)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联村集体经济产业主要建设内容为建设钢构大棚30栋，配套看护室、蓄水池(含水泵)、供电系统(不含变压器，含配电柜）、给水管网及园区砂石路面。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采购包1（联村集体经济产业）：属于专门面向中小企业采购。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1、法定代表人身份证明书/法定代表人授权委托书：法定代表人授权书（法定代表人直接参加磋商，须提供法定代表人身份证明）</w:t>
      </w:r>
    </w:p>
    <w:p>
      <w:pPr>
        <w:pStyle w:val="null3"/>
      </w:pPr>
      <w:r>
        <w:rPr>
          <w:rFonts w:ascii="仿宋_GB2312" w:hAnsi="仿宋_GB2312" w:cs="仿宋_GB2312" w:eastAsia="仿宋_GB2312"/>
        </w:rPr>
        <w:t>2、供应商资质要求：供应商须具备行政主管部门颁发的建筑工程施工总承包三级（含三级）以上资质，并具有合格有效 的安全生产许可证</w:t>
      </w:r>
    </w:p>
    <w:p>
      <w:pPr>
        <w:pStyle w:val="null3"/>
      </w:pPr>
      <w:r>
        <w:rPr>
          <w:rFonts w:ascii="仿宋_GB2312" w:hAnsi="仿宋_GB2312" w:cs="仿宋_GB2312" w:eastAsia="仿宋_GB2312"/>
        </w:rPr>
        <w:t>3、项目经理资质要求：供应商拟派项目经理须具备行业主管部门颁发的建筑工程专业二级（含二级）以上注册建造师资格 及有效的安全生产考核合格证书（B 证），在本单位注册且无在建工程</w:t>
      </w:r>
    </w:p>
    <w:p>
      <w:pPr>
        <w:pStyle w:val="null3"/>
      </w:pPr>
      <w:r>
        <w:rPr>
          <w:rFonts w:ascii="仿宋_GB2312" w:hAnsi="仿宋_GB2312" w:cs="仿宋_GB2312" w:eastAsia="仿宋_GB2312"/>
        </w:rPr>
        <w:t>4、供应商基本信息及项目经理基本信息查询：供应商基本信息及项目经理基本信息应在“陕西建设网 （http://js.shaanxi.gov.cn/）或陕西省建筑市场监管与诚信信息发布平台”可查询</w:t>
      </w:r>
    </w:p>
    <w:p>
      <w:pPr>
        <w:pStyle w:val="null3"/>
      </w:pPr>
      <w:r>
        <w:rPr>
          <w:rFonts w:ascii="仿宋_GB2312" w:hAnsi="仿宋_GB2312" w:cs="仿宋_GB2312" w:eastAsia="仿宋_GB2312"/>
        </w:rPr>
        <w:t>5、信用信息查询：供应商不得为“信用中国”网站（www.creditchina.gov.cn）中列入失信被执行人和重大税收 违法案件当事人名单的投标供应商，不得为中国政府采购网（www.ccgp.gov.cn）政府采购严 重违法失信行为记录名单中被财政部门禁止参加政府采购活动的投标供应商</w:t>
      </w:r>
    </w:p>
    <w:p>
      <w:pPr>
        <w:pStyle w:val="null3"/>
      </w:pPr>
      <w:r>
        <w:rPr>
          <w:rFonts w:ascii="仿宋_GB2312" w:hAnsi="仿宋_GB2312" w:cs="仿宋_GB2312" w:eastAsia="仿宋_GB2312"/>
        </w:rPr>
        <w:t>6、声明书：投标供应商不得在各级诚信信息平台被列为投标受限制的行为人</w:t>
      </w:r>
    </w:p>
    <w:p>
      <w:pPr>
        <w:pStyle w:val="null3"/>
      </w:pPr>
      <w:r>
        <w:rPr>
          <w:rFonts w:ascii="仿宋_GB2312" w:hAnsi="仿宋_GB2312" w:cs="仿宋_GB2312" w:eastAsia="仿宋_GB2312"/>
        </w:rPr>
        <w:t>7、承诺书：本项目不接受联合体投标，单位负责人为同一人或者存在直接控股、管理关系的不同供应商，不得参加同一合同项下的政府采购活动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西安市蓝田县汤峪镇人民政府（本级）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蓝田县汤峪镇塘子村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029-82837317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陕西长城工程造价师事务所有限责任公司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蓝田县青灞路白鹿原管委会对面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029-82722200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代理服务费收费标准：1.以成交金额为基数，参照国家计委颁布《招标代理服务收费管理暂行办法》（计价格[2002]1980号）、（发改办价格[2003]857号）文件规定执行； 2.招标代理服务费由成交供应商支付，在领取《成交通知书》前，由成交供应商一次性支付给陕西长城工程造价师事务所有限责任公司。 招标代理服务费缴纳账户： 开户名称：陕西长城工程造价师事务所有限责任公司 开户银行：建行西安凤城二路支行 账 号：6105 0110 2637 0000 0190 注：成交公示结束后，成交供应商须提供纸质磋商响应文件 3 套（一正两副）及电子版 U 盘 2个（内容与系统上传保持一致）交由采购代理机构。成交供应商对所提供资料的真实性、合法性、准确性、完整性负责，无需密封。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西安市蓝田县汤峪镇人民政府（本级）</w:t>
      </w:r>
      <w:r>
        <w:rPr>
          <w:rFonts w:ascii="仿宋_GB2312" w:hAnsi="仿宋_GB2312" w:cs="仿宋_GB2312" w:eastAsia="仿宋_GB2312"/>
        </w:rPr>
        <w:t>和</w:t>
      </w:r>
      <w:r>
        <w:rPr>
          <w:rFonts w:ascii="仿宋_GB2312" w:hAnsi="仿宋_GB2312" w:cs="仿宋_GB2312" w:eastAsia="仿宋_GB2312"/>
        </w:rPr>
        <w:t>陕西长城工程造价师事务所有限责任公司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西安市蓝田县汤峪镇人民政府（本级）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陕西长城工程造价师事务所有限责任公司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西安市蓝田县汤峪镇人民政府（本级）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陕西长城工程造价师事务所有限责任公司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陕西长城工程造价师事务所有限责任公司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陕西长城工程造价师事务所有限责任公司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陕西长城工程造价师事务所有限责任公司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联系人：张茹</w:t>
      </w:r>
    </w:p>
    <w:p>
      <w:pPr>
        <w:pStyle w:val="null3"/>
      </w:pPr>
      <w:r>
        <w:rPr>
          <w:rFonts w:ascii="仿宋_GB2312" w:hAnsi="仿宋_GB2312" w:cs="仿宋_GB2312" w:eastAsia="仿宋_GB2312"/>
        </w:rPr>
        <w:t>联系电话： 029-82722200</w:t>
      </w:r>
    </w:p>
    <w:p>
      <w:pPr>
        <w:pStyle w:val="null3"/>
      </w:pPr>
      <w:r>
        <w:rPr>
          <w:rFonts w:ascii="仿宋_GB2312" w:hAnsi="仿宋_GB2312" w:cs="仿宋_GB2312" w:eastAsia="仿宋_GB2312"/>
        </w:rPr>
        <w:t>地址：蓝田县青灞路白鹿原管委会对面</w:t>
      </w:r>
    </w:p>
    <w:p>
      <w:pPr>
        <w:pStyle w:val="null3"/>
      </w:pPr>
      <w:r>
        <w:rPr>
          <w:rFonts w:ascii="仿宋_GB2312" w:hAnsi="仿宋_GB2312" w:cs="仿宋_GB2312" w:eastAsia="仿宋_GB2312"/>
        </w:rPr>
        <w:t>邮编：710500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1,899,849.78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联村集体经济产业</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标的名称：联村集体经济产业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一、项目概况</w:t>
            </w:r>
          </w:p>
          <w:p>
            <w:pPr>
              <w:pStyle w:val="null3"/>
              <w:spacing w:before="90"/>
              <w:ind w:firstLine="552"/>
              <w:jc w:val="left"/>
            </w:pPr>
            <w:r>
              <w:rPr>
                <w:rFonts w:ascii="仿宋_GB2312" w:hAnsi="仿宋_GB2312" w:cs="仿宋_GB2312" w:eastAsia="仿宋_GB2312"/>
                <w:sz w:val="21"/>
                <w:color w:val="000000"/>
              </w:rPr>
              <w:t>联村集体经济产业主要建设内容为建设钢构大棚30栋，配套看护室、蓄水池(含水泵)、供电系统(不含变压器，含配电柜）、给水管网及园区砂石路面。</w:t>
            </w:r>
          </w:p>
          <w:p>
            <w:pPr>
              <w:pStyle w:val="null3"/>
            </w:pPr>
            <w:r>
              <w:rPr>
                <w:rFonts w:ascii="仿宋_GB2312" w:hAnsi="仿宋_GB2312" w:cs="仿宋_GB2312" w:eastAsia="仿宋_GB2312"/>
                <w:sz w:val="28"/>
                <w:b/>
                <w:color w:val="000000"/>
              </w:rPr>
              <w:t>二、工程内容和施工地点、计划工期、缺陷责任期、质量保修期</w:t>
            </w:r>
          </w:p>
          <w:p>
            <w:pPr>
              <w:pStyle w:val="null3"/>
            </w:pPr>
            <w:r>
              <w:rPr>
                <w:rFonts w:ascii="仿宋_GB2312" w:hAnsi="仿宋_GB2312" w:cs="仿宋_GB2312" w:eastAsia="仿宋_GB2312"/>
                <w:sz w:val="21"/>
                <w:b/>
                <w:color w:val="000000"/>
              </w:rPr>
              <w:t xml:space="preserve">     1、主要建设内容：</w:t>
            </w:r>
            <w:r>
              <w:rPr>
                <w:rFonts w:ascii="仿宋_GB2312" w:hAnsi="仿宋_GB2312" w:cs="仿宋_GB2312" w:eastAsia="仿宋_GB2312"/>
                <w:sz w:val="21"/>
                <w:color w:val="000000"/>
              </w:rPr>
              <w:t>详见工程量清单及图纸全部内容。</w:t>
            </w:r>
          </w:p>
          <w:p>
            <w:pPr>
              <w:pStyle w:val="null3"/>
            </w:pPr>
            <w:r>
              <w:rPr>
                <w:rFonts w:ascii="仿宋_GB2312" w:hAnsi="仿宋_GB2312" w:cs="仿宋_GB2312" w:eastAsia="仿宋_GB2312"/>
                <w:sz w:val="21"/>
                <w:b/>
                <w:color w:val="000000"/>
              </w:rPr>
              <w:t xml:space="preserve">     2、工程地点：</w:t>
            </w:r>
            <w:r>
              <w:rPr>
                <w:rFonts w:ascii="仿宋_GB2312" w:hAnsi="仿宋_GB2312" w:cs="仿宋_GB2312" w:eastAsia="仿宋_GB2312"/>
                <w:sz w:val="21"/>
                <w:color w:val="000000"/>
              </w:rPr>
              <w:t>蓝田县</w:t>
            </w:r>
          </w:p>
          <w:p>
            <w:pPr>
              <w:pStyle w:val="null3"/>
            </w:pPr>
            <w:r>
              <w:rPr>
                <w:rFonts w:ascii="仿宋_GB2312" w:hAnsi="仿宋_GB2312" w:cs="仿宋_GB2312" w:eastAsia="仿宋_GB2312"/>
                <w:sz w:val="21"/>
                <w:b/>
                <w:color w:val="000000"/>
              </w:rPr>
              <w:t xml:space="preserve">     3、计划工期：</w:t>
            </w:r>
            <w:r>
              <w:rPr>
                <w:rFonts w:ascii="仿宋_GB2312" w:hAnsi="仿宋_GB2312" w:cs="仿宋_GB2312" w:eastAsia="仿宋_GB2312"/>
                <w:sz w:val="21"/>
                <w:color w:val="000000"/>
              </w:rPr>
              <w:t>90日历天</w:t>
            </w:r>
          </w:p>
          <w:p>
            <w:pPr>
              <w:pStyle w:val="null3"/>
            </w:pPr>
            <w:r>
              <w:rPr>
                <w:rFonts w:ascii="仿宋_GB2312" w:hAnsi="仿宋_GB2312" w:cs="仿宋_GB2312" w:eastAsia="仿宋_GB2312"/>
                <w:sz w:val="21"/>
                <w:b/>
                <w:color w:val="000000"/>
              </w:rPr>
              <w:t xml:space="preserve">     4、缺陷责任期：</w:t>
            </w:r>
            <w:r>
              <w:rPr>
                <w:rFonts w:ascii="仿宋_GB2312" w:hAnsi="仿宋_GB2312" w:cs="仿宋_GB2312" w:eastAsia="仿宋_GB2312"/>
                <w:sz w:val="21"/>
                <w:color w:val="000000"/>
              </w:rPr>
              <w:t>自竣工验收之日起 1 年</w:t>
            </w:r>
          </w:p>
          <w:p>
            <w:pPr>
              <w:pStyle w:val="null3"/>
            </w:pPr>
            <w:r>
              <w:rPr>
                <w:rFonts w:ascii="仿宋_GB2312" w:hAnsi="仿宋_GB2312" w:cs="仿宋_GB2312" w:eastAsia="仿宋_GB2312"/>
                <w:sz w:val="21"/>
                <w:b/>
                <w:color w:val="000000"/>
              </w:rPr>
              <w:t xml:space="preserve">     5、质量保修期：</w:t>
            </w:r>
            <w:r>
              <w:rPr>
                <w:rFonts w:ascii="仿宋_GB2312" w:hAnsi="仿宋_GB2312" w:cs="仿宋_GB2312" w:eastAsia="仿宋_GB2312"/>
                <w:sz w:val="21"/>
                <w:color w:val="000000"/>
              </w:rPr>
              <w:t>不少于 12 个月</w:t>
            </w:r>
          </w:p>
          <w:p>
            <w:pPr>
              <w:pStyle w:val="null3"/>
            </w:pPr>
            <w:r>
              <w:rPr>
                <w:rFonts w:ascii="仿宋_GB2312" w:hAnsi="仿宋_GB2312" w:cs="仿宋_GB2312" w:eastAsia="仿宋_GB2312"/>
                <w:sz w:val="28"/>
                <w:b/>
                <w:color w:val="000000"/>
              </w:rPr>
              <w:t>三、工程量清单和计价依据</w:t>
            </w:r>
          </w:p>
          <w:p>
            <w:pPr>
              <w:pStyle w:val="null3"/>
              <w:spacing w:before="165"/>
              <w:ind w:left="570"/>
              <w:jc w:val="left"/>
            </w:pPr>
            <w:r>
              <w:rPr>
                <w:rFonts w:ascii="仿宋_GB2312" w:hAnsi="仿宋_GB2312" w:cs="仿宋_GB2312" w:eastAsia="仿宋_GB2312"/>
                <w:sz w:val="21"/>
                <w:b/>
                <w:color w:val="000000"/>
              </w:rPr>
              <w:t>（一）计价依据</w:t>
            </w:r>
          </w:p>
          <w:p>
            <w:pPr>
              <w:pStyle w:val="null3"/>
              <w:jc w:val="left"/>
            </w:pPr>
            <w:r>
              <w:rPr>
                <w:rFonts w:ascii="仿宋_GB2312" w:hAnsi="仿宋_GB2312" w:cs="仿宋_GB2312" w:eastAsia="仿宋_GB2312"/>
                <w:sz w:val="21"/>
                <w:color w:val="000000"/>
              </w:rPr>
              <w:t>1、《联村集体经济产业》施工设计图；</w:t>
            </w:r>
          </w:p>
          <w:p>
            <w:pPr>
              <w:pStyle w:val="null3"/>
              <w:ind w:firstLine="556"/>
            </w:pPr>
            <w:r>
              <w:rPr>
                <w:rFonts w:ascii="仿宋_GB2312" w:hAnsi="仿宋_GB2312" w:cs="仿宋_GB2312" w:eastAsia="仿宋_GB2312"/>
                <w:sz w:val="21"/>
                <w:color w:val="000000"/>
              </w:rPr>
              <w:t>2、依据《关于印发2025 陕西省建设工程费用规则等计价依据的通知》 （陕建管发〔2025〕10 号）；</w:t>
            </w:r>
          </w:p>
          <w:p>
            <w:pPr>
              <w:pStyle w:val="null3"/>
              <w:ind w:right="120" w:firstLine="563"/>
            </w:pPr>
            <w:r>
              <w:rPr>
                <w:rFonts w:ascii="仿宋_GB2312" w:hAnsi="仿宋_GB2312" w:cs="仿宋_GB2312" w:eastAsia="仿宋_GB2312"/>
                <w:sz w:val="21"/>
                <w:color w:val="000000"/>
              </w:rPr>
              <w:t>3、依据陕西省工程建设标准《建设工程工程量清单计价标准》《市政工程工程量计算标准》、《通用安装工程工程量计算标准》、《园林绿化工程工程量计算标准》（2025）；</w:t>
            </w:r>
          </w:p>
          <w:p>
            <w:pPr>
              <w:pStyle w:val="null3"/>
              <w:ind w:right="135" w:firstLine="559"/>
            </w:pPr>
            <w:r>
              <w:rPr>
                <w:rFonts w:ascii="仿宋_GB2312" w:hAnsi="仿宋_GB2312" w:cs="仿宋_GB2312" w:eastAsia="仿宋_GB2312"/>
                <w:sz w:val="21"/>
                <w:color w:val="000000"/>
              </w:rPr>
              <w:t>4、陕西省住房城乡建设主管部门颁发的工程计价文件、建设工程费用规则；</w:t>
            </w:r>
          </w:p>
          <w:p>
            <w:pPr>
              <w:pStyle w:val="null3"/>
              <w:ind w:right="120" w:firstLine="546"/>
            </w:pPr>
            <w:r>
              <w:rPr>
                <w:rFonts w:ascii="仿宋_GB2312" w:hAnsi="仿宋_GB2312" w:cs="仿宋_GB2312" w:eastAsia="仿宋_GB2312"/>
                <w:sz w:val="21"/>
                <w:color w:val="000000"/>
              </w:rPr>
              <w:t>5、施工现场情况、地勘水文资料、工程特点及施工方案，现行国家和陕西省有关的标准、规范及技术资料；</w:t>
            </w:r>
          </w:p>
          <w:p>
            <w:pPr>
              <w:pStyle w:val="null3"/>
              <w:ind w:right="120" w:firstLine="546"/>
            </w:pPr>
            <w:r>
              <w:rPr>
                <w:rFonts w:ascii="仿宋_GB2312" w:hAnsi="仿宋_GB2312" w:cs="仿宋_GB2312" w:eastAsia="仿宋_GB2312"/>
                <w:sz w:val="21"/>
                <w:color w:val="000000"/>
              </w:rPr>
              <w:t>6、材料价优先参考 2026年6月《蓝田县工程造价信息》最新信息价及当</w:t>
            </w:r>
            <w:r>
              <w:rPr>
                <w:rFonts w:ascii="仿宋_GB2312" w:hAnsi="仿宋_GB2312" w:cs="仿宋_GB2312" w:eastAsia="仿宋_GB2312"/>
                <w:sz w:val="21"/>
                <w:color w:val="000000"/>
              </w:rPr>
              <w:t>地市场价；</w:t>
            </w:r>
          </w:p>
          <w:p>
            <w:pPr>
              <w:pStyle w:val="null3"/>
              <w:ind w:right="120" w:firstLine="546"/>
            </w:pPr>
            <w:r>
              <w:rPr>
                <w:rFonts w:ascii="仿宋_GB2312" w:hAnsi="仿宋_GB2312" w:cs="仿宋_GB2312" w:eastAsia="仿宋_GB2312"/>
                <w:sz w:val="21"/>
                <w:color w:val="000000"/>
              </w:rPr>
              <w:t>7、其他相关资料；</w:t>
            </w:r>
          </w:p>
          <w:p>
            <w:pPr>
              <w:pStyle w:val="null3"/>
              <w:ind w:right="120" w:firstLine="546"/>
            </w:pPr>
            <w:r>
              <w:rPr>
                <w:rFonts w:ascii="仿宋_GB2312" w:hAnsi="仿宋_GB2312" w:cs="仿宋_GB2312" w:eastAsia="仿宋_GB2312"/>
                <w:sz w:val="21"/>
                <w:color w:val="000000"/>
              </w:rPr>
              <w:t>8、本工程采用广联达云计价平台 GCCP7.0（7.5000.23.3 版本）编制。</w:t>
            </w:r>
          </w:p>
          <w:p>
            <w:pPr>
              <w:pStyle w:val="null3"/>
            </w:pPr>
            <w:r>
              <w:rPr>
                <w:rFonts w:ascii="仿宋_GB2312" w:hAnsi="仿宋_GB2312" w:cs="仿宋_GB2312" w:eastAsia="仿宋_GB2312"/>
                <w:sz w:val="28"/>
                <w:b/>
                <w:color w:val="000000"/>
              </w:rPr>
              <w:t xml:space="preserve"> </w:t>
            </w:r>
            <w:r>
              <w:rPr>
                <w:rFonts w:ascii="仿宋_GB2312" w:hAnsi="仿宋_GB2312" w:cs="仿宋_GB2312" w:eastAsia="仿宋_GB2312"/>
                <w:sz w:val="21"/>
                <w:b/>
                <w:color w:val="000000"/>
              </w:rPr>
              <w:t xml:space="preserve">   （二）工程量清单：</w:t>
            </w:r>
            <w:r>
              <w:rPr>
                <w:rFonts w:ascii="仿宋_GB2312" w:hAnsi="仿宋_GB2312" w:cs="仿宋_GB2312" w:eastAsia="仿宋_GB2312"/>
                <w:sz w:val="21"/>
                <w:color w:val="000000"/>
              </w:rPr>
              <w:t>另附</w:t>
            </w:r>
          </w:p>
          <w:p>
            <w:pPr>
              <w:pStyle w:val="null3"/>
            </w:pPr>
            <w:r>
              <w:rPr>
                <w:rFonts w:ascii="仿宋_GB2312" w:hAnsi="仿宋_GB2312" w:cs="仿宋_GB2312" w:eastAsia="仿宋_GB2312"/>
                <w:sz w:val="28"/>
                <w:b/>
                <w:color w:val="000000"/>
              </w:rPr>
              <w:t>四、施工要求</w:t>
            </w:r>
          </w:p>
          <w:p>
            <w:pPr>
              <w:pStyle w:val="null3"/>
            </w:pPr>
            <w:r>
              <w:rPr>
                <w:rFonts w:ascii="仿宋_GB2312" w:hAnsi="仿宋_GB2312" w:cs="仿宋_GB2312" w:eastAsia="仿宋_GB2312"/>
                <w:sz w:val="21"/>
                <w:color w:val="000000"/>
              </w:rPr>
              <w:t xml:space="preserve">        在施工期间，中标供应商必须注意人员安全，加强安全措施，并对施工人</w:t>
            </w:r>
            <w:r>
              <w:rPr>
                <w:rFonts w:ascii="仿宋_GB2312" w:hAnsi="仿宋_GB2312" w:cs="仿宋_GB2312" w:eastAsia="仿宋_GB2312"/>
                <w:sz w:val="21"/>
                <w:color w:val="000000"/>
              </w:rPr>
              <w:t>员进行安全教育。施工人员必须持证上岗。</w:t>
            </w:r>
          </w:p>
          <w:p>
            <w:pPr>
              <w:pStyle w:val="null3"/>
            </w:pPr>
            <w:r>
              <w:rPr>
                <w:rFonts w:ascii="仿宋_GB2312" w:hAnsi="仿宋_GB2312" w:cs="仿宋_GB2312" w:eastAsia="仿宋_GB2312"/>
                <w:sz w:val="28"/>
                <w:b/>
                <w:color w:val="000000"/>
              </w:rPr>
              <w:t>五、商务要求</w:t>
            </w:r>
          </w:p>
          <w:p>
            <w:pPr>
              <w:pStyle w:val="null3"/>
              <w:spacing w:before="210"/>
              <w:ind w:left="585"/>
              <w:jc w:val="left"/>
            </w:pPr>
            <w:r>
              <w:rPr>
                <w:rFonts w:ascii="仿宋_GB2312" w:hAnsi="仿宋_GB2312" w:cs="仿宋_GB2312" w:eastAsia="仿宋_GB2312"/>
                <w:sz w:val="21"/>
                <w:color w:val="000000"/>
              </w:rPr>
              <w:t>1、合同签订后，甲方向乙方支付合同价款的 40%作为预付款；</w:t>
            </w:r>
          </w:p>
          <w:p>
            <w:pPr>
              <w:pStyle w:val="null3"/>
              <w:spacing w:before="210"/>
              <w:ind w:left="585"/>
              <w:jc w:val="left"/>
            </w:pPr>
            <w:r>
              <w:rPr>
                <w:rFonts w:ascii="仿宋_GB2312" w:hAnsi="仿宋_GB2312" w:cs="仿宋_GB2312" w:eastAsia="仿宋_GB2312"/>
                <w:sz w:val="21"/>
                <w:color w:val="000000"/>
              </w:rPr>
              <w:t>2、工程竣工，验收合格后支付至合同总价款的85%；</w:t>
            </w:r>
          </w:p>
          <w:p>
            <w:pPr>
              <w:pStyle w:val="null3"/>
              <w:spacing w:before="210"/>
              <w:ind w:left="585"/>
              <w:jc w:val="left"/>
            </w:pPr>
            <w:r>
              <w:rPr>
                <w:rFonts w:ascii="仿宋_GB2312" w:hAnsi="仿宋_GB2312" w:cs="仿宋_GB2312" w:eastAsia="仿宋_GB2312"/>
                <w:sz w:val="21"/>
                <w:color w:val="000000"/>
              </w:rPr>
              <w:t>3、审计部门审计完成后，支付至审计结算价款的97%，剩余 3%待缺陷责任期满后一次性无息支付。</w:t>
            </w:r>
          </w:p>
          <w:p>
            <w:pPr>
              <w:pStyle w:val="null3"/>
            </w:pPr>
            <w:r>
              <w:rPr>
                <w:rFonts w:ascii="仿宋_GB2312" w:hAnsi="仿宋_GB2312" w:cs="仿宋_GB2312" w:eastAsia="仿宋_GB2312"/>
                <w:sz w:val="21"/>
                <w:color w:val="000000"/>
              </w:rPr>
              <w:t xml:space="preserve">   注：在付款前，供应商须开具全额（等额）增值税发票给采购人。</w:t>
            </w:r>
          </w:p>
          <w:p>
            <w:pPr>
              <w:pStyle w:val="null3"/>
            </w:pPr>
            <w:r>
              <w:rPr>
                <w:rFonts w:ascii="仿宋_GB2312" w:hAnsi="仿宋_GB2312" w:cs="仿宋_GB2312" w:eastAsia="仿宋_GB2312"/>
                <w:sz w:val="28"/>
                <w:b/>
                <w:color w:val="000000"/>
              </w:rPr>
              <w:t>六、其他</w:t>
            </w:r>
          </w:p>
          <w:p>
            <w:pPr>
              <w:pStyle w:val="null3"/>
            </w:pPr>
            <w:r>
              <w:rPr>
                <w:rFonts w:ascii="仿宋_GB2312" w:hAnsi="仿宋_GB2312" w:cs="仿宋_GB2312" w:eastAsia="仿宋_GB2312"/>
                <w:sz w:val="21"/>
                <w:color w:val="000000"/>
              </w:rPr>
              <w:t>（一）对供应商业绩的要求</w:t>
            </w:r>
          </w:p>
          <w:p>
            <w:pPr>
              <w:pStyle w:val="null3"/>
            </w:pPr>
            <w:r>
              <w:rPr>
                <w:rFonts w:ascii="仿宋_GB2312" w:hAnsi="仿宋_GB2312" w:cs="仿宋_GB2312" w:eastAsia="仿宋_GB2312"/>
                <w:sz w:val="21"/>
                <w:color w:val="000000"/>
              </w:rPr>
              <w:t xml:space="preserve">  投标供应商提供2023年07月01日（以合同签订日期为准）至今的类似项</w:t>
            </w:r>
            <w:r>
              <w:rPr>
                <w:rFonts w:ascii="仿宋_GB2312" w:hAnsi="仿宋_GB2312" w:cs="仿宋_GB2312" w:eastAsia="仿宋_GB2312"/>
                <w:sz w:val="21"/>
                <w:color w:val="000000"/>
              </w:rPr>
              <w:t>目业绩。(合同复印件加盖公章附在响应文件中，否则不作为评审依据）。</w:t>
            </w:r>
          </w:p>
          <w:p>
            <w:pPr>
              <w:pStyle w:val="null3"/>
            </w:pPr>
            <w:r>
              <w:rPr>
                <w:rFonts w:ascii="仿宋_GB2312" w:hAnsi="仿宋_GB2312" w:cs="仿宋_GB2312" w:eastAsia="仿宋_GB2312"/>
                <w:sz w:val="21"/>
                <w:color w:val="000000"/>
              </w:rPr>
              <w:t>（二）质量验收标准或规范</w:t>
            </w:r>
          </w:p>
          <w:p>
            <w:pPr>
              <w:pStyle w:val="null3"/>
            </w:pPr>
            <w:r>
              <w:rPr>
                <w:rFonts w:ascii="仿宋_GB2312" w:hAnsi="仿宋_GB2312" w:cs="仿宋_GB2312" w:eastAsia="仿宋_GB2312"/>
                <w:sz w:val="21"/>
                <w:color w:val="000000"/>
              </w:rPr>
              <w:t>符合国家现行有关施工质量验收规范“合格”要求。</w:t>
            </w:r>
          </w:p>
          <w:p>
            <w:pPr>
              <w:pStyle w:val="null3"/>
            </w:pPr>
            <w:r>
              <w:rPr>
                <w:rFonts w:ascii="仿宋_GB2312" w:hAnsi="仿宋_GB2312" w:cs="仿宋_GB2312" w:eastAsia="仿宋_GB2312"/>
                <w:sz w:val="21"/>
                <w:color w:val="000000"/>
              </w:rPr>
              <w:t>（三）违约责任</w:t>
            </w:r>
          </w:p>
          <w:p>
            <w:pPr>
              <w:pStyle w:val="null3"/>
            </w:pPr>
            <w:r>
              <w:rPr>
                <w:rFonts w:ascii="仿宋_GB2312" w:hAnsi="仿宋_GB2312" w:cs="仿宋_GB2312" w:eastAsia="仿宋_GB2312"/>
                <w:sz w:val="21"/>
                <w:color w:val="000000"/>
              </w:rPr>
              <w:t>1、承包人每推后一天完工，按合同价的万分之二向发包人支付违约金，</w:t>
            </w:r>
            <w:r>
              <w:rPr>
                <w:rFonts w:ascii="仿宋_GB2312" w:hAnsi="仿宋_GB2312" w:cs="仿宋_GB2312" w:eastAsia="仿宋_GB2312"/>
                <w:sz w:val="21"/>
                <w:color w:val="000000"/>
              </w:rPr>
              <w:t>但不超过合同总价的10%。</w:t>
            </w:r>
          </w:p>
          <w:p>
            <w:pPr>
              <w:pStyle w:val="null3"/>
            </w:pPr>
            <w:r>
              <w:rPr>
                <w:rFonts w:ascii="仿宋_GB2312" w:hAnsi="仿宋_GB2312" w:cs="仿宋_GB2312" w:eastAsia="仿宋_GB2312"/>
                <w:sz w:val="21"/>
                <w:color w:val="000000"/>
              </w:rPr>
              <w:t>2、承包人承担因工程质量达不到技术规范规定的质量标准所造成检测、</w:t>
            </w:r>
            <w:r>
              <w:rPr>
                <w:rFonts w:ascii="仿宋_GB2312" w:hAnsi="仿宋_GB2312" w:cs="仿宋_GB2312" w:eastAsia="仿宋_GB2312"/>
                <w:sz w:val="21"/>
                <w:color w:val="000000"/>
              </w:rPr>
              <w:t>返工、加固等所有质量补救措施的全部费用。当质量问题严重，或承包人拒</w:t>
            </w:r>
            <w:r>
              <w:rPr>
                <w:rFonts w:ascii="仿宋_GB2312" w:hAnsi="仿宋_GB2312" w:cs="仿宋_GB2312" w:eastAsia="仿宋_GB2312"/>
                <w:sz w:val="21"/>
                <w:color w:val="000000"/>
              </w:rPr>
              <w:t>绝尽快采取弥补质量缺陷措施时，承包人承担发包人因此终止合同更换施工</w:t>
            </w:r>
            <w:r>
              <w:rPr>
                <w:rFonts w:ascii="仿宋_GB2312" w:hAnsi="仿宋_GB2312" w:cs="仿宋_GB2312" w:eastAsia="仿宋_GB2312"/>
                <w:sz w:val="21"/>
                <w:color w:val="000000"/>
              </w:rPr>
              <w:t>单位的全部责任，承担因此产生的发包人费用，并按总额不超过承包合同价</w:t>
            </w:r>
            <w:r>
              <w:rPr>
                <w:rFonts w:ascii="仿宋_GB2312" w:hAnsi="仿宋_GB2312" w:cs="仿宋_GB2312" w:eastAsia="仿宋_GB2312"/>
                <w:sz w:val="21"/>
                <w:color w:val="000000"/>
              </w:rPr>
              <w:t>的 3%支付质量违约金。因工程质量导致第三方索赔，由承包人承担。</w:t>
            </w:r>
          </w:p>
          <w:p>
            <w:pPr>
              <w:pStyle w:val="null3"/>
            </w:pPr>
            <w:r>
              <w:rPr>
                <w:rFonts w:ascii="仿宋_GB2312" w:hAnsi="仿宋_GB2312" w:cs="仿宋_GB2312" w:eastAsia="仿宋_GB2312"/>
                <w:sz w:val="21"/>
                <w:color w:val="000000"/>
              </w:rPr>
              <w:t>3、双方约定的承包人其他违约责任：其他违约双方协商解决。</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1、承包人每推后一天完工，按合同价的万分之二向发包人支付违约金，但不超过合同总价的10% 。 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3、双方约定的承包人其他违约责任：其他违约双方协商解决。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 ”或“营业执照 ”；②如供应商是事业单位，应提供有效的“事业单位法人证书”；③如供应商是为企业专业服务机构的，应提供执业许可证等证明文件；④如供应商是个体工商户，应提供有效的“个体工商户营业执照 ”；⑤如供应商为自然人，应提供有效的自然人身份证明。(2)提供 2025 年度经审计的财务报告（成立时间至提交投标文件截止时间不足一年的可提供成立后任意时段的资产负债表），或投标截止时间前 6 个月内银行出具的资信证明； (3)提供响应文件递交截止日前 6 个月内已缴纳的至少一个月的纳税证明或完税证明，依法免税的单位应提供相关证明材料；(4)提供响应文件递交截止日前 6 个月内已缴存的至少一个月的社会保障资金缴存单据或社保机构开具的社会保险参保缴费情况证明，依法不需要缴纳社会保障资金的单位应提供相关证明材料；(5)提供具有履行合同所必需的设备和专业技术能力的承诺； (6)参加政府采购活动前 3 年内，在经营活动中没有重大违法记录的书面声明。供应商需在项目电子化交易系统中按要求填写《 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投标截止时间前6个月内银行出具的资信证明，或信用担保机构出具的投标担保函（以上三种形式的资料任何一种即可）；供应商需在项目电子化交易系统中按要求上传相应 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供应商须具备行政主管部门颁发的建筑工程施工总承包三级（含三级）以上资质，并具有合格有效 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供应商拟派项目经理须具备行业主管部门颁发的建筑工程专业二级（含二级）以上注册建造师资格 及有效的安全生产考核合格证书（B 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供应商基本信息及项目经理基本信息应在“陕西建设网 （http://js.shaanxi.gov.cn/）或陕西省建筑市场监管与诚信信息发布平台”可查询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 违法案件当事人名单的投标供应商，不得为中国政府采购网（www.ccgp.gov.cn）政府采购严 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投标供应商不得在各级诚信信息平台被列为投标受限制的行为人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已标价工程量清单.docx 技术服务合同条款及其他商务要求应答表.docx 供应商类似项目业绩一览表.docx 中小企业声明函 其他相关资料.docx 响应文件封面 供应商应提交的相关资格证明材料.docx 项目管理机构组成表 主要人员简历表.docx 残疾人福利性单位声明函 报价函 标的清单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已标价工程量清单.docx 技术服务合同条款及其他商务要求应答表.docx 供应商类似项目业绩一览表.docx 中小企业声明函 其他相关资料.docx 响应文件封面 供应商应提交的相关资格证明材料.docx 项目管理机构组成表 主要人员简历表.docx 残疾人福利性单位声明函 报价函 标的清单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已标价工程量清单.docx 技术服务合同条款及其他商务要求应答表.docx 供应商类似项目业绩一览表.docx 中小企业声明函 其他相关资料.docx 响应文件封面 供应商应提交的相关资格证明材料.docx 项目管理机构组成表 主要人员简历表.docx 残疾人福利性单位声明函 报价函 标的清单 响应函 陕西省政府采购供应商拒绝政府采购领域商业贿赂承诺书.docx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 ；②施工准备及进度安排;③施工方法；④重点难点工程分析及解决措施；⑤影响正常施工 外在因素分析及对应预案等。 二、评审标准： 1、完善性：方案必须全面，对评审内容中 的各项要求有详细阐述； 2、可实施性：切合本项目实际情况，提出步骤清晰、合理的方 案； 3、针对性：方案能够紧扣项目实际情况，内容科学合理。 上述5项评审内容全部满 足评审标准得15分，每有一个评审内容缺项扣3分，每有一项评审内容存在缺陷，扣0.5 分，扣完为止，不计负分。 说明：缺陷是指内容没有结合项目实际需求、虽有内容但不完 善、内容表述前后不一致、套用其他项目方案或与项目需求不匹配及其他不利于项目实施 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供应商提供2023年07月01日（以合同签订日期为准）至今的类似项目业绩，每提供一份得1分，最高得5分。(合同复印件加盖公章附在响应文件中，否则不作为评审依据）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 性扣减，并依据扣减后的价格（评审价格）进行价格评审。 2.满足磋商文件实质性要求且 最终报价最低的供应商的价格为磋商基准价，其价格分为满分30分。 3.磋商报价得分=（ 磋商基准价/磋商报价）×30的公式计算得分。 4.磋商报价不完整的，不进入磋商标准价 的计算，本项得0分。 5.经评委一致认定，供应商的磋商最终总报价低于公认市场成本， 或超过采购预算,其磋商响应将被拒绝。注：本项目已专门面向中小微企业，对小微企业、 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详见附件：其他相关资料.docx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