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版本号：SXWZ2026ZB-XAQX-03720260509001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人工影响天气作业弹药采购项目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SXWZ2026ZB-XAQX-037</w:t>
      </w:r>
      <w:r>
        <w:br/>
      </w:r>
      <w:r>
        <w:br/>
      </w:r>
      <w:r>
        <w:br/>
      </w:r>
    </w:p>
    <w:p>
      <w:pPr>
        <w:pStyle w:val="null3"/>
        <w:jc w:val="center"/>
        <w:outlineLvl w:val="5"/>
      </w:pPr>
      <w:r>
        <w:rPr>
          <w:rFonts w:ascii="仿宋_GB2312" w:hAnsi="仿宋_GB2312" w:cs="仿宋_GB2312" w:eastAsia="仿宋_GB2312"/>
          <w:sz w:val="15"/>
          <w:b/>
        </w:rPr>
        <w:t>西安市气象局</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西安市气象局</w:t>
      </w:r>
      <w:r>
        <w:rPr>
          <w:rFonts w:ascii="仿宋_GB2312" w:hAnsi="仿宋_GB2312" w:cs="仿宋_GB2312" w:eastAsia="仿宋_GB2312"/>
        </w:rPr>
        <w:t>委托，拟对</w:t>
      </w:r>
      <w:r>
        <w:rPr>
          <w:rFonts w:ascii="仿宋_GB2312" w:hAnsi="仿宋_GB2312" w:cs="仿宋_GB2312" w:eastAsia="仿宋_GB2312"/>
        </w:rPr>
        <w:t>人工影响天气作业弹药采购项目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SXWZ2026ZB-XAQX-037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人工影响天气作业弹药采购项目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人工影响天气作业弹药采购</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响应文件提交截至时间前一年内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3、税收缴纳证明：供应商提供响应文件提交截至时间前一年内已缴纳的至少一个月纳税证明或完税证明，依法免税的单位应提供相关证明材料（以税款所属时期为准）</w:t>
      </w:r>
    </w:p>
    <w:p>
      <w:pPr>
        <w:pStyle w:val="null3"/>
      </w:pPr>
      <w:r>
        <w:rPr>
          <w:rFonts w:ascii="仿宋_GB2312" w:hAnsi="仿宋_GB2312" w:cs="仿宋_GB2312" w:eastAsia="仿宋_GB2312"/>
        </w:rPr>
        <w:t>4、财务状况证明：具有良好的商业信誉和健全的财务会计制度的证明材料须提供2024年度或2025年度经第三方审计的财务审计报告，至少包括三表一注，即资产负债表、利润表、现金流量表及其附注（成立时间至提交响应文件截止时间不足一年的可提供成立后任意时段的资产负债表）；或响应文件提交截止时间前六个月内基本存款账户开户银行出具的资信证明及开户银行许可证（或开户行出具的基本户证明材料）。（以上二种形式的资料提供任何一种即可）。 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5、书面声明：1）出具履行合同所必需的设备和专业技术能力的书面声明； 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pPr>
        <w:pStyle w:val="null3"/>
      </w:pPr>
      <w:r>
        <w:rPr>
          <w:rFonts w:ascii="仿宋_GB2312" w:hAnsi="仿宋_GB2312" w:cs="仿宋_GB2312" w:eastAsia="仿宋_GB2312"/>
        </w:rPr>
        <w:t>6、授权书：法定代表人直接参加的须出具法人身份证明并于营业执照信息一致，法定代表人授权代表参加的须出具法定代表人授权书。</w:t>
      </w:r>
    </w:p>
    <w:p>
      <w:pPr>
        <w:pStyle w:val="null3"/>
      </w:pPr>
      <w:r>
        <w:rPr>
          <w:rFonts w:ascii="仿宋_GB2312" w:hAnsi="仿宋_GB2312" w:cs="仿宋_GB2312" w:eastAsia="仿宋_GB2312"/>
        </w:rPr>
        <w:t>7、非联合体声明：本项目不接受联合体谈判。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029-86251034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收取。成交供应商按以下账户缴纳服务费（对公转账）： 户名:陕西万泽招标有限公司 账号:211011580000015489 开户行:西安银行朝阳门支行 转账备注：气象局-037服务费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西安市气象局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验收依据：合同文本、国内相应的标准、规范及招标文件、投标文件、承诺等。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4"/>
        </w:rPr>
        <w:t>人工影响天气作业弹药采购</w:t>
      </w:r>
      <w:r>
        <w:rPr>
          <w:rFonts w:ascii="仿宋_GB2312" w:hAnsi="仿宋_GB2312" w:cs="仿宋_GB2312" w:eastAsia="仿宋_GB2312"/>
          <w:sz w:val="24"/>
        </w:rPr>
        <w:t>，采购火箭弹</w:t>
      </w:r>
      <w:r>
        <w:rPr>
          <w:rFonts w:ascii="仿宋_GB2312" w:hAnsi="仿宋_GB2312" w:cs="仿宋_GB2312" w:eastAsia="仿宋_GB2312"/>
          <w:sz w:val="24"/>
        </w:rPr>
        <w:t>136</w:t>
      </w:r>
      <w:r>
        <w:rPr>
          <w:rFonts w:ascii="仿宋_GB2312" w:hAnsi="仿宋_GB2312" w:cs="仿宋_GB2312" w:eastAsia="仿宋_GB2312"/>
          <w:sz w:val="24"/>
        </w:rPr>
        <w:t>枚、</w:t>
      </w:r>
      <w:r>
        <w:rPr>
          <w:rFonts w:ascii="仿宋_GB2312" w:hAnsi="仿宋_GB2312" w:cs="仿宋_GB2312" w:eastAsia="仿宋_GB2312"/>
          <w:sz w:val="24"/>
        </w:rPr>
        <w:t>焰条</w:t>
      </w:r>
      <w:r>
        <w:rPr>
          <w:rFonts w:ascii="仿宋_GB2312" w:hAnsi="仿宋_GB2312" w:cs="仿宋_GB2312" w:eastAsia="仿宋_GB2312"/>
          <w:sz w:val="24"/>
        </w:rPr>
        <w:t>970</w:t>
      </w:r>
      <w:r>
        <w:rPr>
          <w:rFonts w:ascii="仿宋_GB2312" w:hAnsi="仿宋_GB2312" w:cs="仿宋_GB2312" w:eastAsia="仿宋_GB2312"/>
          <w:sz w:val="24"/>
        </w:rPr>
        <w:t>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1050000.00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标的名称：1050000.00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主要功能或目标：</w:t>
            </w:r>
          </w:p>
          <w:p>
            <w:pPr>
              <w:pStyle w:val="null3"/>
            </w:pPr>
            <w:r>
              <w:rPr>
                <w:rFonts w:ascii="仿宋_GB2312" w:hAnsi="仿宋_GB2312" w:cs="仿宋_GB2312" w:eastAsia="仿宋_GB2312"/>
                <w:sz w:val="24"/>
              </w:rPr>
              <w:t>拟采购的火箭弹和</w:t>
            </w:r>
            <w:r>
              <w:rPr>
                <w:rFonts w:ascii="仿宋_GB2312" w:hAnsi="仿宋_GB2312" w:cs="仿宋_GB2312" w:eastAsia="仿宋_GB2312"/>
                <w:sz w:val="24"/>
              </w:rPr>
              <w:t>碘化银焰条</w:t>
            </w:r>
            <w:r>
              <w:rPr>
                <w:rFonts w:ascii="仿宋_GB2312" w:hAnsi="仿宋_GB2312" w:cs="仿宋_GB2312" w:eastAsia="仿宋_GB2312"/>
                <w:sz w:val="24"/>
              </w:rPr>
              <w:t>，其中火箭弹</w:t>
            </w:r>
            <w:r>
              <w:rPr>
                <w:rFonts w:ascii="仿宋_GB2312" w:hAnsi="仿宋_GB2312" w:cs="仿宋_GB2312" w:eastAsia="仿宋_GB2312"/>
                <w:sz w:val="24"/>
              </w:rPr>
              <w:t>136</w:t>
            </w:r>
            <w:r>
              <w:rPr>
                <w:rFonts w:ascii="仿宋_GB2312" w:hAnsi="仿宋_GB2312" w:cs="仿宋_GB2312" w:eastAsia="仿宋_GB2312"/>
                <w:sz w:val="24"/>
              </w:rPr>
              <w:t>枚、</w:t>
            </w:r>
            <w:r>
              <w:rPr>
                <w:rFonts w:ascii="仿宋_GB2312" w:hAnsi="仿宋_GB2312" w:cs="仿宋_GB2312" w:eastAsia="仿宋_GB2312"/>
                <w:sz w:val="24"/>
              </w:rPr>
              <w:t>焰条</w:t>
            </w:r>
            <w:r>
              <w:rPr>
                <w:rFonts w:ascii="仿宋_GB2312" w:hAnsi="仿宋_GB2312" w:cs="仿宋_GB2312" w:eastAsia="仿宋_GB2312"/>
                <w:sz w:val="24"/>
              </w:rPr>
              <w:t>970</w:t>
            </w:r>
            <w:r>
              <w:rPr>
                <w:rFonts w:ascii="仿宋_GB2312" w:hAnsi="仿宋_GB2312" w:cs="仿宋_GB2312" w:eastAsia="仿宋_GB2312"/>
                <w:sz w:val="24"/>
              </w:rPr>
              <w:t>根。用于全市人工影响天气作业</w:t>
            </w:r>
            <w:r>
              <w:rPr>
                <w:rFonts w:ascii="仿宋_GB2312" w:hAnsi="仿宋_GB2312" w:cs="仿宋_GB2312" w:eastAsia="仿宋_GB2312"/>
                <w:sz w:val="24"/>
              </w:rPr>
              <w:t>38个火箭作业点和2</w:t>
            </w:r>
            <w:r>
              <w:rPr>
                <w:rFonts w:ascii="仿宋_GB2312" w:hAnsi="仿宋_GB2312" w:cs="仿宋_GB2312" w:eastAsia="仿宋_GB2312"/>
                <w:sz w:val="24"/>
              </w:rPr>
              <w:t>6</w:t>
            </w:r>
            <w:r>
              <w:rPr>
                <w:rFonts w:ascii="仿宋_GB2312" w:hAnsi="仿宋_GB2312" w:cs="仿宋_GB2312" w:eastAsia="仿宋_GB2312"/>
                <w:sz w:val="24"/>
              </w:rPr>
              <w:t>个地面烟炉作业点正常开展人影作业的需求。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技术服务和质保期服务要求：</w:t>
            </w:r>
          </w:p>
          <w:p>
            <w:pPr>
              <w:pStyle w:val="null3"/>
              <w:jc w:val="both"/>
            </w:pPr>
            <w:r>
              <w:rPr>
                <w:rFonts w:ascii="仿宋_GB2312" w:hAnsi="仿宋_GB2312" w:cs="仿宋_GB2312" w:eastAsia="仿宋_GB2312"/>
                <w:sz w:val="24"/>
              </w:rPr>
              <w:t>1.需要供应商自行办理防爆品运输许可证，按照要求运输指指定的地点，同时负责</w:t>
            </w:r>
            <w:r>
              <w:rPr>
                <w:rFonts w:ascii="仿宋_GB2312" w:hAnsi="仿宋_GB2312" w:cs="仿宋_GB2312" w:eastAsia="仿宋_GB2312"/>
                <w:sz w:val="24"/>
              </w:rPr>
              <w:t>碘化银焰条</w:t>
            </w:r>
            <w:r>
              <w:rPr>
                <w:rFonts w:ascii="仿宋_GB2312" w:hAnsi="仿宋_GB2312" w:cs="仿宋_GB2312" w:eastAsia="仿宋_GB2312"/>
                <w:sz w:val="24"/>
              </w:rPr>
              <w:t>和火箭弹的装卸、保险等。</w:t>
            </w:r>
          </w:p>
          <w:p>
            <w:pPr>
              <w:pStyle w:val="null3"/>
              <w:jc w:val="both"/>
            </w:pPr>
            <w:r>
              <w:rPr>
                <w:rFonts w:ascii="仿宋_GB2312" w:hAnsi="仿宋_GB2312" w:cs="仿宋_GB2312" w:eastAsia="仿宋_GB2312"/>
                <w:sz w:val="24"/>
              </w:rPr>
              <w:t>2.质保期为交付货物之日起三年内。质保期限内，若货物发生质量问题，乙方将提供相应维修服务。</w:t>
            </w:r>
          </w:p>
          <w:p>
            <w:pPr>
              <w:pStyle w:val="null3"/>
              <w:jc w:val="both"/>
            </w:pPr>
            <w:r>
              <w:rPr>
                <w:rFonts w:ascii="仿宋_GB2312" w:hAnsi="仿宋_GB2312" w:cs="仿宋_GB2312" w:eastAsia="仿宋_GB2312"/>
                <w:sz w:val="24"/>
              </w:rPr>
              <w:t>3.供应商承诺为本项目免费提供7*24小时技术支持。</w:t>
            </w:r>
          </w:p>
          <w:p>
            <w:pPr>
              <w:pStyle w:val="null3"/>
              <w:jc w:val="both"/>
            </w:pPr>
            <w:r>
              <w:rPr>
                <w:rFonts w:ascii="仿宋_GB2312" w:hAnsi="仿宋_GB2312" w:cs="仿宋_GB2312" w:eastAsia="仿宋_GB2312"/>
                <w:sz w:val="24"/>
              </w:rPr>
              <w:t>4.交货时间：合同签订后30天内交货。</w:t>
            </w:r>
          </w:p>
          <w:p>
            <w:pPr>
              <w:pStyle w:val="null3"/>
            </w:pPr>
            <w:r>
              <w:rPr>
                <w:rFonts w:ascii="仿宋_GB2312" w:hAnsi="仿宋_GB2312" w:cs="仿宋_GB2312" w:eastAsia="仿宋_GB2312"/>
                <w:sz w:val="24"/>
              </w:rPr>
              <w:t>5.合同签订后，十五日内支付合同总金额的60%，货物运输至指定地点且验收合格后，支付合同总金额的40%。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技术指标：</w:t>
            </w:r>
          </w:p>
          <w:p>
            <w:pPr>
              <w:pStyle w:val="null3"/>
              <w:jc w:val="both"/>
            </w:pPr>
            <w:r>
              <w:rPr>
                <w:rFonts w:ascii="仿宋_GB2312" w:hAnsi="仿宋_GB2312" w:cs="仿宋_GB2312" w:eastAsia="仿宋_GB2312"/>
                <w:sz w:val="24"/>
              </w:rPr>
              <w:t>（一）地面冷云焰条</w:t>
            </w:r>
          </w:p>
          <w:p>
            <w:pPr>
              <w:pStyle w:val="null3"/>
              <w:jc w:val="both"/>
            </w:pPr>
            <w:r>
              <w:rPr>
                <w:rFonts w:ascii="仿宋_GB2312" w:hAnsi="仿宋_GB2312" w:cs="仿宋_GB2312" w:eastAsia="仿宋_GB2312"/>
                <w:sz w:val="24"/>
              </w:rPr>
              <w:t>型号：</w:t>
            </w:r>
            <w:r>
              <w:rPr>
                <w:rFonts w:ascii="仿宋_GB2312" w:hAnsi="仿宋_GB2312" w:cs="仿宋_GB2312" w:eastAsia="仿宋_GB2312"/>
                <w:sz w:val="24"/>
              </w:rPr>
              <w:t>YD-1/X</w:t>
            </w:r>
          </w:p>
          <w:p>
            <w:pPr>
              <w:pStyle w:val="null3"/>
              <w:jc w:val="both"/>
            </w:pPr>
            <w:r>
              <w:rPr>
                <w:rFonts w:ascii="仿宋_GB2312" w:hAnsi="仿宋_GB2312" w:cs="仿宋_GB2312" w:eastAsia="仿宋_GB2312"/>
                <w:sz w:val="24"/>
              </w:rPr>
              <w:t>焰条类型：地面焰条</w:t>
            </w:r>
          </w:p>
          <w:p>
            <w:pPr>
              <w:pStyle w:val="null3"/>
              <w:jc w:val="both"/>
            </w:pPr>
            <w:r>
              <w:rPr>
                <w:rFonts w:ascii="仿宋_GB2312" w:hAnsi="仿宋_GB2312" w:cs="仿宋_GB2312" w:eastAsia="仿宋_GB2312"/>
                <w:sz w:val="24"/>
              </w:rPr>
              <w:t>焰条规格：</w:t>
            </w:r>
            <w:r>
              <w:rPr>
                <w:rFonts w:ascii="仿宋_GB2312" w:hAnsi="仿宋_GB2312" w:cs="仿宋_GB2312" w:eastAsia="仿宋_GB2312"/>
                <w:sz w:val="24"/>
              </w:rPr>
              <w:t>φ48mmX330mm</w:t>
            </w:r>
          </w:p>
          <w:p>
            <w:pPr>
              <w:pStyle w:val="null3"/>
              <w:jc w:val="both"/>
            </w:pPr>
            <w:r>
              <w:rPr>
                <w:rFonts w:ascii="仿宋_GB2312" w:hAnsi="仿宋_GB2312" w:cs="仿宋_GB2312" w:eastAsia="仿宋_GB2312"/>
                <w:sz w:val="24"/>
              </w:rPr>
              <w:t>控制点火方式：</w:t>
            </w:r>
            <w:r>
              <w:rPr>
                <w:rFonts w:ascii="仿宋_GB2312" w:hAnsi="仿宋_GB2312" w:cs="仿宋_GB2312" w:eastAsia="仿宋_GB2312"/>
                <w:sz w:val="24"/>
              </w:rPr>
              <w:t>GSM短信或控制台</w:t>
            </w:r>
          </w:p>
          <w:p>
            <w:pPr>
              <w:pStyle w:val="null3"/>
              <w:jc w:val="both"/>
            </w:pPr>
            <w:r>
              <w:rPr>
                <w:rFonts w:ascii="仿宋_GB2312" w:hAnsi="仿宋_GB2312" w:cs="仿宋_GB2312" w:eastAsia="仿宋_GB2312"/>
                <w:sz w:val="24"/>
              </w:rPr>
              <w:t>工作温度：</w:t>
            </w:r>
            <w:r>
              <w:rPr>
                <w:rFonts w:ascii="仿宋_GB2312" w:hAnsi="仿宋_GB2312" w:cs="仿宋_GB2312" w:eastAsia="仿宋_GB2312"/>
                <w:sz w:val="24"/>
              </w:rPr>
              <w:t>-30℃ - +70℃</w:t>
            </w:r>
          </w:p>
          <w:p>
            <w:pPr>
              <w:pStyle w:val="null3"/>
              <w:jc w:val="both"/>
            </w:pPr>
            <w:r>
              <w:rPr>
                <w:rFonts w:ascii="仿宋_GB2312" w:hAnsi="仿宋_GB2312" w:cs="仿宋_GB2312" w:eastAsia="仿宋_GB2312"/>
                <w:sz w:val="24"/>
              </w:rPr>
              <w:t>工作湿度：</w:t>
            </w:r>
            <w:r>
              <w:rPr>
                <w:rFonts w:ascii="仿宋_GB2312" w:hAnsi="仿宋_GB2312" w:cs="仿宋_GB2312" w:eastAsia="仿宋_GB2312"/>
                <w:sz w:val="24"/>
              </w:rPr>
              <w:t>R.H.20% - 100%</w:t>
            </w:r>
          </w:p>
          <w:p>
            <w:pPr>
              <w:pStyle w:val="null3"/>
              <w:jc w:val="both"/>
            </w:pPr>
            <w:r>
              <w:rPr>
                <w:rFonts w:ascii="仿宋_GB2312" w:hAnsi="仿宋_GB2312" w:cs="仿宋_GB2312" w:eastAsia="仿宋_GB2312"/>
                <w:sz w:val="24"/>
              </w:rPr>
              <w:t>（二）增雨防雹火箭弹</w:t>
            </w:r>
          </w:p>
          <w:p>
            <w:pPr>
              <w:pStyle w:val="null3"/>
              <w:jc w:val="both"/>
            </w:pPr>
            <w:r>
              <w:rPr>
                <w:rFonts w:ascii="仿宋_GB2312" w:hAnsi="仿宋_GB2312" w:cs="仿宋_GB2312" w:eastAsia="仿宋_GB2312"/>
                <w:sz w:val="24"/>
              </w:rPr>
              <w:t>型号：</w:t>
            </w:r>
            <w:r>
              <w:rPr>
                <w:rFonts w:ascii="仿宋_GB2312" w:hAnsi="仿宋_GB2312" w:cs="仿宋_GB2312" w:eastAsia="仿宋_GB2312"/>
                <w:sz w:val="24"/>
              </w:rPr>
              <w:t>WR-98</w:t>
            </w:r>
          </w:p>
          <w:p>
            <w:pPr>
              <w:pStyle w:val="null3"/>
              <w:jc w:val="both"/>
            </w:pPr>
            <w:r>
              <w:rPr>
                <w:rFonts w:ascii="仿宋_GB2312" w:hAnsi="仿宋_GB2312" w:cs="仿宋_GB2312" w:eastAsia="仿宋_GB2312"/>
                <w:sz w:val="24"/>
              </w:rPr>
              <w:t>1、弹径：∅82mm</w:t>
            </w:r>
          </w:p>
          <w:p>
            <w:pPr>
              <w:pStyle w:val="null3"/>
              <w:jc w:val="both"/>
            </w:pPr>
            <w:r>
              <w:rPr>
                <w:rFonts w:ascii="仿宋_GB2312" w:hAnsi="仿宋_GB2312" w:cs="仿宋_GB2312" w:eastAsia="仿宋_GB2312"/>
                <w:sz w:val="24"/>
              </w:rPr>
              <w:t>2、弹长：1453±5mm</w:t>
            </w:r>
          </w:p>
          <w:p>
            <w:pPr>
              <w:pStyle w:val="null3"/>
              <w:jc w:val="both"/>
            </w:pPr>
            <w:r>
              <w:rPr>
                <w:rFonts w:ascii="仿宋_GB2312" w:hAnsi="仿宋_GB2312" w:cs="仿宋_GB2312" w:eastAsia="仿宋_GB2312"/>
                <w:sz w:val="24"/>
              </w:rPr>
              <w:t>3、全弹质量：8.3±0.3kg</w:t>
            </w:r>
          </w:p>
          <w:p>
            <w:pPr>
              <w:pStyle w:val="null3"/>
              <w:jc w:val="both"/>
            </w:pPr>
            <w:r>
              <w:rPr>
                <w:rFonts w:ascii="仿宋_GB2312" w:hAnsi="仿宋_GB2312" w:cs="仿宋_GB2312" w:eastAsia="仿宋_GB2312"/>
                <w:sz w:val="24"/>
              </w:rPr>
              <w:t>4、点火系统阻值：0.5~0.9Ω</w:t>
            </w:r>
          </w:p>
          <w:p>
            <w:pPr>
              <w:pStyle w:val="null3"/>
              <w:jc w:val="both"/>
            </w:pPr>
            <w:r>
              <w:rPr>
                <w:rFonts w:ascii="仿宋_GB2312" w:hAnsi="仿宋_GB2312" w:cs="仿宋_GB2312" w:eastAsia="仿宋_GB2312"/>
                <w:sz w:val="24"/>
              </w:rPr>
              <w:t>5、最大射高：8.0±0.4km</w:t>
            </w:r>
          </w:p>
          <w:p>
            <w:pPr>
              <w:pStyle w:val="null3"/>
              <w:jc w:val="both"/>
            </w:pPr>
            <w:r>
              <w:rPr>
                <w:rFonts w:ascii="仿宋_GB2312" w:hAnsi="仿宋_GB2312" w:cs="仿宋_GB2312" w:eastAsia="仿宋_GB2312"/>
                <w:sz w:val="24"/>
              </w:rPr>
              <w:t>6、点火位置：中部点火</w:t>
            </w:r>
          </w:p>
          <w:p>
            <w:pPr>
              <w:pStyle w:val="null3"/>
              <w:jc w:val="both"/>
            </w:pPr>
            <w:r>
              <w:rPr>
                <w:rFonts w:ascii="仿宋_GB2312" w:hAnsi="仿宋_GB2312" w:cs="仿宋_GB2312" w:eastAsia="仿宋_GB2312"/>
                <w:sz w:val="24"/>
              </w:rPr>
              <w:t>7、催化剂质量：630g</w:t>
            </w:r>
          </w:p>
          <w:p>
            <w:pPr>
              <w:pStyle w:val="null3"/>
              <w:jc w:val="both"/>
            </w:pPr>
            <w:r>
              <w:rPr>
                <w:rFonts w:ascii="仿宋_GB2312" w:hAnsi="仿宋_GB2312" w:cs="仿宋_GB2312" w:eastAsia="仿宋_GB2312"/>
                <w:sz w:val="24"/>
              </w:rPr>
              <w:t>8、贮存温度：-30 - +50℃</w:t>
            </w:r>
          </w:p>
          <w:p>
            <w:pPr>
              <w:pStyle w:val="null3"/>
              <w:jc w:val="both"/>
            </w:pPr>
            <w:r>
              <w:rPr>
                <w:rFonts w:ascii="仿宋_GB2312" w:hAnsi="仿宋_GB2312" w:cs="仿宋_GB2312" w:eastAsia="仿宋_GB2312"/>
                <w:sz w:val="24"/>
              </w:rPr>
              <w:t>9、使用温度：-20 - +50℃</w:t>
            </w:r>
          </w:p>
          <w:p>
            <w:pPr>
              <w:pStyle w:val="null3"/>
              <w:jc w:val="both"/>
            </w:pPr>
            <w:r>
              <w:rPr>
                <w:rFonts w:ascii="仿宋_GB2312" w:hAnsi="仿宋_GB2312" w:cs="仿宋_GB2312" w:eastAsia="仿宋_GB2312"/>
                <w:sz w:val="24"/>
              </w:rPr>
              <w:t>10、产品有效期：3年</w:t>
            </w:r>
          </w:p>
          <w:p>
            <w:pPr>
              <w:pStyle w:val="null3"/>
              <w:jc w:val="both"/>
            </w:pPr>
            <w:r>
              <w:rPr>
                <w:rFonts w:ascii="仿宋_GB2312" w:hAnsi="仿宋_GB2312" w:cs="仿宋_GB2312" w:eastAsia="仿宋_GB2312"/>
                <w:sz w:val="24"/>
              </w:rPr>
              <w:t>11、残骸处理方式：伞降</w:t>
            </w:r>
          </w:p>
          <w:p>
            <w:pPr>
              <w:pStyle w:val="null3"/>
              <w:jc w:val="both"/>
            </w:pPr>
            <w:r>
              <w:rPr>
                <w:rFonts w:ascii="仿宋_GB2312" w:hAnsi="仿宋_GB2312" w:cs="仿宋_GB2312" w:eastAsia="仿宋_GB2312"/>
                <w:sz w:val="24"/>
              </w:rPr>
              <w:t>12、残骸落地速度：≤8m/s</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交货时间：合同签订后30天内交货。</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货物运输至指定地点且验收合格后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验收依据：合同文本、国内相应的标准、规范及招标文件、投标文件、承诺等。</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供应商需要在线提交所有通过电子化交易平台实施的政府采购项目的投标文件，同时，线下提交响应文件正本壹份、副本贰份。若电子投标文件与纸质投标文件不一致的，以线上提交的电子投标文件为准。 1.线下提交投标文件地点：西安市高新区旺座现代城C座2502室 2.联系电话：029-88319689转8003/8005 3.邮箱：sxwzzb04@163.com 弃标须知： 根据市财函｛2021｝431号文第16条规定：供应商登记免费领取采购文件的，如不参与项目投标，应在递交投标（或响应）文件截止时间一日前以书面形式告知采购代理机构（自拟弃标函加盖公章，发送扫描件至sxwzzb04@163.com）。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响应文件提交截至时间前一年内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供应商提供响应文件提交截至时间前一年内已缴纳的至少一个月纳税证明或完税证明，依法免税的单位应提供相关证明材料（以税款所属时期为准）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具有良好的商业信誉和健全的财务会计制度的证明材料须提供2024年度或2025年度经第三方审计的财务审计报告，至少包括三表一注，即资产负债表、利润表、现金流量表及其附注（成立时间至提交响应文件截止时间不足一年的可提供成立后任意时段的资产负债表）；或响应文件提交截止时间前六个月内基本存款账户开户银行出具的资信证明及开户银行许可证（或开户行出具的基本户证明材料）。（以上二种形式的资料提供任何一种即可）。 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法定代表人直接参加的须出具法人身份证明并于营业执照信息一致，法定代表人授权代表参加的须出具法定代表人授权书。</w:t>
            </w:r>
          </w:p>
        </w:tc>
        <w:tc>
          <w:tcPr>
            <w:tcW w:type="dxa" w:w="1661"/>
          </w:tcPr>
          <w:p>
            <w:pPr>
              <w:pStyle w:val="null3"/>
            </w:pPr>
            <w:r>
              <w:rPr>
                <w:rFonts w:ascii="仿宋_GB2312" w:hAnsi="仿宋_GB2312" w:cs="仿宋_GB2312" w:eastAsia="仿宋_GB2312"/>
              </w:rPr>
              <w:t>供应商参加政府采购活动承诺书.docx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3.异常低价审查：政府采购评审中出现下列情形之一的，评审委员会应当启动异常低价投标（响应）审查程序：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 投标（响应）供应商不能提供上述低价书面说明、证明材料（包括但不限于原材料成本、人工成本、制造费用等），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报价一览表及分项报价表.docx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响应报价未超过预算或最高单价限价</w:t>
            </w:r>
          </w:p>
        </w:tc>
        <w:tc>
          <w:tcPr>
            <w:tcW w:type="dxa" w:w="1661"/>
          </w:tcPr>
          <w:p>
            <w:pPr>
              <w:pStyle w:val="null3"/>
            </w:pPr>
            <w:r>
              <w:rPr>
                <w:rFonts w:ascii="仿宋_GB2312" w:hAnsi="仿宋_GB2312" w:cs="仿宋_GB2312" w:eastAsia="仿宋_GB2312"/>
              </w:rPr>
              <w:t>报价一览表及分项报价表.docx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服务期及交货期满足单一来源采购文件要求</w:t>
            </w:r>
          </w:p>
        </w:tc>
        <w:tc>
          <w:tcPr>
            <w:tcW w:type="dxa" w:w="1661"/>
          </w:tcPr>
          <w:p>
            <w:pPr>
              <w:pStyle w:val="null3"/>
            </w:pPr>
            <w:r>
              <w:rPr>
                <w:rFonts w:ascii="仿宋_GB2312" w:hAnsi="仿宋_GB2312" w:cs="仿宋_GB2312" w:eastAsia="仿宋_GB2312"/>
              </w:rPr>
              <w:t>报价一览表及分项报价表.docx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响应文件签字、盖章满足单一来源采购文件要求</w:t>
            </w:r>
          </w:p>
        </w:tc>
        <w:tc>
          <w:tcPr>
            <w:tcW w:type="dxa" w:w="1661"/>
          </w:tcPr>
          <w:p>
            <w:pPr>
              <w:pStyle w:val="null3"/>
            </w:pPr>
            <w:r>
              <w:rPr>
                <w:rFonts w:ascii="仿宋_GB2312" w:hAnsi="仿宋_GB2312" w:cs="仿宋_GB2312" w:eastAsia="仿宋_GB2312"/>
              </w:rPr>
              <w:t>响应文件封面 供应商参加政府采购活动承诺书.docx 报价一览表及分项报价表.docx 中小企业声明函 残疾人福利性单位声明函 标的清单 报价表 响应函 资格证明文件.docx 商务条款偏离表.docx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谈判有效期满足单一来源采购文件要求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符合法律法规和单一来源采购文件规定的其他实质性要求</w:t>
            </w:r>
          </w:p>
        </w:tc>
        <w:tc>
          <w:tcPr>
            <w:tcW w:type="dxa" w:w="1661"/>
          </w:tcPr>
          <w:p>
            <w:pPr>
              <w:pStyle w:val="null3"/>
            </w:pPr>
            <w:r>
              <w:rPr>
                <w:rFonts w:ascii="仿宋_GB2312" w:hAnsi="仿宋_GB2312" w:cs="仿宋_GB2312" w:eastAsia="仿宋_GB2312"/>
              </w:rPr>
              <w:t>响应文件封面 供应商参加政府采购活动承诺书.docx 报价一览表及分项报价表.docx 中小企业声明函 残疾人福利性单位声明函 标的清单 报价表 响应函 资格证明文件.docx 商务条款偏离表.docx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