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CF2FC8">
      <w:pPr>
        <w:pStyle w:val="5"/>
        <w:pageBreakBefore w:val="0"/>
        <w:widowControl w:val="0"/>
        <w:wordWrap/>
        <w:bidi w:val="0"/>
        <w:ind w:firstLine="960"/>
        <w:jc w:val="center"/>
        <w:textAlignment w:val="auto"/>
        <w:outlineLvl w:val="2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服务</w:t>
      </w:r>
      <w:r>
        <w:rPr>
          <w:rFonts w:ascii="仿宋_GB2312" w:hAnsi="仿宋_GB2312" w:eastAsia="仿宋_GB2312" w:cs="仿宋_GB2312"/>
          <w:sz w:val="24"/>
          <w:szCs w:val="24"/>
        </w:rPr>
        <w:t>方案</w:t>
      </w:r>
    </w:p>
    <w:p w14:paraId="36FA2562">
      <w:pPr>
        <w:pStyle w:val="2"/>
        <w:pageBreakBefore w:val="0"/>
        <w:widowControl w:val="0"/>
        <w:wordWrap/>
        <w:bidi w:val="0"/>
        <w:spacing w:line="336" w:lineRule="auto"/>
        <w:ind w:firstLine="560" w:firstLineChars="200"/>
        <w:jc w:val="center"/>
        <w:textAlignment w:val="auto"/>
        <w:rPr>
          <w:rFonts w:ascii="仿宋" w:hAnsi="仿宋" w:cs="MingLiU_HKSCS"/>
          <w:sz w:val="28"/>
          <w:szCs w:val="28"/>
          <w:highlight w:val="none"/>
        </w:rPr>
      </w:pPr>
      <w:r>
        <w:rPr>
          <w:rFonts w:hint="eastAsia" w:ascii="仿宋" w:hAnsi="仿宋"/>
          <w:sz w:val="28"/>
          <w:szCs w:val="28"/>
          <w:highlight w:val="none"/>
        </w:rPr>
        <w:t>服务响应与偏离表</w:t>
      </w:r>
    </w:p>
    <w:p w14:paraId="0D1C9C32">
      <w:pPr>
        <w:pStyle w:val="2"/>
        <w:pageBreakBefore w:val="0"/>
        <w:widowControl w:val="0"/>
        <w:wordWrap/>
        <w:bidi w:val="0"/>
        <w:spacing w:line="336" w:lineRule="auto"/>
        <w:ind w:firstLine="280" w:firstLineChars="100"/>
        <w:jc w:val="left"/>
        <w:textAlignment w:val="auto"/>
        <w:rPr>
          <w:rFonts w:ascii="仿宋" w:hAnsi="仿宋"/>
          <w:sz w:val="28"/>
          <w:szCs w:val="28"/>
          <w:highlight w:val="none"/>
        </w:rPr>
      </w:pPr>
      <w:r>
        <w:rPr>
          <w:rFonts w:hint="eastAsia" w:ascii="仿宋" w:hAnsi="仿宋"/>
          <w:sz w:val="28"/>
          <w:szCs w:val="28"/>
          <w:highlight w:val="none"/>
        </w:rPr>
        <w:t>项目名称：</w:t>
      </w:r>
      <w:r>
        <w:rPr>
          <w:rFonts w:ascii="仿宋" w:hAnsi="仿宋"/>
          <w:sz w:val="28"/>
          <w:szCs w:val="28"/>
          <w:highlight w:val="none"/>
        </w:rPr>
        <w:tab/>
      </w:r>
      <w:r>
        <w:rPr>
          <w:rFonts w:ascii="仿宋" w:hAnsi="仿宋"/>
          <w:sz w:val="28"/>
          <w:szCs w:val="28"/>
          <w:highlight w:val="none"/>
        </w:rPr>
        <w:tab/>
      </w:r>
      <w:r>
        <w:rPr>
          <w:rFonts w:ascii="仿宋" w:hAnsi="仿宋"/>
          <w:sz w:val="28"/>
          <w:szCs w:val="28"/>
          <w:highlight w:val="none"/>
        </w:rPr>
        <w:tab/>
      </w:r>
      <w:r>
        <w:rPr>
          <w:rFonts w:ascii="仿宋" w:hAnsi="仿宋"/>
          <w:sz w:val="28"/>
          <w:szCs w:val="28"/>
          <w:highlight w:val="none"/>
        </w:rPr>
        <w:tab/>
      </w:r>
      <w:r>
        <w:rPr>
          <w:rFonts w:ascii="仿宋" w:hAnsi="仿宋"/>
          <w:sz w:val="28"/>
          <w:szCs w:val="28"/>
          <w:highlight w:val="none"/>
        </w:rPr>
        <w:tab/>
      </w:r>
      <w:r>
        <w:rPr>
          <w:rFonts w:ascii="仿宋" w:hAnsi="仿宋"/>
          <w:sz w:val="28"/>
          <w:szCs w:val="28"/>
          <w:highlight w:val="none"/>
        </w:rPr>
        <w:tab/>
      </w:r>
      <w:r>
        <w:rPr>
          <w:rFonts w:ascii="仿宋" w:hAnsi="仿宋"/>
          <w:sz w:val="28"/>
          <w:szCs w:val="28"/>
          <w:highlight w:val="none"/>
        </w:rPr>
        <w:tab/>
      </w:r>
      <w:r>
        <w:rPr>
          <w:rFonts w:ascii="仿宋" w:hAnsi="仿宋"/>
          <w:sz w:val="28"/>
          <w:szCs w:val="28"/>
          <w:highlight w:val="none"/>
        </w:rPr>
        <w:tab/>
      </w:r>
      <w:r>
        <w:rPr>
          <w:rFonts w:ascii="仿宋" w:hAnsi="仿宋"/>
          <w:sz w:val="28"/>
          <w:szCs w:val="28"/>
          <w:highlight w:val="none"/>
        </w:rPr>
        <w:tab/>
      </w:r>
      <w:r>
        <w:rPr>
          <w:rFonts w:ascii="仿宋" w:hAnsi="仿宋"/>
          <w:sz w:val="28"/>
          <w:szCs w:val="28"/>
          <w:highlight w:val="none"/>
        </w:rPr>
        <w:tab/>
      </w:r>
      <w:r>
        <w:rPr>
          <w:rFonts w:hint="eastAsia" w:ascii="仿宋" w:hAnsi="仿宋"/>
          <w:sz w:val="28"/>
          <w:szCs w:val="28"/>
          <w:highlight w:val="none"/>
        </w:rPr>
        <w:t>项目编号：</w:t>
      </w: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2"/>
        <w:gridCol w:w="2561"/>
        <w:gridCol w:w="2322"/>
        <w:gridCol w:w="2236"/>
        <w:gridCol w:w="1357"/>
      </w:tblGrid>
      <w:tr w14:paraId="28CC2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44" w:type="pct"/>
            <w:noWrap w:val="0"/>
            <w:vAlign w:val="center"/>
          </w:tcPr>
          <w:p w14:paraId="4C4825FF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285" w:type="pct"/>
            <w:noWrap w:val="0"/>
            <w:vAlign w:val="center"/>
          </w:tcPr>
          <w:p w14:paraId="1B6A09B7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  <w:lang w:val="en-US" w:eastAsia="zh-CN"/>
              </w:rPr>
              <w:t>谈判</w:t>
            </w: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1165" w:type="pct"/>
            <w:noWrap w:val="0"/>
            <w:vAlign w:val="center"/>
          </w:tcPr>
          <w:p w14:paraId="2DA721C9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响应情况</w:t>
            </w:r>
          </w:p>
        </w:tc>
        <w:tc>
          <w:tcPr>
            <w:tcW w:w="1122" w:type="pct"/>
            <w:noWrap w:val="0"/>
            <w:vAlign w:val="center"/>
          </w:tcPr>
          <w:p w14:paraId="4FC68B07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偏离情况</w:t>
            </w:r>
          </w:p>
        </w:tc>
        <w:tc>
          <w:tcPr>
            <w:tcW w:w="681" w:type="pct"/>
            <w:noWrap w:val="0"/>
            <w:vAlign w:val="center"/>
          </w:tcPr>
          <w:p w14:paraId="20BF976E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说明</w:t>
            </w:r>
          </w:p>
        </w:tc>
      </w:tr>
      <w:tr w14:paraId="055F0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4" w:type="pct"/>
            <w:noWrap w:val="0"/>
            <w:vAlign w:val="center"/>
          </w:tcPr>
          <w:p w14:paraId="4E678F12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285" w:type="pct"/>
            <w:noWrap w:val="0"/>
            <w:vAlign w:val="center"/>
          </w:tcPr>
          <w:p w14:paraId="112284B7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1165" w:type="pct"/>
            <w:noWrap w:val="0"/>
            <w:vAlign w:val="center"/>
          </w:tcPr>
          <w:p w14:paraId="468492A1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1122" w:type="pct"/>
            <w:noWrap w:val="0"/>
            <w:vAlign w:val="center"/>
          </w:tcPr>
          <w:p w14:paraId="2D104180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681" w:type="pct"/>
            <w:noWrap w:val="0"/>
            <w:vAlign w:val="center"/>
          </w:tcPr>
          <w:p w14:paraId="1A8EEFE1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  <w:tr w14:paraId="5D902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4" w:type="pct"/>
            <w:noWrap w:val="0"/>
            <w:vAlign w:val="center"/>
          </w:tcPr>
          <w:p w14:paraId="5420C5A3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285" w:type="pct"/>
            <w:noWrap w:val="0"/>
            <w:vAlign w:val="center"/>
          </w:tcPr>
          <w:p w14:paraId="65235E5F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1165" w:type="pct"/>
            <w:noWrap w:val="0"/>
            <w:vAlign w:val="center"/>
          </w:tcPr>
          <w:p w14:paraId="37DC779D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1122" w:type="pct"/>
            <w:noWrap w:val="0"/>
            <w:vAlign w:val="center"/>
          </w:tcPr>
          <w:p w14:paraId="65CD3861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681" w:type="pct"/>
            <w:noWrap w:val="0"/>
            <w:vAlign w:val="center"/>
          </w:tcPr>
          <w:p w14:paraId="132C2A2A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  <w:tr w14:paraId="373ED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4" w:type="pct"/>
            <w:noWrap w:val="0"/>
            <w:vAlign w:val="center"/>
          </w:tcPr>
          <w:p w14:paraId="05AD96EC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285" w:type="pct"/>
            <w:noWrap w:val="0"/>
            <w:vAlign w:val="center"/>
          </w:tcPr>
          <w:p w14:paraId="09C38849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1165" w:type="pct"/>
            <w:noWrap w:val="0"/>
            <w:vAlign w:val="center"/>
          </w:tcPr>
          <w:p w14:paraId="72535226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1122" w:type="pct"/>
            <w:noWrap w:val="0"/>
            <w:vAlign w:val="center"/>
          </w:tcPr>
          <w:p w14:paraId="46B9A1A9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681" w:type="pct"/>
            <w:noWrap w:val="0"/>
            <w:vAlign w:val="center"/>
          </w:tcPr>
          <w:p w14:paraId="4FC91DB3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  <w:tr w14:paraId="7A820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4" w:type="pct"/>
            <w:noWrap w:val="0"/>
            <w:vAlign w:val="center"/>
          </w:tcPr>
          <w:p w14:paraId="31B40E0A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285" w:type="pct"/>
            <w:noWrap w:val="0"/>
            <w:vAlign w:val="center"/>
          </w:tcPr>
          <w:p w14:paraId="6A3312F9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1165" w:type="pct"/>
            <w:noWrap w:val="0"/>
            <w:vAlign w:val="center"/>
          </w:tcPr>
          <w:p w14:paraId="19F1FB74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1122" w:type="pct"/>
            <w:noWrap w:val="0"/>
            <w:vAlign w:val="center"/>
          </w:tcPr>
          <w:p w14:paraId="6AB1311E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681" w:type="pct"/>
            <w:noWrap w:val="0"/>
            <w:vAlign w:val="center"/>
          </w:tcPr>
          <w:p w14:paraId="1CBFBF62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  <w:tr w14:paraId="07280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4" w:type="pct"/>
            <w:noWrap w:val="0"/>
            <w:vAlign w:val="center"/>
          </w:tcPr>
          <w:p w14:paraId="48301F43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ascii="仿宋" w:hAnsi="仿宋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285" w:type="pct"/>
            <w:noWrap w:val="0"/>
            <w:vAlign w:val="center"/>
          </w:tcPr>
          <w:p w14:paraId="07E0845C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1165" w:type="pct"/>
            <w:noWrap w:val="0"/>
            <w:vAlign w:val="center"/>
          </w:tcPr>
          <w:p w14:paraId="1CAAD927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1122" w:type="pct"/>
            <w:noWrap w:val="0"/>
            <w:vAlign w:val="center"/>
          </w:tcPr>
          <w:p w14:paraId="163636AE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681" w:type="pct"/>
            <w:noWrap w:val="0"/>
            <w:vAlign w:val="center"/>
          </w:tcPr>
          <w:p w14:paraId="5BF0EADA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  <w:tr w14:paraId="33985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4" w:type="pct"/>
            <w:noWrap w:val="0"/>
            <w:vAlign w:val="center"/>
          </w:tcPr>
          <w:p w14:paraId="0AC14BA3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285" w:type="pct"/>
            <w:noWrap w:val="0"/>
            <w:vAlign w:val="center"/>
          </w:tcPr>
          <w:p w14:paraId="796AB563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1165" w:type="pct"/>
            <w:noWrap w:val="0"/>
            <w:vAlign w:val="center"/>
          </w:tcPr>
          <w:p w14:paraId="2B313BDB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1122" w:type="pct"/>
            <w:noWrap w:val="0"/>
            <w:vAlign w:val="center"/>
          </w:tcPr>
          <w:p w14:paraId="6FC9BBA6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681" w:type="pct"/>
            <w:noWrap w:val="0"/>
            <w:vAlign w:val="center"/>
          </w:tcPr>
          <w:p w14:paraId="7A8C3481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</w:tbl>
    <w:p w14:paraId="7745C996">
      <w:pPr>
        <w:pStyle w:val="2"/>
        <w:pageBreakBefore w:val="0"/>
        <w:widowControl w:val="0"/>
        <w:wordWrap/>
        <w:bidi w:val="0"/>
        <w:spacing w:line="336" w:lineRule="auto"/>
        <w:ind w:firstLine="560" w:firstLineChars="200"/>
        <w:textAlignment w:val="auto"/>
        <w:rPr>
          <w:rFonts w:hint="eastAsia" w:ascii="仿宋" w:hAnsi="仿宋"/>
          <w:sz w:val="28"/>
          <w:szCs w:val="28"/>
          <w:highlight w:val="none"/>
        </w:rPr>
      </w:pPr>
      <w:r>
        <w:rPr>
          <w:rFonts w:hint="eastAsia" w:ascii="仿宋" w:hAnsi="仿宋"/>
          <w:sz w:val="28"/>
          <w:szCs w:val="28"/>
          <w:highlight w:val="none"/>
        </w:rPr>
        <w:t>说明：</w:t>
      </w:r>
    </w:p>
    <w:p w14:paraId="1652F648">
      <w:pPr>
        <w:pageBreakBefore w:val="0"/>
        <w:widowControl w:val="0"/>
        <w:wordWrap/>
        <w:bidi w:val="0"/>
        <w:spacing w:line="360" w:lineRule="auto"/>
        <w:textAlignment w:val="auto"/>
        <w:rPr>
          <w:rFonts w:hint="eastAsia" w:ascii="仿宋" w:hAnsi="仿宋" w:cs="仿宋"/>
          <w:sz w:val="24"/>
          <w:highlight w:val="none"/>
        </w:rPr>
      </w:pPr>
      <w:r>
        <w:rPr>
          <w:rFonts w:hint="eastAsia" w:ascii="仿宋" w:hAnsi="仿宋" w:cs="仿宋"/>
          <w:sz w:val="24"/>
          <w:highlight w:val="none"/>
        </w:rPr>
        <w:t>1、“</w:t>
      </w:r>
      <w:r>
        <w:rPr>
          <w:rFonts w:hint="eastAsia" w:ascii="仿宋" w:hAnsi="仿宋" w:cs="仿宋"/>
          <w:sz w:val="24"/>
          <w:highlight w:val="none"/>
          <w:lang w:val="en-US" w:eastAsia="zh-CN"/>
        </w:rPr>
        <w:t>谈判</w:t>
      </w:r>
      <w:r>
        <w:rPr>
          <w:rFonts w:hint="eastAsia" w:ascii="仿宋" w:hAnsi="仿宋" w:cs="仿宋"/>
          <w:sz w:val="24"/>
          <w:highlight w:val="none"/>
        </w:rPr>
        <w:t>要求”一栏应</w:t>
      </w:r>
      <w:r>
        <w:rPr>
          <w:rFonts w:hint="eastAsia" w:ascii="仿宋" w:hAnsi="仿宋" w:cs="仿宋"/>
          <w:b/>
          <w:sz w:val="24"/>
          <w:highlight w:val="none"/>
        </w:rPr>
        <w:t>填写</w:t>
      </w:r>
      <w:r>
        <w:rPr>
          <w:rFonts w:hint="eastAsia" w:ascii="仿宋" w:hAnsi="仿宋" w:cs="仿宋"/>
          <w:b/>
          <w:sz w:val="24"/>
          <w:highlight w:val="none"/>
          <w:lang w:val="en-US" w:eastAsia="zh-CN"/>
        </w:rPr>
        <w:t>谈判</w:t>
      </w:r>
      <w:r>
        <w:rPr>
          <w:rFonts w:hint="eastAsia" w:ascii="仿宋" w:hAnsi="仿宋" w:cs="仿宋"/>
          <w:b/>
          <w:sz w:val="24"/>
          <w:highlight w:val="none"/>
        </w:rPr>
        <w:t>文件</w:t>
      </w:r>
      <w:r>
        <w:rPr>
          <w:rFonts w:hint="eastAsia" w:ascii="仿宋" w:hAnsi="仿宋" w:cs="仿宋"/>
          <w:b/>
          <w:sz w:val="24"/>
          <w:highlight w:val="none"/>
          <w:lang w:eastAsia="zh-CN"/>
        </w:rPr>
        <w:t>“</w:t>
      </w:r>
      <w:r>
        <w:rPr>
          <w:rFonts w:hint="eastAsia" w:ascii="仿宋" w:hAnsi="仿宋" w:cs="仿宋"/>
          <w:b/>
          <w:sz w:val="24"/>
          <w:highlight w:val="none"/>
        </w:rPr>
        <w:t>第三章 采购项目技术、服务、商务及其他要求3.2.2服务要求</w:t>
      </w:r>
      <w:r>
        <w:rPr>
          <w:rFonts w:hint="eastAsia" w:ascii="仿宋" w:hAnsi="仿宋" w:cs="仿宋"/>
          <w:b/>
          <w:sz w:val="24"/>
          <w:highlight w:val="none"/>
          <w:lang w:eastAsia="zh-CN"/>
        </w:rPr>
        <w:t>”</w:t>
      </w:r>
      <w:r>
        <w:rPr>
          <w:rFonts w:hint="eastAsia" w:ascii="仿宋" w:hAnsi="仿宋" w:cs="仿宋"/>
          <w:sz w:val="24"/>
          <w:highlight w:val="none"/>
        </w:rPr>
        <w:t>的内容；</w:t>
      </w:r>
    </w:p>
    <w:p w14:paraId="0E91DB68">
      <w:pPr>
        <w:pageBreakBefore w:val="0"/>
        <w:widowControl w:val="0"/>
        <w:wordWrap/>
        <w:bidi w:val="0"/>
        <w:spacing w:line="360" w:lineRule="auto"/>
        <w:textAlignment w:val="auto"/>
        <w:rPr>
          <w:rFonts w:hint="eastAsia" w:ascii="仿宋" w:hAnsi="仿宋" w:cs="仿宋"/>
          <w:sz w:val="24"/>
          <w:highlight w:val="none"/>
        </w:rPr>
      </w:pPr>
      <w:r>
        <w:rPr>
          <w:rFonts w:hint="eastAsia" w:ascii="仿宋" w:hAnsi="仿宋" w:cs="仿宋"/>
          <w:sz w:val="24"/>
          <w:highlight w:val="none"/>
        </w:rPr>
        <w:t>2、“响应情况”一栏必须详细填写服务内容，并应对照技术要求一一对应响应；</w:t>
      </w:r>
    </w:p>
    <w:p w14:paraId="7D56B00F">
      <w:pPr>
        <w:pageBreakBefore w:val="0"/>
        <w:widowControl w:val="0"/>
        <w:wordWrap/>
        <w:bidi w:val="0"/>
        <w:spacing w:line="360" w:lineRule="auto"/>
        <w:textAlignment w:val="auto"/>
        <w:rPr>
          <w:rFonts w:hint="eastAsia" w:ascii="仿宋" w:hAnsi="仿宋" w:cs="仿宋"/>
          <w:sz w:val="24"/>
          <w:highlight w:val="none"/>
        </w:rPr>
      </w:pPr>
      <w:r>
        <w:rPr>
          <w:rFonts w:hint="eastAsia" w:ascii="仿宋" w:hAnsi="仿宋" w:cs="仿宋"/>
          <w:sz w:val="24"/>
          <w:highlight w:val="none"/>
        </w:rPr>
        <w:t>3、“偏离情况”一栏应如实填写“正偏离”、“负偏离”或“无偏离”；</w:t>
      </w:r>
    </w:p>
    <w:p w14:paraId="7BC06BED">
      <w:pPr>
        <w:pageBreakBefore w:val="0"/>
        <w:widowControl w:val="0"/>
        <w:wordWrap/>
        <w:bidi w:val="0"/>
        <w:spacing w:line="360" w:lineRule="auto"/>
        <w:textAlignment w:val="auto"/>
        <w:rPr>
          <w:rFonts w:hint="eastAsia" w:ascii="仿宋" w:hAnsi="仿宋" w:cs="仿宋"/>
          <w:sz w:val="24"/>
          <w:highlight w:val="none"/>
        </w:rPr>
      </w:pPr>
      <w:r>
        <w:rPr>
          <w:rFonts w:hint="eastAsia" w:ascii="仿宋" w:hAnsi="仿宋" w:cs="仿宋"/>
          <w:sz w:val="24"/>
          <w:highlight w:val="none"/>
        </w:rPr>
        <w:t>4、投标人应完整响应</w:t>
      </w:r>
      <w:r>
        <w:rPr>
          <w:rFonts w:hint="eastAsia" w:ascii="仿宋" w:hAnsi="仿宋" w:cs="仿宋"/>
          <w:sz w:val="24"/>
          <w:highlight w:val="none"/>
          <w:lang w:val="en-US" w:eastAsia="zh-CN"/>
        </w:rPr>
        <w:t>谈判</w:t>
      </w:r>
      <w:r>
        <w:rPr>
          <w:rFonts w:hint="eastAsia" w:ascii="仿宋" w:hAnsi="仿宋" w:cs="仿宋"/>
          <w:sz w:val="24"/>
          <w:highlight w:val="none"/>
        </w:rPr>
        <w:t>技术要求，并逐条填写《技术响应与偏离表》，如有漏项或缺项，将被视为未实质性满足</w:t>
      </w:r>
      <w:r>
        <w:rPr>
          <w:rFonts w:hint="eastAsia" w:ascii="仿宋" w:hAnsi="仿宋" w:cs="仿宋"/>
          <w:sz w:val="24"/>
          <w:highlight w:val="none"/>
          <w:lang w:val="en-US" w:eastAsia="zh-CN"/>
        </w:rPr>
        <w:t>谈判</w:t>
      </w:r>
      <w:r>
        <w:rPr>
          <w:rFonts w:hint="eastAsia" w:ascii="仿宋" w:hAnsi="仿宋" w:cs="仿宋"/>
          <w:sz w:val="24"/>
          <w:highlight w:val="none"/>
        </w:rPr>
        <w:t>文件要求按无效投标处理。</w:t>
      </w:r>
    </w:p>
    <w:p w14:paraId="43B5A53E">
      <w:pPr>
        <w:pStyle w:val="2"/>
        <w:pageBreakBefore w:val="0"/>
        <w:widowControl w:val="0"/>
        <w:wordWrap/>
        <w:bidi w:val="0"/>
        <w:spacing w:line="336" w:lineRule="auto"/>
        <w:ind w:firstLine="420" w:firstLineChars="200"/>
        <w:textAlignment w:val="auto"/>
        <w:rPr>
          <w:rFonts w:hint="eastAsia" w:ascii="仿宋" w:hAnsi="仿宋"/>
          <w:szCs w:val="32"/>
          <w:highlight w:val="none"/>
        </w:rPr>
      </w:pPr>
    </w:p>
    <w:p w14:paraId="2F32A5AE">
      <w:pPr>
        <w:pStyle w:val="2"/>
        <w:pageBreakBefore w:val="0"/>
        <w:widowControl w:val="0"/>
        <w:wordWrap/>
        <w:bidi w:val="0"/>
        <w:spacing w:line="336" w:lineRule="auto"/>
        <w:ind w:firstLine="420" w:firstLineChars="200"/>
        <w:textAlignment w:val="auto"/>
        <w:rPr>
          <w:rFonts w:hint="eastAsia" w:ascii="仿宋" w:hAnsi="仿宋"/>
          <w:szCs w:val="32"/>
          <w:highlight w:val="none"/>
        </w:rPr>
      </w:pPr>
    </w:p>
    <w:p w14:paraId="324BF602">
      <w:pPr>
        <w:pStyle w:val="2"/>
        <w:pageBreakBefore w:val="0"/>
        <w:widowControl w:val="0"/>
        <w:wordWrap/>
        <w:bidi w:val="0"/>
        <w:spacing w:line="336" w:lineRule="auto"/>
        <w:ind w:firstLine="420" w:firstLineChars="200"/>
        <w:textAlignment w:val="auto"/>
        <w:rPr>
          <w:rFonts w:hint="eastAsia" w:ascii="仿宋" w:hAnsi="仿宋"/>
          <w:szCs w:val="32"/>
          <w:highlight w:val="none"/>
        </w:rPr>
      </w:pPr>
    </w:p>
    <w:p w14:paraId="080A3817">
      <w:pPr>
        <w:pageBreakBefore w:val="0"/>
        <w:widowControl w:val="0"/>
        <w:wordWrap/>
        <w:bidi w:val="0"/>
        <w:spacing w:line="600" w:lineRule="auto"/>
        <w:ind w:right="540" w:rightChars="257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（盖单位公章）</w:t>
      </w:r>
    </w:p>
    <w:p w14:paraId="45966E77">
      <w:pPr>
        <w:pageBreakBefore w:val="0"/>
        <w:widowControl w:val="0"/>
        <w:wordWrap/>
        <w:bidi w:val="0"/>
        <w:spacing w:line="600" w:lineRule="auto"/>
        <w:jc w:val="left"/>
        <w:textAlignment w:val="auto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法定代表人或被授权人：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（签字或盖章）</w:t>
      </w:r>
    </w:p>
    <w:p w14:paraId="2EFD403E">
      <w:pPr>
        <w:pageBreakBefore w:val="0"/>
        <w:widowControl w:val="0"/>
        <w:wordWrap/>
        <w:bidi w:val="0"/>
        <w:spacing w:line="600" w:lineRule="auto"/>
        <w:ind w:right="540" w:rightChars="257"/>
        <w:textAlignment w:val="auto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期：      年   月    日</w:t>
      </w:r>
    </w:p>
    <w:p w14:paraId="3E6CDBB7">
      <w:pPr>
        <w:pStyle w:val="2"/>
        <w:pageBreakBefore w:val="0"/>
        <w:widowControl w:val="0"/>
        <w:wordWrap/>
        <w:bidi w:val="0"/>
        <w:spacing w:line="336" w:lineRule="auto"/>
        <w:ind w:firstLine="420" w:firstLineChars="200"/>
        <w:jc w:val="left"/>
        <w:textAlignment w:val="auto"/>
        <w:rPr>
          <w:rFonts w:hint="eastAsia" w:ascii="仿宋" w:hAnsi="仿宋"/>
          <w:szCs w:val="32"/>
          <w:highlight w:val="none"/>
        </w:rPr>
      </w:pPr>
      <w:r>
        <w:rPr>
          <w:rFonts w:hint="eastAsia" w:ascii="仿宋" w:hAnsi="仿宋"/>
          <w:szCs w:val="32"/>
          <w:highlight w:val="none"/>
        </w:rPr>
        <w:t>说明：授权用投标专用章的，与公章具有相同法律效力。</w:t>
      </w:r>
    </w:p>
    <w:p w14:paraId="7322A929">
      <w:pPr>
        <w:rPr>
          <w:rFonts w:ascii="仿宋" w:hAnsi="仿宋"/>
          <w:szCs w:val="32"/>
          <w:highlight w:val="none"/>
        </w:rPr>
      </w:pPr>
      <w:r>
        <w:rPr>
          <w:rFonts w:ascii="仿宋" w:hAnsi="仿宋"/>
          <w:szCs w:val="32"/>
          <w:highlight w:val="none"/>
        </w:rPr>
        <w:br w:type="page"/>
      </w:r>
    </w:p>
    <w:p w14:paraId="5B96709C">
      <w:pPr>
        <w:pageBreakBefore w:val="0"/>
        <w:widowControl w:val="0"/>
        <w:wordWrap/>
        <w:bidi w:val="0"/>
        <w:spacing w:line="336" w:lineRule="auto"/>
        <w:jc w:val="center"/>
        <w:textAlignment w:val="auto"/>
        <w:outlineLvl w:val="9"/>
        <w:rPr>
          <w:rFonts w:hint="eastAsia" w:ascii="宋体" w:hAnsi="宋体"/>
          <w:b/>
          <w:sz w:val="28"/>
          <w:szCs w:val="28"/>
          <w:highlight w:val="none"/>
        </w:rPr>
      </w:pPr>
      <w:r>
        <w:rPr>
          <w:rFonts w:hint="eastAsia" w:ascii="宋体" w:hAnsi="宋体"/>
          <w:b/>
          <w:sz w:val="28"/>
          <w:szCs w:val="28"/>
          <w:highlight w:val="none"/>
          <w:lang w:val="en-US" w:eastAsia="zh-CN"/>
        </w:rPr>
        <w:t>服务</w:t>
      </w:r>
      <w:bookmarkStart w:id="0" w:name="_GoBack"/>
      <w:bookmarkEnd w:id="0"/>
      <w:r>
        <w:rPr>
          <w:rFonts w:hint="eastAsia" w:ascii="宋体" w:hAnsi="宋体"/>
          <w:b/>
          <w:sz w:val="28"/>
          <w:szCs w:val="28"/>
          <w:highlight w:val="none"/>
        </w:rPr>
        <w:t>方案</w:t>
      </w:r>
    </w:p>
    <w:p w14:paraId="01975293">
      <w:pPr>
        <w:pStyle w:val="2"/>
        <w:pageBreakBefore w:val="0"/>
        <w:widowControl w:val="0"/>
        <w:wordWrap/>
        <w:bidi w:val="0"/>
        <w:spacing w:line="336" w:lineRule="auto"/>
        <w:jc w:val="center"/>
        <w:textAlignment w:val="auto"/>
        <w:rPr>
          <w:rFonts w:ascii="仿宋" w:hAnsi="仿宋"/>
          <w:szCs w:val="32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根据采购文件第三章服务内容及服务要求编辑，格式自拟。</w:t>
      </w:r>
    </w:p>
    <w:p w14:paraId="1C65E37E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A01A43"/>
    <w:rsid w:val="4E4D0A1B"/>
    <w:rsid w:val="50A01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/>
      <w:szCs w:val="21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321</Words>
  <Characters>325</Characters>
  <Lines>0</Lines>
  <Paragraphs>0</Paragraphs>
  <TotalTime>0</TotalTime>
  <ScaleCrop>false</ScaleCrop>
  <LinksUpToDate>false</LinksUpToDate>
  <CharactersWithSpaces>379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2026-05-09T08:29:00Z</dcterms:created>
  <dc:creator>  </dc:creator>
  <cp:lastModifiedBy>  </cp:lastModifiedBy>
  <dcterms:modified xsi:type="dcterms:W3CDTF">2026-05-09T08:32:39Z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F7CCA624E1E54A329ED549C48FB7334B_11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