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版本号：ZTZB-26MXD-060220260616001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城乡特困供养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ZTZB-26MXD-0602</w:t>
      </w:r>
      <w:r>
        <w:br/>
      </w:r>
      <w:r>
        <w:br/>
      </w:r>
      <w:r>
        <w:br/>
      </w:r>
    </w:p>
    <w:p>
      <w:pPr>
        <w:pStyle w:val="null3"/>
        <w:jc w:val="center"/>
        <w:outlineLvl w:val="2"/>
      </w:pPr>
      <w:r>
        <w:rPr>
          <w:rFonts w:ascii="仿宋_GB2312" w:hAnsi="仿宋_GB2312" w:cs="仿宋_GB2312" w:eastAsia="仿宋_GB2312"/>
          <w:sz w:val="28"/>
          <w:b/>
        </w:rPr>
        <w:t>西安市临潼区新市区域敬老院</w:t>
      </w:r>
    </w:p>
    <w:p>
      <w:pPr>
        <w:pStyle w:val="null3"/>
        <w:jc w:val="center"/>
        <w:outlineLvl w:val="2"/>
      </w:pPr>
      <w:r>
        <w:rPr>
          <w:rFonts w:ascii="仿宋_GB2312" w:hAnsi="仿宋_GB2312" w:cs="仿宋_GB2312" w:eastAsia="仿宋_GB2312"/>
          <w:sz w:val="28"/>
          <w:b/>
        </w:rPr>
        <w:t>陕西兆通工程项目管理有限公司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陕西兆通工程项目管理有限公司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西安市临潼区新市区域敬老院</w:t>
      </w:r>
      <w:r>
        <w:rPr>
          <w:rFonts w:ascii="仿宋_GB2312" w:hAnsi="仿宋_GB2312" w:cs="仿宋_GB2312" w:eastAsia="仿宋_GB2312"/>
        </w:rPr>
        <w:t>委托，拟对</w:t>
      </w:r>
      <w:r>
        <w:rPr>
          <w:rFonts w:ascii="仿宋_GB2312" w:hAnsi="仿宋_GB2312" w:cs="仿宋_GB2312" w:eastAsia="仿宋_GB2312"/>
        </w:rPr>
        <w:t>城乡特困供养</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ZTZB-26MXD-0602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城乡特困供养</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护理需求通常涵盖生活照料、医疗护理、安全防护、心理支持和康复辅助五大核心类别，具体依据老年人能力评估（如失能等级）分级配置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采购包1（城乡特困供养）：属于专门面向中小企业采购。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1、具有独立承担民事责任能力的法人、其他组织或自然人：提供合法有效的统一社会信用代码营业执照或事业单位法人证书（自然人应提供身份证明）</w:t>
      </w:r>
    </w:p>
    <w:p>
      <w:pPr>
        <w:pStyle w:val="null3"/>
      </w:pPr>
      <w:r>
        <w:rPr>
          <w:rFonts w:ascii="仿宋_GB2312" w:hAnsi="仿宋_GB2312" w:cs="仿宋_GB2312" w:eastAsia="仿宋_GB2312"/>
        </w:rPr>
        <w:t>2、财务状况报告：提供2024年度或2025年度财务审计报告（应提供由相应资质的审计公司出具的财务审计报告且包含三表一注）或开标时间前六个月内银行出具的资信证明。其他组织和自然人提供银行出具的资信证明</w:t>
      </w:r>
    </w:p>
    <w:p>
      <w:pPr>
        <w:pStyle w:val="null3"/>
      </w:pPr>
      <w:r>
        <w:rPr>
          <w:rFonts w:ascii="仿宋_GB2312" w:hAnsi="仿宋_GB2312" w:cs="仿宋_GB2312" w:eastAsia="仿宋_GB2312"/>
        </w:rPr>
        <w:t>3、税收缴纳证明：提供磋商前一年内至少已缴纳的一个月的纳税证明或完税证明，依法免税的单位应提供相关证明材料</w:t>
      </w:r>
    </w:p>
    <w:p>
      <w:pPr>
        <w:pStyle w:val="null3"/>
      </w:pPr>
      <w:r>
        <w:rPr>
          <w:rFonts w:ascii="仿宋_GB2312" w:hAnsi="仿宋_GB2312" w:cs="仿宋_GB2312" w:eastAsia="仿宋_GB2312"/>
        </w:rPr>
        <w:t>4、社会保障资金缴纳证明：提供磋商前一年内至少一个月的社会保障资金缴存单据或社保机构开具的社会保险参保缴费情况证明，依法不需要缴纳社会保障资金的单位应提供相关证明材料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5、具有履行合同所必需的人员和专业技术能力：提供具有履行合同所必需的人员和专业技术能力的说明及承诺</w:t>
      </w:r>
    </w:p>
    <w:p>
      <w:pPr>
        <w:pStyle w:val="null3"/>
      </w:pPr>
      <w:r>
        <w:rPr>
          <w:rFonts w:ascii="仿宋_GB2312" w:hAnsi="仿宋_GB2312" w:cs="仿宋_GB2312" w:eastAsia="仿宋_GB2312"/>
        </w:rPr>
        <w:t>6、参加本次政府采购活动前三年内在经营活动中没有重大违纪，以及未被列入失信被执行人、重大税收违法案件当事人名单、政府采购严重违法失信行为记录名单：提供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7、身份查验：供应商应授权合法的人员参加投标，其中法定代表人直接参加的，须出具法人身份证，并与营业执照上信息一致；授权代表参加的，须出具法定代表人授权书、被授权人身份证</w:t>
      </w:r>
    </w:p>
    <w:p>
      <w:pPr>
        <w:pStyle w:val="null3"/>
      </w:pPr>
      <w:r>
        <w:rPr>
          <w:rFonts w:ascii="仿宋_GB2312" w:hAnsi="仿宋_GB2312" w:cs="仿宋_GB2312" w:eastAsia="仿宋_GB2312"/>
        </w:rPr>
        <w:t>8、联合体磋商：本项目不接受联合体磋商</w:t>
      </w:r>
    </w:p>
    <w:p>
      <w:pPr>
        <w:pStyle w:val="null3"/>
      </w:pPr>
      <w:r>
        <w:rPr>
          <w:rFonts w:ascii="仿宋_GB2312" w:hAnsi="仿宋_GB2312" w:cs="仿宋_GB2312" w:eastAsia="仿宋_GB2312"/>
        </w:rPr>
        <w:t>9、面向中小企业：本项目专门面向中小企业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西安市临潼区新市区域敬老院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临潼区新市街道郭桥村郭乡组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新市区域敬老院经办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13759984596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陕西兆通工程项目管理有限公司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陕西省西安市未央区未央路149号银河华庭A幢11102室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郭子熙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18630299301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采购包1：639,619.20元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180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代理服务费收费标准：按《招标代理服务收费管理暂行办法》计价格[2002]1980号文和发改价格[2011]534号文计取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西安市临潼区新市区域敬老院</w:t>
      </w:r>
      <w:r>
        <w:rPr>
          <w:rFonts w:ascii="仿宋_GB2312" w:hAnsi="仿宋_GB2312" w:cs="仿宋_GB2312" w:eastAsia="仿宋_GB2312"/>
        </w:rPr>
        <w:t>和</w:t>
      </w:r>
      <w:r>
        <w:rPr>
          <w:rFonts w:ascii="仿宋_GB2312" w:hAnsi="仿宋_GB2312" w:cs="仿宋_GB2312" w:eastAsia="仿宋_GB2312"/>
        </w:rPr>
        <w:t>陕西兆通工程项目管理有限公司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西安市临潼区新市区域敬老院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陕西兆通工程项目管理有限公司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西安市临潼区新市区域敬老院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陕西兆通工程项目管理有限公司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陕西兆通工程项目管理有限公司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陕西兆通工程项目管理有限公司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陕西兆通工程项目管理有限公司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联系人：郭子熙</w:t>
      </w:r>
    </w:p>
    <w:p>
      <w:pPr>
        <w:pStyle w:val="null3"/>
      </w:pPr>
      <w:r>
        <w:rPr>
          <w:rFonts w:ascii="仿宋_GB2312" w:hAnsi="仿宋_GB2312" w:cs="仿宋_GB2312" w:eastAsia="仿宋_GB2312"/>
        </w:rPr>
        <w:t>联系电话：18630299301</w:t>
      </w:r>
    </w:p>
    <w:p>
      <w:pPr>
        <w:pStyle w:val="null3"/>
      </w:pPr>
      <w:r>
        <w:rPr>
          <w:rFonts w:ascii="仿宋_GB2312" w:hAnsi="仿宋_GB2312" w:cs="仿宋_GB2312" w:eastAsia="仿宋_GB2312"/>
        </w:rPr>
        <w:t>地址：陕西省西安市未央区凤城三路与未央路十字银河华庭</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护理需求通常涵盖生活照料、医疗护理、安全防护、心理支持和康复辅助五大核心类别，具体依据老年人能力评估（如失能等级）分级配置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639,619.20</w:t>
      </w:r>
    </w:p>
    <w:p>
      <w:pPr>
        <w:pStyle w:val="null3"/>
      </w:pPr>
      <w:r>
        <w:rPr>
          <w:rFonts w:ascii="仿宋_GB2312" w:hAnsi="仿宋_GB2312" w:cs="仿宋_GB2312" w:eastAsia="仿宋_GB2312"/>
        </w:rPr>
        <w:t>采购包最高限价（元）: 639,619.20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城乡特困供养</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639,619.20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标的名称：城乡特困供养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rPr>
              <w:t>采购需求</w:t>
            </w:r>
          </w:p>
          <w:p>
            <w:pPr>
              <w:pStyle w:val="null3"/>
              <w:jc w:val="both"/>
            </w:pPr>
            <w:r>
              <w:rPr>
                <w:rFonts w:ascii="仿宋_GB2312" w:hAnsi="仿宋_GB2312" w:cs="仿宋_GB2312" w:eastAsia="仿宋_GB2312"/>
                <w:sz w:val="28"/>
                <w:b/>
              </w:rPr>
              <w:t>一、项目概况</w:t>
            </w:r>
          </w:p>
          <w:p>
            <w:pPr>
              <w:pStyle w:val="null3"/>
              <w:ind w:firstLine="480"/>
              <w:jc w:val="both"/>
            </w:pPr>
            <w:r>
              <w:rPr>
                <w:rFonts w:ascii="仿宋_GB2312" w:hAnsi="仿宋_GB2312" w:cs="仿宋_GB2312" w:eastAsia="仿宋_GB2312"/>
                <w:sz w:val="28"/>
              </w:rPr>
              <w:t>西安市临潼区新市区域敬老院社会救助</w:t>
            </w:r>
            <w:r>
              <w:rPr>
                <w:rFonts w:ascii="仿宋_GB2312" w:hAnsi="仿宋_GB2312" w:cs="仿宋_GB2312" w:eastAsia="仿宋_GB2312"/>
                <w:sz w:val="28"/>
              </w:rPr>
              <w:t>服务项目属于政府出资，社会力量参与服务实施，重点保障高龄、</w:t>
            </w:r>
            <w:r>
              <w:rPr>
                <w:rFonts w:ascii="仿宋_GB2312" w:hAnsi="仿宋_GB2312" w:cs="仿宋_GB2312" w:eastAsia="仿宋_GB2312"/>
                <w:sz w:val="28"/>
              </w:rPr>
              <w:t>“三无”、低收入失能、半失能老人，空巢老人及有特殊贡献老人的生活照料、基础保健、心理慰藉和其他特约服务，从而提升我区弱势群体老年人生活质量的公益性项目，项目服务形式为上门个性化服务，为</w:t>
            </w:r>
            <w:r>
              <w:rPr>
                <w:rFonts w:ascii="仿宋_GB2312" w:hAnsi="仿宋_GB2312" w:cs="仿宋_GB2312" w:eastAsia="仿宋_GB2312"/>
                <w:sz w:val="28"/>
              </w:rPr>
              <w:t>新市敬老院</w:t>
            </w:r>
            <w:r>
              <w:rPr>
                <w:rFonts w:ascii="仿宋_GB2312" w:hAnsi="仿宋_GB2312" w:cs="仿宋_GB2312" w:eastAsia="仿宋_GB2312"/>
                <w:sz w:val="28"/>
              </w:rPr>
              <w:t>政府援助的特困老人提供无偿服务。</w:t>
            </w:r>
          </w:p>
          <w:p>
            <w:pPr>
              <w:pStyle w:val="null3"/>
              <w:ind w:firstLine="480"/>
              <w:jc w:val="both"/>
            </w:pPr>
            <w:r>
              <w:rPr>
                <w:rFonts w:ascii="仿宋_GB2312" w:hAnsi="仿宋_GB2312" w:cs="仿宋_GB2312" w:eastAsia="仿宋_GB2312"/>
                <w:sz w:val="28"/>
                <w:b/>
              </w:rPr>
              <w:t>二、服务内容</w:t>
            </w:r>
          </w:p>
          <w:p>
            <w:pPr>
              <w:pStyle w:val="null3"/>
              <w:ind w:firstLine="480"/>
              <w:jc w:val="both"/>
            </w:pPr>
            <w:r>
              <w:rPr>
                <w:rFonts w:ascii="仿宋_GB2312" w:hAnsi="仿宋_GB2312" w:cs="仿宋_GB2312" w:eastAsia="仿宋_GB2312"/>
                <w:sz w:val="28"/>
              </w:rPr>
              <w:t>1、服务内容、范围和人数</w:t>
            </w:r>
          </w:p>
          <w:p>
            <w:pPr>
              <w:pStyle w:val="null3"/>
              <w:ind w:firstLine="560"/>
              <w:jc w:val="both"/>
            </w:pPr>
            <w:r>
              <w:rPr>
                <w:rFonts w:ascii="仿宋_GB2312" w:hAnsi="仿宋_GB2312" w:cs="仿宋_GB2312" w:eastAsia="仿宋_GB2312"/>
                <w:sz w:val="28"/>
              </w:rPr>
              <w:t>服务内容：</w:t>
            </w:r>
            <w:r>
              <w:rPr>
                <w:rFonts w:ascii="仿宋_GB2312" w:hAnsi="仿宋_GB2312" w:cs="仿宋_GB2312" w:eastAsia="仿宋_GB2312"/>
                <w:sz w:val="28"/>
              </w:rPr>
              <w:t>敬</w:t>
            </w:r>
            <w:r>
              <w:rPr>
                <w:rFonts w:ascii="仿宋_GB2312" w:hAnsi="仿宋_GB2312" w:cs="仿宋_GB2312" w:eastAsia="仿宋_GB2312"/>
                <w:sz w:val="28"/>
              </w:rPr>
              <w:t>老院购买服务的护理需求通常涵盖生活照料、医疗护理、安全防护、心理支持和康复辅助五大核心类别，具体依据老年人能力评估（如失能等级）分级配置：</w:t>
            </w:r>
          </w:p>
          <w:p>
            <w:pPr>
              <w:pStyle w:val="null3"/>
              <w:ind w:firstLine="560"/>
              <w:jc w:val="both"/>
            </w:pPr>
            <w:r>
              <w:rPr>
                <w:rFonts w:ascii="仿宋_GB2312" w:hAnsi="仿宋_GB2312" w:cs="仿宋_GB2312" w:eastAsia="仿宋_GB2312"/>
                <w:sz w:val="28"/>
              </w:rPr>
              <w:t>政府生活照料服务：包括协助进食/水、穿衣脱衣、洗漱（洗脸、洗手、洗头、擦浴）、如厕护理（使用便盆/尿壶、失禁处理）、口腔清洁、剪指甲、理发、压疮预防（定时翻身、皮肤护理）及居室清洁整理。</w:t>
            </w:r>
          </w:p>
          <w:p>
            <w:pPr>
              <w:pStyle w:val="null3"/>
              <w:ind w:firstLine="560"/>
              <w:jc w:val="both"/>
            </w:pPr>
            <w:r>
              <w:rPr>
                <w:rFonts w:ascii="仿宋_GB2312" w:hAnsi="仿宋_GB2312" w:cs="仿宋_GB2312" w:eastAsia="仿宋_GB2312"/>
                <w:sz w:val="28"/>
              </w:rPr>
              <w:t>医疗护理服务</w:t>
            </w:r>
            <w:r>
              <w:rPr>
                <w:rFonts w:ascii="仿宋_GB2312" w:hAnsi="仿宋_GB2312" w:cs="仿宋_GB2312" w:eastAsia="仿宋_GB2312"/>
                <w:sz w:val="28"/>
              </w:rPr>
              <w:t>：协助规律服药、生命体征监测（血压/血糖/体温）、基础疾病照护、伤口/造口护理、陪同就医、标本采集送检及院内感染防控。</w:t>
            </w:r>
          </w:p>
          <w:p>
            <w:pPr>
              <w:pStyle w:val="null3"/>
              <w:ind w:firstLine="560"/>
              <w:jc w:val="both"/>
            </w:pPr>
            <w:r>
              <w:rPr>
                <w:rFonts w:ascii="仿宋_GB2312" w:hAnsi="仿宋_GB2312" w:cs="仿宋_GB2312" w:eastAsia="仿宋_GB2312"/>
                <w:sz w:val="28"/>
              </w:rPr>
              <w:t>安全与应急照护</w:t>
            </w:r>
            <w:r>
              <w:rPr>
                <w:rFonts w:ascii="仿宋_GB2312" w:hAnsi="仿宋_GB2312" w:cs="仿宋_GB2312" w:eastAsia="仿宋_GB2312"/>
                <w:sz w:val="28"/>
              </w:rPr>
              <w:t>：防跌倒/防噎食/防走失措施、使用助行器具辅助、紧急呼叫响应、约束具使用（需医嘱及家属同意）、24小时巡视（尤其对失能/失智老人）。</w:t>
            </w:r>
          </w:p>
          <w:p>
            <w:pPr>
              <w:pStyle w:val="null3"/>
              <w:ind w:firstLine="560"/>
              <w:jc w:val="both"/>
            </w:pPr>
            <w:r>
              <w:rPr>
                <w:rFonts w:ascii="仿宋_GB2312" w:hAnsi="仿宋_GB2312" w:cs="仿宋_GB2312" w:eastAsia="仿宋_GB2312"/>
                <w:sz w:val="28"/>
              </w:rPr>
              <w:t>心理与社交支持</w:t>
            </w:r>
            <w:r>
              <w:rPr>
                <w:rFonts w:ascii="仿宋_GB2312" w:hAnsi="仿宋_GB2312" w:cs="仿宋_GB2312" w:eastAsia="仿宋_GB2312"/>
                <w:sz w:val="28"/>
              </w:rPr>
              <w:t>：陪伴交谈、情绪疏导、节日/生日活动组织、家属联络促进、认知刺激（如记忆训练），预防抑郁与孤独。</w:t>
            </w:r>
          </w:p>
          <w:p>
            <w:pPr>
              <w:pStyle w:val="null3"/>
              <w:ind w:firstLine="560"/>
              <w:jc w:val="both"/>
            </w:pPr>
            <w:r>
              <w:rPr>
                <w:rFonts w:ascii="仿宋_GB2312" w:hAnsi="仿宋_GB2312" w:cs="仿宋_GB2312" w:eastAsia="仿宋_GB2312"/>
                <w:sz w:val="28"/>
              </w:rPr>
              <w:t>康复与功能维持</w:t>
            </w:r>
            <w:r>
              <w:rPr>
                <w:rFonts w:ascii="仿宋_GB2312" w:hAnsi="仿宋_GB2312" w:cs="仿宋_GB2312" w:eastAsia="仿宋_GB2312"/>
                <w:sz w:val="28"/>
              </w:rPr>
              <w:t>：协助被动/主动肢体活动、简易康复训练（如关节活动度练习）、助行器使用指导。</w:t>
            </w:r>
          </w:p>
          <w:p>
            <w:pPr>
              <w:pStyle w:val="null3"/>
              <w:ind w:firstLine="480"/>
              <w:jc w:val="both"/>
            </w:pPr>
            <w:r>
              <w:rPr>
                <w:rFonts w:ascii="仿宋_GB2312" w:hAnsi="仿宋_GB2312" w:cs="仿宋_GB2312" w:eastAsia="仿宋_GB2312"/>
                <w:sz w:val="28"/>
              </w:rPr>
              <w:t>2、服务范围</w:t>
            </w:r>
          </w:p>
          <w:p>
            <w:pPr>
              <w:pStyle w:val="null3"/>
              <w:ind w:firstLine="480"/>
              <w:jc w:val="both"/>
            </w:pPr>
            <w:r>
              <w:rPr>
                <w:rFonts w:ascii="仿宋_GB2312" w:hAnsi="仿宋_GB2312" w:cs="仿宋_GB2312" w:eastAsia="仿宋_GB2312"/>
                <w:sz w:val="28"/>
              </w:rPr>
              <w:t>新市区域敬老院</w:t>
            </w:r>
            <w:r>
              <w:rPr>
                <w:rFonts w:ascii="仿宋_GB2312" w:hAnsi="仿宋_GB2312" w:cs="仿宋_GB2312" w:eastAsia="仿宋_GB2312"/>
                <w:sz w:val="28"/>
              </w:rPr>
              <w:t>享受政府养老服务对象及范围：户籍在</w:t>
            </w:r>
            <w:r>
              <w:rPr>
                <w:rFonts w:ascii="仿宋_GB2312" w:hAnsi="仿宋_GB2312" w:cs="仿宋_GB2312" w:eastAsia="仿宋_GB2312"/>
                <w:sz w:val="28"/>
              </w:rPr>
              <w:t>临潼</w:t>
            </w:r>
            <w:r>
              <w:rPr>
                <w:rFonts w:ascii="仿宋_GB2312" w:hAnsi="仿宋_GB2312" w:cs="仿宋_GB2312" w:eastAsia="仿宋_GB2312"/>
                <w:sz w:val="28"/>
              </w:rPr>
              <w:t>区的，符合</w:t>
            </w:r>
            <w:r>
              <w:rPr>
                <w:rFonts w:ascii="仿宋_GB2312" w:hAnsi="仿宋_GB2312" w:cs="仿宋_GB2312" w:eastAsia="仿宋_GB2312"/>
                <w:sz w:val="28"/>
              </w:rPr>
              <w:t>年满</w:t>
            </w:r>
            <w:r>
              <w:rPr>
                <w:rFonts w:ascii="仿宋_GB2312" w:hAnsi="仿宋_GB2312" w:cs="仿宋_GB2312" w:eastAsia="仿宋_GB2312"/>
                <w:sz w:val="28"/>
              </w:rPr>
              <w:t>18-60周岁，无生活来源</w:t>
            </w:r>
            <w:r>
              <w:rPr>
                <w:rFonts w:ascii="仿宋_GB2312" w:hAnsi="仿宋_GB2312" w:cs="仿宋_GB2312" w:eastAsia="仿宋_GB2312"/>
                <w:sz w:val="28"/>
              </w:rPr>
              <w:t>，享受政府援助的无偿服务。</w:t>
            </w:r>
            <w:r>
              <w:rPr>
                <w:rFonts w:ascii="仿宋_GB2312" w:hAnsi="仿宋_GB2312" w:cs="仿宋_GB2312" w:eastAsia="仿宋_GB2312"/>
                <w:sz w:val="28"/>
              </w:rPr>
              <w:t xml:space="preserve">  </w:t>
            </w:r>
          </w:p>
          <w:p>
            <w:pPr>
              <w:pStyle w:val="null3"/>
              <w:ind w:firstLine="480"/>
              <w:jc w:val="both"/>
            </w:pPr>
            <w:r>
              <w:rPr>
                <w:rFonts w:ascii="仿宋_GB2312" w:hAnsi="仿宋_GB2312" w:cs="仿宋_GB2312" w:eastAsia="仿宋_GB2312"/>
                <w:sz w:val="28"/>
              </w:rPr>
              <w:t>服务对象人数约</w:t>
            </w:r>
            <w:r>
              <w:rPr>
                <w:rFonts w:ascii="仿宋_GB2312" w:hAnsi="仿宋_GB2312" w:cs="仿宋_GB2312" w:eastAsia="仿宋_GB2312"/>
                <w:sz w:val="28"/>
              </w:rPr>
              <w:t>14</w:t>
            </w:r>
            <w:r>
              <w:rPr>
                <w:rFonts w:ascii="仿宋_GB2312" w:hAnsi="仿宋_GB2312" w:cs="仿宋_GB2312" w:eastAsia="仿宋_GB2312"/>
                <w:sz w:val="28"/>
              </w:rPr>
              <w:t>7</w:t>
            </w:r>
            <w:r>
              <w:rPr>
                <w:rFonts w:ascii="仿宋_GB2312" w:hAnsi="仿宋_GB2312" w:cs="仿宋_GB2312" w:eastAsia="仿宋_GB2312"/>
                <w:sz w:val="28"/>
              </w:rPr>
              <w:t>人</w:t>
            </w:r>
            <w:r>
              <w:rPr>
                <w:rFonts w:ascii="仿宋_GB2312" w:hAnsi="仿宋_GB2312" w:cs="仿宋_GB2312" w:eastAsia="仿宋_GB2312"/>
                <w:sz w:val="28"/>
              </w:rPr>
              <w:t>。</w:t>
            </w:r>
          </w:p>
          <w:p>
            <w:pPr>
              <w:pStyle w:val="null3"/>
              <w:ind w:left="420"/>
              <w:jc w:val="both"/>
            </w:pPr>
            <w:r>
              <w:rPr>
                <w:rFonts w:ascii="仿宋_GB2312" w:hAnsi="仿宋_GB2312" w:cs="仿宋_GB2312" w:eastAsia="仿宋_GB2312"/>
                <w:sz w:val="28"/>
              </w:rPr>
              <w:t>3、标段划分</w:t>
            </w:r>
          </w:p>
          <w:p>
            <w:pPr>
              <w:pStyle w:val="null3"/>
              <w:ind w:left="420"/>
              <w:jc w:val="both"/>
            </w:pPr>
            <w:r>
              <w:rPr>
                <w:rFonts w:ascii="仿宋_GB2312" w:hAnsi="仿宋_GB2312" w:cs="仿宋_GB2312" w:eastAsia="仿宋_GB2312"/>
                <w:sz w:val="28"/>
              </w:rPr>
              <w:t>本项目共划分</w:t>
            </w:r>
            <w:r>
              <w:rPr>
                <w:rFonts w:ascii="仿宋_GB2312" w:hAnsi="仿宋_GB2312" w:cs="仿宋_GB2312" w:eastAsia="仿宋_GB2312"/>
                <w:sz w:val="28"/>
              </w:rPr>
              <w:t>1</w:t>
            </w:r>
            <w:r>
              <w:rPr>
                <w:rFonts w:ascii="仿宋_GB2312" w:hAnsi="仿宋_GB2312" w:cs="仿宋_GB2312" w:eastAsia="仿宋_GB2312"/>
                <w:sz w:val="28"/>
              </w:rPr>
              <w:t>个标段，采购</w:t>
            </w:r>
            <w:r>
              <w:rPr>
                <w:rFonts w:ascii="仿宋_GB2312" w:hAnsi="仿宋_GB2312" w:cs="仿宋_GB2312" w:eastAsia="仿宋_GB2312"/>
                <w:sz w:val="28"/>
              </w:rPr>
              <w:t>1</w:t>
            </w:r>
            <w:r>
              <w:rPr>
                <w:rFonts w:ascii="仿宋_GB2312" w:hAnsi="仿宋_GB2312" w:cs="仿宋_GB2312" w:eastAsia="仿宋_GB2312"/>
                <w:sz w:val="28"/>
              </w:rPr>
              <w:t>家服务机构。其中：</w:t>
            </w:r>
          </w:p>
          <w:p>
            <w:pPr>
              <w:pStyle w:val="null3"/>
              <w:ind w:firstLine="480"/>
              <w:jc w:val="both"/>
            </w:pPr>
            <w:r>
              <w:rPr>
                <w:rFonts w:ascii="仿宋_GB2312" w:hAnsi="仿宋_GB2312" w:cs="仿宋_GB2312" w:eastAsia="仿宋_GB2312"/>
                <w:sz w:val="28"/>
              </w:rPr>
              <w:t>采购内容：</w:t>
            </w:r>
            <w:r>
              <w:rPr>
                <w:rFonts w:ascii="仿宋_GB2312" w:hAnsi="仿宋_GB2312" w:cs="仿宋_GB2312" w:eastAsia="仿宋_GB2312"/>
                <w:sz w:val="28"/>
              </w:rPr>
              <w:t>1）生活照料：居室保洁、个人卫生、清洗衣物、做饭；2）特约服务：陪同购物或代购物品、代缴费、陪同就医、送物件、过生日、理发等；3）基础保健、心理慰藉和其他特约服务。服务对象约</w:t>
            </w:r>
            <w:r>
              <w:rPr>
                <w:rFonts w:ascii="仿宋_GB2312" w:hAnsi="仿宋_GB2312" w:cs="仿宋_GB2312" w:eastAsia="仿宋_GB2312"/>
                <w:sz w:val="28"/>
              </w:rPr>
              <w:t>147</w:t>
            </w:r>
            <w:r>
              <w:rPr>
                <w:rFonts w:ascii="仿宋_GB2312" w:hAnsi="仿宋_GB2312" w:cs="仿宋_GB2312" w:eastAsia="仿宋_GB2312"/>
                <w:sz w:val="28"/>
              </w:rPr>
              <w:t>人。</w:t>
            </w:r>
          </w:p>
          <w:p>
            <w:pPr>
              <w:pStyle w:val="null3"/>
              <w:jc w:val="both"/>
            </w:pPr>
            <w:r>
              <w:rPr>
                <w:rFonts w:ascii="仿宋_GB2312" w:hAnsi="仿宋_GB2312" w:cs="仿宋_GB2312" w:eastAsia="仿宋_GB2312"/>
                <w:sz w:val="28"/>
              </w:rPr>
              <w:t>三、</w:t>
            </w:r>
            <w:r>
              <w:rPr>
                <w:rFonts w:ascii="仿宋_GB2312" w:hAnsi="仿宋_GB2312" w:cs="仿宋_GB2312" w:eastAsia="仿宋_GB2312"/>
                <w:sz w:val="28"/>
                <w:b/>
              </w:rPr>
              <w:t>技术要求</w:t>
            </w:r>
          </w:p>
          <w:p>
            <w:pPr>
              <w:pStyle w:val="null3"/>
              <w:jc w:val="both"/>
            </w:pPr>
            <w:r>
              <w:rPr>
                <w:rFonts w:ascii="仿宋_GB2312" w:hAnsi="仿宋_GB2312" w:cs="仿宋_GB2312" w:eastAsia="仿宋_GB2312"/>
                <w:sz w:val="28"/>
                <w:b/>
              </w:rPr>
              <w:t>机构要求和说明</w:t>
            </w:r>
          </w:p>
          <w:p>
            <w:pPr>
              <w:pStyle w:val="null3"/>
              <w:ind w:firstLine="480"/>
              <w:jc w:val="both"/>
            </w:pPr>
            <w:r>
              <w:rPr>
                <w:rFonts w:ascii="仿宋_GB2312" w:hAnsi="仿宋_GB2312" w:cs="仿宋_GB2312" w:eastAsia="仿宋_GB2312"/>
                <w:sz w:val="28"/>
              </w:rPr>
              <w:t>1.有相关服务经验、和服务管理团队，比较完善的服务、管理和运营体系；</w:t>
            </w:r>
          </w:p>
          <w:p>
            <w:pPr>
              <w:pStyle w:val="null3"/>
              <w:ind w:firstLine="480"/>
              <w:jc w:val="both"/>
            </w:pPr>
            <w:r>
              <w:rPr>
                <w:rFonts w:ascii="仿宋_GB2312" w:hAnsi="仿宋_GB2312" w:cs="仿宋_GB2312" w:eastAsia="仿宋_GB2312"/>
                <w:sz w:val="28"/>
              </w:rPr>
              <w:t>2.有服务和管理风险预案；</w:t>
            </w:r>
          </w:p>
          <w:p>
            <w:pPr>
              <w:pStyle w:val="null3"/>
              <w:ind w:firstLine="480"/>
              <w:jc w:val="both"/>
            </w:pPr>
            <w:r>
              <w:rPr>
                <w:rFonts w:ascii="仿宋_GB2312" w:hAnsi="仿宋_GB2312" w:cs="仿宋_GB2312" w:eastAsia="仿宋_GB2312"/>
                <w:sz w:val="28"/>
              </w:rPr>
              <w:t>3.护理员服务时间，通过使用智能服务监督软件和服务卡相结合的办法进行服务记录与考核。</w:t>
            </w:r>
          </w:p>
          <w:p>
            <w:pPr>
              <w:pStyle w:val="null3"/>
              <w:ind w:firstLine="480"/>
              <w:jc w:val="both"/>
            </w:pPr>
            <w:r>
              <w:rPr>
                <w:rFonts w:ascii="仿宋_GB2312" w:hAnsi="仿宋_GB2312" w:cs="仿宋_GB2312" w:eastAsia="仿宋_GB2312"/>
                <w:sz w:val="28"/>
              </w:rPr>
              <w:t>4.机构要对自身服务进行监督和考核；同时要接受服务对象、家属、群众和政府部门的考核、监督和指导；</w:t>
            </w:r>
          </w:p>
          <w:p>
            <w:pPr>
              <w:pStyle w:val="null3"/>
              <w:jc w:val="both"/>
            </w:pPr>
            <w:r>
              <w:rPr>
                <w:rFonts w:ascii="仿宋_GB2312" w:hAnsi="仿宋_GB2312" w:cs="仿宋_GB2312" w:eastAsia="仿宋_GB2312"/>
                <w:sz w:val="28"/>
                <w:b/>
              </w:rPr>
              <w:t>四、服务要求</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1）、服务人员岗位资格要求</w:t>
            </w:r>
          </w:p>
          <w:p>
            <w:pPr>
              <w:pStyle w:val="null3"/>
              <w:ind w:firstLine="480"/>
              <w:jc w:val="both"/>
            </w:pPr>
            <w:r>
              <w:rPr>
                <w:rFonts w:ascii="仿宋_GB2312" w:hAnsi="仿宋_GB2312" w:cs="仿宋_GB2312" w:eastAsia="仿宋_GB2312"/>
                <w:sz w:val="28"/>
              </w:rPr>
              <w:t>1）具有有效身份证年龄在18-55岁之间，有合法的就业资格。</w:t>
            </w:r>
          </w:p>
          <w:p>
            <w:pPr>
              <w:pStyle w:val="null3"/>
              <w:ind w:firstLine="480"/>
              <w:jc w:val="both"/>
            </w:pPr>
            <w:r>
              <w:rPr>
                <w:rFonts w:ascii="仿宋_GB2312" w:hAnsi="仿宋_GB2312" w:cs="仿宋_GB2312" w:eastAsia="仿宋_GB2312"/>
                <w:sz w:val="28"/>
              </w:rPr>
              <w:t>2）无精神病史和各类传染病。</w:t>
            </w:r>
          </w:p>
          <w:p>
            <w:pPr>
              <w:pStyle w:val="null3"/>
              <w:ind w:firstLine="480"/>
              <w:jc w:val="both"/>
            </w:pPr>
            <w:r>
              <w:rPr>
                <w:rFonts w:ascii="仿宋_GB2312" w:hAnsi="仿宋_GB2312" w:cs="仿宋_GB2312" w:eastAsia="仿宋_GB2312"/>
                <w:sz w:val="28"/>
              </w:rPr>
              <w:t>3）初中以上文化程度及语言表达能力。</w:t>
            </w:r>
          </w:p>
          <w:p>
            <w:pPr>
              <w:pStyle w:val="null3"/>
              <w:ind w:firstLine="480"/>
              <w:jc w:val="both"/>
            </w:pPr>
            <w:r>
              <w:rPr>
                <w:rFonts w:ascii="仿宋_GB2312" w:hAnsi="仿宋_GB2312" w:cs="仿宋_GB2312" w:eastAsia="仿宋_GB2312"/>
                <w:sz w:val="28"/>
              </w:rPr>
              <w:t>4）经过系统的专业培训，并取得相应的职业资格证书。</w:t>
            </w:r>
          </w:p>
          <w:p>
            <w:pPr>
              <w:pStyle w:val="null3"/>
              <w:ind w:firstLine="480"/>
              <w:jc w:val="both"/>
            </w:pPr>
            <w:r>
              <w:rPr>
                <w:rFonts w:ascii="仿宋_GB2312" w:hAnsi="仿宋_GB2312" w:cs="仿宋_GB2312" w:eastAsia="仿宋_GB2312"/>
                <w:sz w:val="28"/>
              </w:rPr>
              <w:t>5）养老护理员具有与其岗位相适应的意识和能力。</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2）、责任与权限</w:t>
            </w:r>
          </w:p>
          <w:p>
            <w:pPr>
              <w:pStyle w:val="null3"/>
              <w:ind w:firstLine="480"/>
              <w:jc w:val="both"/>
            </w:pPr>
            <w:r>
              <w:rPr>
                <w:rFonts w:ascii="仿宋_GB2312" w:hAnsi="仿宋_GB2312" w:cs="仿宋_GB2312" w:eastAsia="仿宋_GB2312"/>
                <w:sz w:val="28"/>
              </w:rPr>
              <w:t>1）经统一培训，考核合格后持证上岗。</w:t>
            </w:r>
          </w:p>
          <w:p>
            <w:pPr>
              <w:pStyle w:val="null3"/>
              <w:ind w:firstLine="480"/>
              <w:jc w:val="both"/>
            </w:pPr>
            <w:r>
              <w:rPr>
                <w:rFonts w:ascii="仿宋_GB2312" w:hAnsi="仿宋_GB2312" w:cs="仿宋_GB2312" w:eastAsia="仿宋_GB2312"/>
                <w:sz w:val="28"/>
              </w:rPr>
              <w:t>2）服从领导、服从工作安排，具有敬老、爱老的工作责任心。</w:t>
            </w:r>
          </w:p>
          <w:p>
            <w:pPr>
              <w:pStyle w:val="null3"/>
              <w:ind w:firstLine="480"/>
              <w:jc w:val="both"/>
            </w:pPr>
            <w:r>
              <w:rPr>
                <w:rFonts w:ascii="仿宋_GB2312" w:hAnsi="仿宋_GB2312" w:cs="仿宋_GB2312" w:eastAsia="仿宋_GB2312"/>
                <w:sz w:val="28"/>
              </w:rPr>
              <w:t>3）挂牌服务，做到服务规范、语言文明、细致耐心、防范未然。</w:t>
            </w:r>
          </w:p>
          <w:p>
            <w:pPr>
              <w:pStyle w:val="null3"/>
              <w:ind w:firstLine="480"/>
              <w:jc w:val="both"/>
            </w:pPr>
            <w:r>
              <w:rPr>
                <w:rFonts w:ascii="仿宋_GB2312" w:hAnsi="仿宋_GB2312" w:cs="仿宋_GB2312" w:eastAsia="仿宋_GB2312"/>
                <w:sz w:val="28"/>
              </w:rPr>
              <w:t>4）须熟悉掌握助老服务的技能，严格工作制度，严格遵守各项工作的操作程序和服务标准。</w:t>
            </w:r>
          </w:p>
          <w:p>
            <w:pPr>
              <w:pStyle w:val="null3"/>
              <w:ind w:firstLine="480"/>
              <w:jc w:val="both"/>
            </w:pPr>
            <w:r>
              <w:rPr>
                <w:rFonts w:ascii="仿宋_GB2312" w:hAnsi="仿宋_GB2312" w:cs="仿宋_GB2312" w:eastAsia="仿宋_GB2312"/>
                <w:sz w:val="28"/>
              </w:rPr>
              <w:t>5）服务工作定时、定点、定量、目的明确，服务到位，尽职尽责的达到服务目的，保质保量完成工作任务。</w:t>
            </w:r>
          </w:p>
          <w:p>
            <w:pPr>
              <w:pStyle w:val="null3"/>
              <w:ind w:firstLine="480"/>
              <w:jc w:val="both"/>
            </w:pPr>
            <w:r>
              <w:rPr>
                <w:rFonts w:ascii="仿宋_GB2312" w:hAnsi="仿宋_GB2312" w:cs="仿宋_GB2312" w:eastAsia="仿宋_GB2312"/>
                <w:sz w:val="28"/>
              </w:rPr>
              <w:t>6）经常与老人交流沟通，了解服务对象的生活特性，努力满足老人的正常需求。经常性进行情感交流。</w:t>
            </w:r>
          </w:p>
          <w:p>
            <w:pPr>
              <w:pStyle w:val="null3"/>
              <w:ind w:firstLine="480"/>
              <w:jc w:val="both"/>
            </w:pPr>
            <w:r>
              <w:rPr>
                <w:rFonts w:ascii="仿宋_GB2312" w:hAnsi="仿宋_GB2312" w:cs="仿宋_GB2312" w:eastAsia="仿宋_GB2312"/>
                <w:sz w:val="28"/>
              </w:rPr>
              <w:t>7）在服务时未经主人允许，不准拿用、乱动服务对象的物品，尊重老人，不许探知他人的隐私，尊重老人的生活习俗、习惯。对于老人以各种形式馈赠的钱和物品，应婉言谢绝，不得以任何理由擅自接受。</w:t>
            </w:r>
          </w:p>
          <w:p>
            <w:pPr>
              <w:pStyle w:val="null3"/>
              <w:ind w:firstLine="480"/>
              <w:jc w:val="both"/>
            </w:pPr>
            <w:r>
              <w:rPr>
                <w:rFonts w:ascii="仿宋_GB2312" w:hAnsi="仿宋_GB2312" w:cs="仿宋_GB2312" w:eastAsia="仿宋_GB2312"/>
                <w:sz w:val="28"/>
              </w:rPr>
              <w:t>8）在工作中如遇到意外和突发事件，必须采取积极地防范和急救措施，熟知各种求救电话，避免各种不良后果发生。</w:t>
            </w:r>
          </w:p>
          <w:p>
            <w:pPr>
              <w:pStyle w:val="null3"/>
              <w:ind w:firstLine="480"/>
              <w:jc w:val="both"/>
            </w:pPr>
            <w:r>
              <w:rPr>
                <w:rFonts w:ascii="仿宋_GB2312" w:hAnsi="仿宋_GB2312" w:cs="仿宋_GB2312" w:eastAsia="仿宋_GB2312"/>
                <w:sz w:val="28"/>
              </w:rPr>
              <w:t>9）在工作中，每日要有服务记录，同时，使用智能服务监督软件进行考核。服务工作完后，由服务对象签订服务意见，完成和达到服务要求，每月兑付劳动报酬。</w:t>
            </w:r>
          </w:p>
          <w:p>
            <w:pPr>
              <w:pStyle w:val="null3"/>
              <w:ind w:firstLine="480"/>
              <w:jc w:val="both"/>
            </w:pPr>
            <w:r>
              <w:rPr>
                <w:rFonts w:ascii="仿宋_GB2312" w:hAnsi="仿宋_GB2312" w:cs="仿宋_GB2312" w:eastAsia="仿宋_GB2312"/>
                <w:sz w:val="28"/>
              </w:rPr>
              <w:t>10）定期进行工作交流，不断改进和提高服务质量。</w:t>
            </w:r>
          </w:p>
          <w:p>
            <w:pPr>
              <w:pStyle w:val="null3"/>
              <w:ind w:firstLine="480"/>
              <w:jc w:val="both"/>
            </w:pPr>
            <w:r>
              <w:rPr>
                <w:rFonts w:ascii="仿宋_GB2312" w:hAnsi="仿宋_GB2312" w:cs="仿宋_GB2312" w:eastAsia="仿宋_GB2312"/>
                <w:sz w:val="28"/>
                <w:b/>
              </w:rPr>
              <w:t>五、商务要求</w:t>
            </w:r>
          </w:p>
          <w:p>
            <w:pPr>
              <w:pStyle w:val="null3"/>
              <w:ind w:firstLine="480"/>
              <w:jc w:val="both"/>
            </w:pPr>
            <w:r>
              <w:rPr>
                <w:rFonts w:ascii="仿宋_GB2312" w:hAnsi="仿宋_GB2312" w:cs="仿宋_GB2312" w:eastAsia="仿宋_GB2312"/>
                <w:sz w:val="28"/>
              </w:rPr>
              <w:t>（一）服务期限：自合同签订之日起</w:t>
            </w:r>
            <w:r>
              <w:rPr>
                <w:rFonts w:ascii="仿宋_GB2312" w:hAnsi="仿宋_GB2312" w:cs="仿宋_GB2312" w:eastAsia="仿宋_GB2312"/>
                <w:sz w:val="28"/>
              </w:rPr>
              <w:t>8个月</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rPr>
              <w:t>（二）款项结算：经考核后，居家养老服务补贴按季度付款。</w:t>
            </w:r>
          </w:p>
          <w:p>
            <w:pPr>
              <w:pStyle w:val="null3"/>
              <w:jc w:val="both"/>
            </w:pPr>
            <w:r>
              <w:rPr>
                <w:rFonts w:ascii="仿宋_GB2312" w:hAnsi="仿宋_GB2312" w:cs="仿宋_GB2312" w:eastAsia="仿宋_GB2312"/>
                <w:sz w:val="28"/>
                <w:b/>
              </w:rPr>
              <w:t>六、其他</w:t>
            </w:r>
          </w:p>
          <w:p>
            <w:pPr>
              <w:pStyle w:val="null3"/>
              <w:ind w:firstLine="480"/>
              <w:jc w:val="both"/>
            </w:pPr>
            <w:r>
              <w:rPr>
                <w:rFonts w:ascii="仿宋_GB2312" w:hAnsi="仿宋_GB2312" w:cs="仿宋_GB2312" w:eastAsia="仿宋_GB2312"/>
                <w:sz w:val="28"/>
              </w:rPr>
              <w:t>（一）进度要求</w:t>
            </w:r>
          </w:p>
          <w:p>
            <w:pPr>
              <w:pStyle w:val="null3"/>
              <w:ind w:firstLine="480"/>
              <w:jc w:val="both"/>
            </w:pPr>
            <w:r>
              <w:rPr>
                <w:rFonts w:ascii="仿宋_GB2312" w:hAnsi="仿宋_GB2312" w:cs="仿宋_GB2312" w:eastAsia="仿宋_GB2312"/>
                <w:sz w:val="28"/>
              </w:rPr>
              <w:t>每月上旬上报上月服务时间汇总表和服务卡，根据核实情况和满意率测评结果进行服务费的申请拨付。</w:t>
            </w:r>
          </w:p>
          <w:p>
            <w:pPr>
              <w:pStyle w:val="null3"/>
              <w:ind w:firstLine="480"/>
              <w:jc w:val="both"/>
            </w:pPr>
            <w:r>
              <w:rPr>
                <w:rFonts w:ascii="仿宋_GB2312" w:hAnsi="仿宋_GB2312" w:cs="仿宋_GB2312" w:eastAsia="仿宋_GB2312"/>
                <w:sz w:val="28"/>
              </w:rPr>
              <w:t>（二）质量验收标准或规范</w:t>
            </w:r>
          </w:p>
          <w:p>
            <w:pPr>
              <w:pStyle w:val="null3"/>
              <w:ind w:firstLine="480"/>
              <w:jc w:val="both"/>
            </w:pPr>
            <w:r>
              <w:rPr>
                <w:rFonts w:ascii="仿宋_GB2312" w:hAnsi="仿宋_GB2312" w:cs="仿宋_GB2312" w:eastAsia="仿宋_GB2312"/>
                <w:sz w:val="28"/>
              </w:rPr>
              <w:t>服务费与服务的满意率挂钩。满意率达到</w:t>
            </w:r>
            <w:r>
              <w:rPr>
                <w:rFonts w:ascii="仿宋_GB2312" w:hAnsi="仿宋_GB2312" w:cs="仿宋_GB2312" w:eastAsia="仿宋_GB2312"/>
                <w:sz w:val="28"/>
              </w:rPr>
              <w:t>90%以上的，全额支付服务费用；满意率每下降一个点，扣减1%的服务费。满意率低于75%以下的，暂停支付服务费用，并责令服务商为期两个月的整改，整改后满意率达到90%的，整改期间按实际满意率兑现相应服务费，若仍低于75%的，有权终止服务。</w:t>
            </w:r>
          </w:p>
          <w:p>
            <w:pPr>
              <w:pStyle w:val="null3"/>
              <w:ind w:firstLine="480"/>
              <w:jc w:val="both"/>
            </w:pPr>
            <w:r>
              <w:rPr>
                <w:rFonts w:ascii="仿宋_GB2312" w:hAnsi="仿宋_GB2312" w:cs="仿宋_GB2312" w:eastAsia="仿宋_GB2312"/>
                <w:sz w:val="28"/>
              </w:rPr>
              <w:t>（三）违约责任</w:t>
            </w:r>
          </w:p>
          <w:p>
            <w:pPr>
              <w:pStyle w:val="null3"/>
              <w:ind w:firstLine="480"/>
              <w:jc w:val="both"/>
            </w:pPr>
            <w:r>
              <w:rPr>
                <w:rFonts w:ascii="仿宋_GB2312" w:hAnsi="仿宋_GB2312" w:cs="仿宋_GB2312" w:eastAsia="仿宋_GB2312"/>
                <w:sz w:val="28"/>
              </w:rPr>
              <w:t>如有违反合同约定的义务或经营管理不善造成重大损失，</w:t>
            </w:r>
            <w:r>
              <w:rPr>
                <w:rFonts w:ascii="仿宋_GB2312" w:hAnsi="仿宋_GB2312" w:cs="仿宋_GB2312" w:eastAsia="仿宋_GB2312"/>
                <w:sz w:val="28"/>
              </w:rPr>
              <w:t>采购人</w:t>
            </w:r>
            <w:r>
              <w:rPr>
                <w:rFonts w:ascii="仿宋_GB2312" w:hAnsi="仿宋_GB2312" w:cs="仿宋_GB2312" w:eastAsia="仿宋_GB2312"/>
                <w:sz w:val="28"/>
              </w:rPr>
              <w:t>有权解除合同。所造成的损失由服务商承担，否则，可向</w:t>
            </w:r>
            <w:r>
              <w:rPr>
                <w:rFonts w:ascii="仿宋_GB2312" w:hAnsi="仿宋_GB2312" w:cs="仿宋_GB2312" w:eastAsia="仿宋_GB2312"/>
                <w:sz w:val="28"/>
              </w:rPr>
              <w:t>采购人</w:t>
            </w:r>
            <w:r>
              <w:rPr>
                <w:rFonts w:ascii="仿宋_GB2312" w:hAnsi="仿宋_GB2312" w:cs="仿宋_GB2312" w:eastAsia="仿宋_GB2312"/>
                <w:sz w:val="28"/>
              </w:rPr>
              <w:t>所在地有管辖权人民法院起诉。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具备履行本项目的设施设备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8个月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进度款，按季度支付，达到付款条件起14个工作日内，支付合同总金额的30.0%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进度款，按季度支付，达到付款条件起14个工作日内，支付合同总金额的30.0%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进度款，履约完毕，达到付款条件起14个工作日内，支付合同总金额的40.0%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违约责任详见采购需求，解决争议的方法：优先友好协商，协商不成，在采购人所在地人民法院进行诉讼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单位负责人为同一人或者存在直接控股、管理关系的不同供应商不得参加同一合同项下的政府采购活动；为本项目提供整体设计、规范编制或者项目管理、监理、检测等服务的供应商，不得再参加该采购项目的其他采购活动的承诺函.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财务状况报告.docx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提供合法有效的统一社会信用代码营业执照或事业单位法人证书（自然人应提供身份证明）</w:t>
            </w:r>
          </w:p>
        </w:tc>
        <w:tc>
          <w:tcPr>
            <w:tcW w:type="dxa" w:w="1661"/>
          </w:tcPr>
          <w:p>
            <w:pPr>
              <w:pStyle w:val="null3"/>
            </w:pPr>
            <w:r>
              <w:rPr>
                <w:rFonts w:ascii="仿宋_GB2312" w:hAnsi="仿宋_GB2312" w:cs="仿宋_GB2312" w:eastAsia="仿宋_GB2312"/>
              </w:rPr>
              <w:t>具有独立承担民事责任能力的法人、其他组织或自然人.docx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提供2024年度或2025年度财务审计报告（应提供由相应资质的审计公司出具的财务审计报告且包含三表一注）或开标时间前六个月内银行出具的资信证明。其他组织和自然人提供银行出具的资信证明</w:t>
            </w:r>
          </w:p>
        </w:tc>
        <w:tc>
          <w:tcPr>
            <w:tcW w:type="dxa" w:w="1661"/>
          </w:tcPr>
          <w:p>
            <w:pPr>
              <w:pStyle w:val="null3"/>
            </w:pPr>
            <w:r>
              <w:rPr>
                <w:rFonts w:ascii="仿宋_GB2312" w:hAnsi="仿宋_GB2312" w:cs="仿宋_GB2312" w:eastAsia="仿宋_GB2312"/>
              </w:rPr>
              <w:t>财务状况报告.docx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提供磋商前一年内至少已缴纳的一个月的纳税证明或完税证明，依法免税的单位应提供相关证明材料</w:t>
            </w:r>
          </w:p>
        </w:tc>
        <w:tc>
          <w:tcPr>
            <w:tcW w:type="dxa" w:w="1661"/>
          </w:tcPr>
          <w:p>
            <w:pPr>
              <w:pStyle w:val="null3"/>
            </w:pPr>
            <w:r>
              <w:rPr>
                <w:rFonts w:ascii="仿宋_GB2312" w:hAnsi="仿宋_GB2312" w:cs="仿宋_GB2312" w:eastAsia="仿宋_GB2312"/>
              </w:rPr>
              <w:t>税收缴纳证明.docx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提供磋商前一年内至少一个月的社会保障资金缴存单据或社保机构开具的社会保险参保缴费情况证明，依法不需要缴纳社会保障资金的单位应提供相关证明材料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社会保障资金缴纳证明.docx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具有履行合同所必需的人员和专业技术能力</w:t>
            </w:r>
          </w:p>
        </w:tc>
        <w:tc>
          <w:tcPr>
            <w:tcW w:type="dxa" w:w="3322"/>
          </w:tcPr>
          <w:p>
            <w:pPr>
              <w:pStyle w:val="null3"/>
            </w:pPr>
            <w:r>
              <w:rPr>
                <w:rFonts w:ascii="仿宋_GB2312" w:hAnsi="仿宋_GB2312" w:cs="仿宋_GB2312" w:eastAsia="仿宋_GB2312"/>
              </w:rPr>
              <w:t>提供具有履行合同所必需的人员和专业技术能力的说明及承诺</w:t>
            </w:r>
          </w:p>
        </w:tc>
        <w:tc>
          <w:tcPr>
            <w:tcW w:type="dxa" w:w="1661"/>
          </w:tcPr>
          <w:p>
            <w:pPr>
              <w:pStyle w:val="null3"/>
            </w:pPr>
            <w:r>
              <w:rPr>
                <w:rFonts w:ascii="仿宋_GB2312" w:hAnsi="仿宋_GB2312" w:cs="仿宋_GB2312" w:eastAsia="仿宋_GB2312"/>
              </w:rPr>
              <w:t>具有履行合同所必需的人员和专业技术能力.docx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w:t>
            </w:r>
          </w:p>
        </w:tc>
        <w:tc>
          <w:tcPr>
            <w:tcW w:type="dxa" w:w="3322"/>
          </w:tcPr>
          <w:p>
            <w:pPr>
              <w:pStyle w:val="null3"/>
            </w:pPr>
            <w:r>
              <w:rPr>
                <w:rFonts w:ascii="仿宋_GB2312" w:hAnsi="仿宋_GB2312" w:cs="仿宋_GB2312" w:eastAsia="仿宋_GB2312"/>
              </w:rPr>
              <w:t>提供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参加本次政府采购活动前三年内在经营活动中没有重大违纪.docx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身份查验</w:t>
            </w:r>
          </w:p>
        </w:tc>
        <w:tc>
          <w:tcPr>
            <w:tcW w:type="dxa" w:w="3322"/>
          </w:tcPr>
          <w:p>
            <w:pPr>
              <w:pStyle w:val="null3"/>
            </w:pPr>
            <w:r>
              <w:rPr>
                <w:rFonts w:ascii="仿宋_GB2312" w:hAnsi="仿宋_GB2312" w:cs="仿宋_GB2312" w:eastAsia="仿宋_GB2312"/>
              </w:rPr>
              <w:t>供应商应授权合法的人员参加投标，其中法定代表人直接参加的，须出具法人身份证，并与营业执照上信息一致；授权代表参加的，须出具法定代表人授权书、被授权人身份证</w:t>
            </w:r>
          </w:p>
        </w:tc>
        <w:tc>
          <w:tcPr>
            <w:tcW w:type="dxa" w:w="1661"/>
          </w:tcPr>
          <w:p>
            <w:pPr>
              <w:pStyle w:val="null3"/>
            </w:pPr>
            <w:r>
              <w:rPr>
                <w:rFonts w:ascii="仿宋_GB2312" w:hAnsi="仿宋_GB2312" w:cs="仿宋_GB2312" w:eastAsia="仿宋_GB2312"/>
              </w:rPr>
              <w:t>身份查验.docx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联合体磋商.docx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供应商名称与营业执照、资质、经营许可证一致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响应文件响应性、完整性</w:t>
            </w:r>
          </w:p>
        </w:tc>
        <w:tc>
          <w:tcPr>
            <w:tcW w:type="dxa" w:w="3322"/>
          </w:tcPr>
          <w:p>
            <w:pPr>
              <w:pStyle w:val="null3"/>
            </w:pPr>
            <w:r>
              <w:rPr>
                <w:rFonts w:ascii="仿宋_GB2312" w:hAnsi="仿宋_GB2312" w:cs="仿宋_GB2312" w:eastAsia="仿宋_GB2312"/>
              </w:rPr>
              <w:t>响应文件响应性、完整性是否满足磋商文件要求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投标有效期响应采购文件</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供应商提供2023年1月1日至今（以合同签订时间为准）类似的劳务派遣或人力资源的项目业绩，每提供一个得3分，满分15分。 （以响应文件中提供的合同复印件加盖公章为准）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针对本项目制定完整的服务方案，所列服务内容详细、合理、规范，且满足招标文件的要求。 服务方案详细合理，可行性强得10 分；服务方案较详细，可行性较强得6分；服务方案混乱，可行性差得2分；未提供得0分。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具有详细、实用、可行的突发事件处理预案措施，包括但不限于被服务人员发生心理精神类、安全意外类、身体健康类突发事件的应急预案。 突发事件应急预案，详细、实用、切实可行性强得 10 分； 突发事件应急预案，较详细、较实用、可行性较强得 6 分； 突发事件应急预案，实用性一般，可行性较差得 2 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拟投入人员</w:t>
            </w:r>
          </w:p>
        </w:tc>
        <w:tc>
          <w:tcPr>
            <w:tcW w:type="dxa" w:w="2492"/>
          </w:tcPr>
          <w:p>
            <w:pPr>
              <w:pStyle w:val="null3"/>
            </w:pPr>
            <w:r>
              <w:rPr>
                <w:rFonts w:ascii="仿宋_GB2312" w:hAnsi="仿宋_GB2312" w:cs="仿宋_GB2312" w:eastAsia="仿宋_GB2312"/>
              </w:rPr>
              <w:t>1.供应商具备助理社会工作师证书，每个得2.5分，最高得5分。以助理社会工作师复印件加盖公章为准。 2.供应商具备养老护理员证书，每个得2.5分，最高得5分。以养老护理员证书复印件加盖公章为准。 3.供应商具备老年人能力评估师证书，每个得2.5分，最高得15分。以老年人能力评估师证书复印件加盖公章为准。 4.供应商具备医师执业证书加5分；具备社会工作师证书加5分。以医师执业证书、社会工作师证书复印件加盖公章为准 注：以上人员可重复计分，需提供劳动合同证明。</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拟投入人员.docx</w:t>
            </w:r>
          </w:p>
        </w:tc>
      </w:tr>
      <w:tr>
        <w:tc>
          <w:tcPr>
            <w:tcW w:type="dxa" w:w="831"/>
            <w:vMerge/>
          </w:tcPr>
          <w:p/>
        </w:tc>
        <w:tc>
          <w:tcPr>
            <w:tcW w:type="dxa" w:w="1661"/>
          </w:tcPr>
          <w:p>
            <w:pPr>
              <w:pStyle w:val="null3"/>
            </w:pPr>
            <w:r>
              <w:rPr>
                <w:rFonts w:ascii="仿宋_GB2312" w:hAnsi="仿宋_GB2312" w:cs="仿宋_GB2312" w:eastAsia="仿宋_GB2312"/>
              </w:rPr>
              <w:t>管理运作制度和人员考核制度</w:t>
            </w:r>
          </w:p>
        </w:tc>
        <w:tc>
          <w:tcPr>
            <w:tcW w:type="dxa" w:w="2492"/>
          </w:tcPr>
          <w:p>
            <w:pPr>
              <w:pStyle w:val="null3"/>
            </w:pPr>
            <w:r>
              <w:rPr>
                <w:rFonts w:ascii="仿宋_GB2312" w:hAnsi="仿宋_GB2312" w:cs="仿宋_GB2312" w:eastAsia="仿宋_GB2312"/>
              </w:rPr>
              <w:t>制定规范和完善的人员考核制度及健全的内部管理运作制度及工作制度，方案细致详细、具体可操作性强、贴近项目情况针对性强得 10 分；方案基本完整，基本具有可操作性得 6 分；方案完善程度一般，内容宽泛可操作性一般得 2 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管理运作制度和人员考核制度.docx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价格分统一采用低价优先法计算，即满足磋商文件要求且响应价格最低的磋商报价为评标基准价，其价格分为满分。其他供应商价格分统一按照下列公式计算： 磋商报价得分=(评标基准价／磋商报价)×20 计算分数时四舍五入取小数点后两位 注：专门面向中小企业采购的项目，不再执行价格评审优惠的扶持政策。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单位负责人为同一人或者存在直接控股、管理关系的不同供应商不得参加同一合同项下的政府采购活动；为本项目提供整体设计、规范编制或者项目管理、监理、检测等服务的供应商，不得再参加该采购项目的其他采购活动的承诺函.docx</w:t>
      </w:r>
    </w:p>
    <w:p>
      <w:pPr>
        <w:pStyle w:val="null3"/>
        <w:ind w:firstLine="960"/>
      </w:pPr>
      <w:r>
        <w:rPr>
          <w:rFonts w:ascii="仿宋_GB2312" w:hAnsi="仿宋_GB2312" w:cs="仿宋_GB2312" w:eastAsia="仿宋_GB2312"/>
        </w:rPr>
        <w:t>详见附件：具有独立承担民事责任能力的法人、其他组织或自然人.docx</w:t>
      </w:r>
    </w:p>
    <w:p>
      <w:pPr>
        <w:pStyle w:val="null3"/>
        <w:ind w:firstLine="960"/>
      </w:pPr>
      <w:r>
        <w:rPr>
          <w:rFonts w:ascii="仿宋_GB2312" w:hAnsi="仿宋_GB2312" w:cs="仿宋_GB2312" w:eastAsia="仿宋_GB2312"/>
        </w:rPr>
        <w:t>详见附件：财务状况报告.docx</w:t>
      </w:r>
    </w:p>
    <w:p>
      <w:pPr>
        <w:pStyle w:val="null3"/>
        <w:ind w:firstLine="960"/>
      </w:pPr>
      <w:r>
        <w:rPr>
          <w:rFonts w:ascii="仿宋_GB2312" w:hAnsi="仿宋_GB2312" w:cs="仿宋_GB2312" w:eastAsia="仿宋_GB2312"/>
        </w:rPr>
        <w:t>详见附件：税收缴纳证明.docx</w:t>
      </w:r>
    </w:p>
    <w:p>
      <w:pPr>
        <w:pStyle w:val="null3"/>
        <w:ind w:firstLine="960"/>
      </w:pPr>
      <w:r>
        <w:rPr>
          <w:rFonts w:ascii="仿宋_GB2312" w:hAnsi="仿宋_GB2312" w:cs="仿宋_GB2312" w:eastAsia="仿宋_GB2312"/>
        </w:rPr>
        <w:t>详见附件：社会保障资金缴纳证明.docx</w:t>
      </w:r>
    </w:p>
    <w:p>
      <w:pPr>
        <w:pStyle w:val="null3"/>
        <w:ind w:firstLine="960"/>
      </w:pPr>
      <w:r>
        <w:rPr>
          <w:rFonts w:ascii="仿宋_GB2312" w:hAnsi="仿宋_GB2312" w:cs="仿宋_GB2312" w:eastAsia="仿宋_GB2312"/>
        </w:rPr>
        <w:t>详见附件：参加本次政府采购活动前三年内在经营活动中没有重大违纪.docx</w:t>
      </w:r>
    </w:p>
    <w:p>
      <w:pPr>
        <w:pStyle w:val="null3"/>
        <w:ind w:firstLine="960"/>
      </w:pPr>
      <w:r>
        <w:rPr>
          <w:rFonts w:ascii="仿宋_GB2312" w:hAnsi="仿宋_GB2312" w:cs="仿宋_GB2312" w:eastAsia="仿宋_GB2312"/>
        </w:rPr>
        <w:t>详见附件：具有履行合同所必需的人员和专业技术能力.docx</w:t>
      </w:r>
    </w:p>
    <w:p>
      <w:pPr>
        <w:pStyle w:val="null3"/>
        <w:ind w:firstLine="960"/>
      </w:pPr>
      <w:r>
        <w:rPr>
          <w:rFonts w:ascii="仿宋_GB2312" w:hAnsi="仿宋_GB2312" w:cs="仿宋_GB2312" w:eastAsia="仿宋_GB2312"/>
        </w:rPr>
        <w:t>详见附件：身份查验.docx</w:t>
      </w:r>
    </w:p>
    <w:p>
      <w:pPr>
        <w:pStyle w:val="null3"/>
        <w:ind w:firstLine="960"/>
      </w:pPr>
      <w:r>
        <w:rPr>
          <w:rFonts w:ascii="仿宋_GB2312" w:hAnsi="仿宋_GB2312" w:cs="仿宋_GB2312" w:eastAsia="仿宋_GB2312"/>
        </w:rPr>
        <w:t>详见附件：联合体磋商.docx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详见附件：管理运作制度和人员考核制度.docx</w:t>
      </w:r>
    </w:p>
    <w:p>
      <w:pPr>
        <w:pStyle w:val="null3"/>
        <w:ind w:firstLine="960"/>
      </w:pPr>
      <w:r>
        <w:rPr>
          <w:rFonts w:ascii="仿宋_GB2312" w:hAnsi="仿宋_GB2312" w:cs="仿宋_GB2312" w:eastAsia="仿宋_GB2312"/>
        </w:rPr>
        <w:t>详见附件：拟投入人员.docx</w:t>
      </w:r>
    </w:p>
    <w:p>
      <w:pPr>
        <w:pStyle w:val="null3"/>
        <w:ind w:firstLine="960"/>
      </w:pPr>
      <w:r>
        <w:rPr>
          <w:rFonts w:ascii="仿宋_GB2312" w:hAnsi="仿宋_GB2312" w:cs="仿宋_GB2312" w:eastAsia="仿宋_GB2312"/>
        </w:rPr>
        <w:t>详见附件：健全的财务会计制度.docx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