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96C6F">
      <w:pPr>
        <w:ind w:left="0" w:leftChars="0" w:firstLine="0" w:firstLineChars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西安市临潼区新市区域敬老院城乡特困供养服务合同</w:t>
      </w:r>
    </w:p>
    <w:p w14:paraId="31381A42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>合同编号：__________</w:t>
      </w:r>
    </w:p>
    <w:p w14:paraId="73572787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甲方（采购人）：西安市临潼区新市区域敬老院</w:t>
      </w:r>
    </w:p>
    <w:p w14:paraId="16090685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统一社会信用代码：____________________</w:t>
      </w:r>
    </w:p>
    <w:p w14:paraId="03EF7387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地址：____________________</w:t>
      </w:r>
    </w:p>
    <w:p w14:paraId="524830CE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联系电话：____________________</w:t>
      </w:r>
    </w:p>
    <w:p w14:paraId="6ABDEBBE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乙方（服务提供方 / 成交供应商）：____________________</w:t>
      </w:r>
    </w:p>
    <w:p w14:paraId="7E0ED8EF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统一社会信用代码 / 身份证号：____________________</w:t>
      </w:r>
    </w:p>
    <w:p w14:paraId="283749E1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地址：____________________</w:t>
      </w:r>
    </w:p>
    <w:p w14:paraId="335AA916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联系电话：____________________</w:t>
      </w:r>
    </w:p>
    <w:p w14:paraId="7089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根据《中华人民共和国民法典》《中华人民共和国政府采购法》及本次竞争性磋商采购文件、乙方响应文件等相关规定，甲乙双方本着平等自愿、诚实守信、权责统一的原则，就城乡特困供养服务项目达成如下协议，双方共同遵照执行。</w:t>
      </w:r>
    </w:p>
    <w:p w14:paraId="30FDF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第一条 项目概况</w:t>
      </w:r>
    </w:p>
    <w:p w14:paraId="291E4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项目名称：西安市临潼区新市区域敬老院城乡特困供养服务项目</w:t>
      </w:r>
    </w:p>
    <w:p w14:paraId="44158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服务性质：政府购买社会救助服务，专门面向中小企业采购，为特困老人提供无偿上门个性化养老服务。</w:t>
      </w:r>
    </w:p>
    <w:p w14:paraId="340FA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服务对象：户籍在西安市临潼区，年满 18-60 周岁、无生活来源、享受政府援助的特困人员，共计约 147 人。</w:t>
      </w:r>
    </w:p>
    <w:p w14:paraId="7C69C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服务地点：甲方指定服务区域（西安市临潼区新市区域）。</w:t>
      </w:r>
    </w:p>
    <w:p w14:paraId="3F80A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服务期限：自合同签订之日起8 个月。</w:t>
      </w:r>
    </w:p>
    <w:p w14:paraId="16E4C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合同总金额：人民币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元（大写：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</w:rPr>
        <w:t>），本项目最高限价同合同总价，价款包含人工、耗材、管理、培训、巡检、税费、风险等全部费用，甲方无需额外支付其他费用。</w:t>
      </w:r>
    </w:p>
    <w:p w14:paraId="27A37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第二条 服务内容与服务标准</w:t>
      </w:r>
    </w:p>
    <w:p w14:paraId="13022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一、核心服务类别</w:t>
      </w:r>
    </w:p>
    <w:p w14:paraId="1AA12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乙方须按照老年人失能等级分级配置服务人员，全面提供生活照料、医疗护理、安全防护、心理支持、康复辅助五大类服务，具体内容如下：</w:t>
      </w:r>
    </w:p>
    <w:p w14:paraId="3A72E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生活照料服务</w:t>
      </w:r>
    </w:p>
    <w:p w14:paraId="75BCB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协助服务对象进食饮水、穿衣脱衣、洗漱、如厕护理、口腔清洁、剪指甲、理发、压疮护理、居室清洁整理、衣物清洗、餐食制作等日常服务。</w:t>
      </w:r>
    </w:p>
    <w:p w14:paraId="2FBDB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医疗护理服务</w:t>
      </w:r>
    </w:p>
    <w:p w14:paraId="05C60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协助规律服药、监测血压、血糖、体温等生命体征；开展基础疾病照护、伤口 / 造口护理；陪同就医、标本采集送检，严格落实院内感染防控要求。</w:t>
      </w:r>
    </w:p>
    <w:p w14:paraId="251E9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安全与应急照护</w:t>
      </w:r>
    </w:p>
    <w:p w14:paraId="01490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落实防跌倒、防噎食、防走失防护措施；指导使用助行器具；保障紧急呼叫响应，按医嘱及家属同意规范使用约束具；对失能、失智老人执行 24 小时定时巡视制度。</w:t>
      </w:r>
    </w:p>
    <w:p w14:paraId="0F3F6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心理与社交支持服务</w:t>
      </w:r>
    </w:p>
    <w:p w14:paraId="25065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日常陪伴交谈、情绪疏导；组织节日、生日主题活动；协助联络家属；开展认知刺激、记忆训练，预防服务对象出现抑郁、孤独等问题。</w:t>
      </w:r>
    </w:p>
    <w:p w14:paraId="5AC4A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康复与功能维持服务</w:t>
      </w:r>
    </w:p>
    <w:p w14:paraId="012EA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协助服务对象开展主动 / 被动肢体活动、简易康复训练，指导正确使用助行器具，维持身体机能。</w:t>
      </w:r>
    </w:p>
    <w:p w14:paraId="3AFDB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二、特约服务</w:t>
      </w:r>
    </w:p>
    <w:p w14:paraId="0C02F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提供陪同购物、代购物品、代缴费、递送物品、上门理发、生日关怀等便民特约服务。</w:t>
      </w:r>
    </w:p>
    <w:p w14:paraId="4C907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三、人员资质与服务要求</w:t>
      </w:r>
    </w:p>
    <w:p w14:paraId="32DCD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服务人员年龄为 18-55 周岁，持有有效身份证件，无精神病史、各类传染病，初中及以上学历，语言沟通能力良好。</w:t>
      </w:r>
    </w:p>
    <w:p w14:paraId="4C68A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所有护理人员须经专业培训，取得对应职业资格证书，持证上岗，统一挂牌服务。</w:t>
      </w:r>
    </w:p>
    <w:p w14:paraId="49395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乙方配备的专业人员（助理社会工作师、养老护理员、老年人能力评估师、执业医师、社会工作师等）须与磋商响应文件一致，人员不得随意更换，如需更换须提前书面征得甲方同意。</w:t>
      </w:r>
    </w:p>
    <w:p w14:paraId="004C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服务人员须敬老爱老，服从工作安排，服务规范、语言文明；严禁私自取用、侵占服务对象财物，严禁打探、泄露服务对象隐私，婉拒一切馈赠。</w:t>
      </w:r>
    </w:p>
    <w:p w14:paraId="416B4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服务过程中发生突发事件、意外事故，服务人员须第一时间采取急救、防护措施，并立即联系甲方及相关救援机构。</w:t>
      </w:r>
    </w:p>
    <w:p w14:paraId="2D30F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四、服务监管要求</w:t>
      </w:r>
    </w:p>
    <w:p w14:paraId="23F07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乙方采用智能服务监督软件 + 服务卡双模式完成服务记录、考勤考核，每日留存完整服务台账。</w:t>
      </w:r>
    </w:p>
    <w:p w14:paraId="0C8F8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乙方建立内部服务监督、考核体系，主动接受甲方、服务对象、家属及社会群众的监督、检查与指导。</w:t>
      </w:r>
    </w:p>
    <w:p w14:paraId="023B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每月上旬，乙方须向甲方报送上月服务时间汇总表、服务卡台账，配合甲方完成服务满意率测评。</w:t>
      </w:r>
    </w:p>
    <w:p w14:paraId="61974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第三条 双方权利与义务</w:t>
      </w:r>
    </w:p>
    <w:p w14:paraId="631B5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（一）甲方权利与义务</w:t>
      </w:r>
    </w:p>
    <w:p w14:paraId="1650D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甲方有权对乙方服务全过程进行监督、检查、考核、测评，对不合格服务提出整改要求。</w:t>
      </w:r>
    </w:p>
    <w:p w14:paraId="6E679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甲方按本合同约定及时审核服务台账、满意率测评结果，并按约定支付服务费用。</w:t>
      </w:r>
    </w:p>
    <w:p w14:paraId="44FBA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甲方如实提供服务对象基本信息、相关注意事项，配合乙方开展服务工作。</w:t>
      </w:r>
    </w:p>
    <w:p w14:paraId="470EC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甲方有权在乙方服务不达标、拒不整改或造成不良后果时，依据合同约定追究乙方违约责任。</w:t>
      </w:r>
    </w:p>
    <w:p w14:paraId="152D9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（二）乙方权利与义务</w:t>
      </w:r>
    </w:p>
    <w:p w14:paraId="1B0DD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乙方须严格按照采购文件、响应文件及本合同约定提供服务，保证服务质量与服务时长。</w:t>
      </w:r>
    </w:p>
    <w:p w14:paraId="0EC57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乙方制定完善的内部管理制度、人员考核制度、突发事件应急预案（含心理精神、安全意外、身体健康类突发事件处置方案），并严格执行。</w:t>
      </w:r>
    </w:p>
    <w:p w14:paraId="7628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乙方承担服务期间全部人员管理、安全管理、风险防控责任，服务过程中产生的人身伤害、财产损失、法律纠纷等一切风险及经济损失，均由乙方自行承担。</w:t>
      </w:r>
    </w:p>
    <w:p w14:paraId="7EFA4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乙方负责服务人员的薪酬、社保、培训、保险等全部用工相关事宜，依法合规用工。</w:t>
      </w:r>
    </w:p>
    <w:p w14:paraId="50FA4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乙方建立完整服务档案，妥善保管服务记录、考核资料、影像台账等，合同期满后完整移交甲方。</w:t>
      </w:r>
    </w:p>
    <w:p w14:paraId="416F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本项目不接受联合体服务、不允许合同分包、转包，乙方不得将本项目全部或部分服务转交第三方实施。</w:t>
      </w:r>
    </w:p>
    <w:p w14:paraId="42627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第四条 费用结算与支付方式</w:t>
      </w:r>
    </w:p>
    <w:p w14:paraId="2A2FA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付款方式：按季度分期付款，所有款项在甲方核实服务台账、满意率测评达标后，于达到付款条件之日起 14 个工作日内支付。</w:t>
      </w:r>
    </w:p>
    <w:p w14:paraId="338D5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（1）第一期进度款：支付合同总金额的 30%；</w:t>
      </w:r>
    </w:p>
    <w:p w14:paraId="0D15D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（2）第二期进度款：支付合同总金额的 30%；</w:t>
      </w:r>
    </w:p>
    <w:p w14:paraId="16F84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（3）第三期尾款：本项目服务全部履约完毕，验收合格后，支付合同总金额的 40%。</w:t>
      </w:r>
    </w:p>
    <w:p w14:paraId="4C961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费用扣减规则</w:t>
      </w:r>
    </w:p>
    <w:p w14:paraId="3E771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服务费与服务满意率直接挂钩：</w:t>
      </w:r>
    </w:p>
    <w:p w14:paraId="29F38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（1）服务满意率≥90%，全额支付当期服务费；</w:t>
      </w:r>
    </w:p>
    <w:p w14:paraId="13179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（2）满意率每低于 90%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1 个百分点，扣减当期 1% 服务费；</w:t>
      </w:r>
    </w:p>
    <w:p w14:paraId="38A2F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（3）满意率＜75%，暂停支付当期费用，甲方责令乙方限期两个月整改；整改后满意率≥90%，按实际满意率结算整改期间服务费；整改后满意率仍低于 75%，甲方有权解除合同。</w:t>
      </w:r>
    </w:p>
    <w:p w14:paraId="752B5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本项目不收取履约保证金、质量保证金。</w:t>
      </w:r>
    </w:p>
    <w:p w14:paraId="260D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第五条 履约验收</w:t>
      </w:r>
    </w:p>
    <w:p w14:paraId="191C9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验收方式：甲方自行组织分段、分期验收，不邀请其他供应商、外部专家、第三方检测机构参与。</w:t>
      </w:r>
    </w:p>
    <w:p w14:paraId="3F649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验收流程：乙方完成阶段性服务后提交验收申请，甲方自收到申请之日起 14 日内组织验收。</w:t>
      </w:r>
    </w:p>
    <w:p w14:paraId="60F5D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验收标准：以本合同、采购需求文件、国家及地方养老服务相关规范为依据，结合服务台账、服务记录、现场核查、服务对象满意率测评结果综合判定。</w:t>
      </w:r>
    </w:p>
    <w:p w14:paraId="70746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验收不合格的，乙方须按甲方要求限期整改，整改费用由乙方自行承担。</w:t>
      </w:r>
    </w:p>
    <w:p w14:paraId="27F8E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第六条 知识产权</w:t>
      </w:r>
    </w:p>
    <w:p w14:paraId="63BC3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本项目履行过程中产生的全部文字资料、服务方案、台账档案、工作成果等知识产权，均归甲方所有。因乙方侵权行为引发的一切纠纷、赔偿责任，全部由乙方承担，与甲方无关。</w:t>
      </w:r>
    </w:p>
    <w:p w14:paraId="17A7F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第七条 违约责任</w:t>
      </w:r>
    </w:p>
    <w:p w14:paraId="313A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乙方未按约定提供服务、服务质量不达标，甲方有权要求乙方限期整改、扣减服务费；逾期未整改或整改后仍不达标的，甲方有权单方解除合同。</w:t>
      </w:r>
    </w:p>
    <w:p w14:paraId="4EDC2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乙方存在转包、分包、擅自更换核心服务人员、弄虚作假、台账造假等行为，甲方有权立即解除合同，拒付剩余款项，乙方须赔偿甲方全部损失。</w:t>
      </w:r>
    </w:p>
    <w:p w14:paraId="484ED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因乙方管理不善、服务过失造成服务对象人身伤害、财产损失或恶劣社会影响的，所有赔偿、法律责任由乙方独立承担。</w:t>
      </w:r>
    </w:p>
    <w:p w14:paraId="3F275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甲方无正当理由逾期支付服务费用的，按国家相关规定承担逾期付款责任。</w:t>
      </w:r>
    </w:p>
    <w:p w14:paraId="3E99D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任何一方擅自单方解除合同（本合同约定解除情形除外），需赔偿对方因此造成的实际经济损失。</w:t>
      </w:r>
    </w:p>
    <w:p w14:paraId="4BA5E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第八条 争议解决</w:t>
      </w:r>
    </w:p>
    <w:p w14:paraId="01E29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本合同履行期间如发生争议，双方优先友好协商解决；协商不成的，任何一方均有权向甲方所在地有管辖权的人民法院提起诉讼。</w:t>
      </w:r>
    </w:p>
    <w:p w14:paraId="16371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第九条 其他约定</w:t>
      </w:r>
    </w:p>
    <w:p w14:paraId="14A73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本项目专门面向中小企业采购，乙方须持续符合中小企业相关要求。</w:t>
      </w:r>
    </w:p>
    <w:p w14:paraId="2494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本合同未尽事宜，按照《政府采购法》、本次采购文件、乙方响应文件及国家相关法律法规执行，双方可签订补充协议，补充协议与本合同具有同等法律效力。</w:t>
      </w:r>
    </w:p>
    <w:p w14:paraId="44B81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本合同一式肆份，甲方执贰份，乙方执壹份，政府采购监管部门留存壹份，自双方签字盖章之日起生效，具有同等法律效力。</w:t>
      </w:r>
    </w:p>
    <w:p w14:paraId="22BA0FB6">
      <w:pPr>
        <w:rPr>
          <w:rFonts w:hint="eastAsia"/>
        </w:rPr>
      </w:pPr>
      <w:r>
        <w:rPr>
          <w:rFonts w:hint="eastAsia"/>
        </w:rPr>
        <w:br w:type="page"/>
      </w:r>
    </w:p>
    <w:p w14:paraId="22473FC3">
      <w:pPr>
        <w:ind w:left="0" w:leftChars="0" w:firstLine="0" w:firstLine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>（以下无正文）</w:t>
      </w:r>
    </w:p>
    <w:p w14:paraId="2A8F0309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甲方（盖章）：西安市临潼区新市区域敬老院</w:t>
      </w:r>
    </w:p>
    <w:p w14:paraId="6DD1A9DE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法定代表人 / 授权代表（签字）：__________</w:t>
      </w:r>
    </w:p>
    <w:p w14:paraId="44992AC8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日期：______年____月____日</w:t>
      </w:r>
    </w:p>
    <w:p w14:paraId="71B5D57F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乙方（盖章 / 签字）：____________________</w:t>
      </w:r>
    </w:p>
    <w:p w14:paraId="56FE785C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法定代表人 / 授权代表（签字）：__________</w:t>
      </w:r>
    </w:p>
    <w:p w14:paraId="6E304E33">
      <w:pPr>
        <w:ind w:left="0" w:leftChars="0" w:firstLine="0" w:firstLineChars="0"/>
      </w:pPr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AA754A5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2023-08-16T05:34:00Z</dcterms:created>
  <dc:creator>Administrator</dc:creator>
  <cp:lastModifiedBy>清风</cp:lastModifiedBy>
  <dcterms:modified xsi:type="dcterms:W3CDTF">2026-06-16T08:19:53Z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0B32B512D0BD46BF8564441C48FE115F_12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