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spacing w:line="36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58507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一、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 w:bidi="ar"/>
        </w:rPr>
        <w:t>西安高新区纪检监察工委谈话室视频系统升级项目</w:t>
      </w: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eastAsia="zh-CN" w:bidi="ar"/>
        </w:rPr>
        <w:t>（</w:t>
      </w: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二次</w:t>
      </w:r>
      <w:bookmarkStart w:id="2" w:name="_GoBack"/>
      <w:bookmarkEnd w:id="2"/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eastAsia="zh-CN" w:bidi="ar"/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 w:bidi="ar"/>
        </w:rPr>
        <w:t>清单</w:t>
      </w:r>
    </w:p>
    <w:tbl>
      <w:tblPr>
        <w:tblStyle w:val="8"/>
        <w:tblW w:w="5272" w:type="pct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174"/>
        <w:gridCol w:w="5900"/>
        <w:gridCol w:w="616"/>
        <w:gridCol w:w="658"/>
      </w:tblGrid>
      <w:tr w14:paraId="37D8AF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565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5923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名称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95A7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参数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6EA2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数量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504B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单位</w:t>
            </w:r>
          </w:p>
        </w:tc>
      </w:tr>
      <w:tr w14:paraId="442A1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7251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谈话室（3间）</w:t>
            </w:r>
          </w:p>
        </w:tc>
      </w:tr>
      <w:tr w14:paraId="6F80C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2237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5C4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全景摄像机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2F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 w:bidi="ar"/>
              </w:rPr>
              <w:t>广角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定焦半球摄像机；水平视场角≥160°，垂直视场角≥130°; 彩色照度≤ 0.005 lx；分辨率≥2560 × 1920，≥2个麦克风、1个扬声器，具有1个RJ45网络接口、1个CVBS接口、1对音频输入/输出接口、1个RS485接口、1对报警输入/输出接口1 个内置扬声器；红外补光 ≥20米；支持POE 供电；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2.支持畸变矫正功能；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3.≥IP65防尘防水等级，IK10碰撞防护等级。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0C34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98F5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45FA7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A0EA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4BF5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特写摄像机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87182B0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1.变焦半球摄像机；≥5 倍光学变焦；水平视场角≥ 90°; 彩色照度≤ 0.0002 lx；分辨率≥2560×1440，具备1对音频输入/输出;1个 RS485接口；支持断网续传功能；≥ 2个内置麦克风；DC12V&amp;POE供电；≥IP67；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2.具备支持透雾，支持宽动态120 dB；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3.内置防眩光补光灯；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4.具备普通监控补光≥30 m，人脸抓拍/识别补光≥3 m；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5.具备音频异常、区域入侵、绊线入侵等检测，支持声音联动。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C9F8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F0FE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27150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C7A95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C81D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指挥摄像机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B75A5C1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1.网络球机，视频输出分辨率≥2560×1440；≥支持25倍光学变倍，焦距≥120mm；支持≥100米红外照射距离；支持水平旋转范围为0°~360°，垂直旋转范围为-5°~90°；支持照度彩色≤0.001Lux；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2.支持≥300个预置位，支持≥30条巡航路径，支持≥7条以上的模式路径设置，支持预置位视频冻结功能；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3.支持手动跟踪，事件跟踪，智能运动跟踪功能；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4.具备≥IP65防护；支持POE+供电。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6876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CC7D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5F800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CB89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F61D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拾音器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564E369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▲1.具有≥32个麦克风单元，采用阵列结构设计；具有输出音量调节、降噪等级、去混响等于、自动增益等级和自动增益率调节，且支持网络调节；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2.动态范围0 dB ~105 dB；声压级≥120 dB；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3.拾音范围半径需≥10 m区域内；灵敏度≤-36dB；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4.输出信号幅度2.5 Vpp ；信噪比≥90 dB，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失真度≤3%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；频率响应 20 Hz~16 kHz；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5.音频传输距离需 ≥3000 m；输出阻抗 600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Ω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，平衡输出；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6.具备 线路输出，RJ45网口，DC电源输入等接口；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7.支持≥100级音量调节;支持通过网络对设备进行参数配置升级维护等；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8.DC9 V~30 V15和POE供电。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4B54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21DC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1982C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F730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C74F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温湿度显示屏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4ACD6D4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▲1.需具有1个RJ45网络接口、RS-232接口、RS-485接口、报警输入/输出接口;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2.支持LED显示年、月、日、星期、时、分、秒等时间信息和实时温度、湿度等环境信息；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3.面板需符合IK10防暴，采用防反光磨砂面板设计，温度显示范围：-19℃～99℃；湿度显示范围：0％～99％；检测范围：温度：–40°C ~ +125°C，湿度：0%~ 100%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4.支持POE功能；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5.支持HTTP、NTP、手动校时；支持屏幕亮度调节。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7713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5F86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307273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1685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FBAA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同步录音录像主机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40BDFEE0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1.支持≥8路4K IPC接入，支持两路4K/30Hz高清HDMI视频输出；采用H.264或H.265压缩技术，画中画通道分辨率需支持4K、2K、1080P、2CIF等分辨率编码；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▲2.包含但不限于≥6个SATA接口、≥3个VGA接口、≥4个HDMI接口、≥1个RS-232接口、≥3个RS485接口、≥4个报警输出接口、≥4个RCA音频输入接口、≥2个音频输出接口；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▲3.具有≥7寸液晶触摸屏，支持实时视频预览、主机硬盘录像回放及光盘录像回放；支持显示主机刻录状态、硬盘信息、刻录剩余时间、内存使用率、异常检测标识；可进行一键刻录，参数配置等操作；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4.支持单画面、1大2小、1大3小、1大4小、1大5小、1大7小、4均分等多种画面合成方式；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5.支持刻录数据数字水印加密和哈希检验技术；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6.支持在国产操作系统上登录WEB客户端并进行参数配置、预览、播放录像、下载等操作；通过主机刻录进光盘的录像文件可以直接在国产操作系统上播放；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7.支持通过RS-485或网络协议接入环境监测显示器，并可以对其进行校时、获取温湿度信息、获取PM2.5信息、获取CO2信息；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8.支持案件编号、案件名称、自定义1、自定义2、自定义3、自定义4、自定义5等片头内容设置功能。片头内容设置完毕后，可自动生成片头叠加于视频画面。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5B7B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01995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7D4B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FBBBC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56C7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监控级硬盘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C363D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标称容量≥6TB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接口类型：SATA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转速≥5400RPM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缓存≥256MiB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B502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DC5D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块</w:t>
            </w:r>
          </w:p>
        </w:tc>
      </w:tr>
      <w:tr w14:paraId="1EF3A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BD95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 w:bidi="ar"/>
              </w:rPr>
              <w:t>走廊</w:t>
            </w:r>
          </w:p>
        </w:tc>
      </w:tr>
      <w:tr w14:paraId="4AA48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B05C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FD2A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 xml:space="preserve">400万半球摄像机 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BA80F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1.全彩定焦半球摄像机, 1/1.8CMOS传感器，内置1颗CPU、GPU、NPU于一体的芯片</w:t>
            </w:r>
          </w:p>
          <w:p w14:paraId="24ABF04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2.2.8mm，4mm，6mm镜头可选，水平视场角≥ 100°，照度彩色≤ 0.0005lx；光圈≥F1.0，分辨率≥2560×1440@25fps; ；≥1个内置麦克风，支持1个内置扬声器；支持柔光补光≥30 m；</w:t>
            </w:r>
          </w:p>
          <w:p w14:paraId="3B8DC400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 xml:space="preserve">3.具备大模型AI编码功能，对人、机动车等高价值目标进行解析，通过ROI分割技术，分离前景目标与背景区域，前景采用常规编码保障细节完整，背景采用高效压缩降低码率和存储空间； </w:t>
            </w:r>
          </w:p>
          <w:p w14:paraId="77BD154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4.在同一监控场景下，AI编码功能开启并运行24h后，相比于不开启AI编码功能状态下的H.265编码，在目标清晰度无明显降低的条件下，码率节约不小于50％；</w:t>
            </w:r>
          </w:p>
          <w:p w14:paraId="7D91587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5.DC12V&amp;POE供电；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IP67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C1D6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17C8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4D80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F4962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指挥室</w:t>
            </w:r>
          </w:p>
        </w:tc>
      </w:tr>
      <w:tr w14:paraId="3FB03D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5C0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4023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操作电脑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BD7AD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1.国产CPU；</w:t>
            </w:r>
          </w:p>
          <w:p w14:paraId="71177BC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内存</w:t>
            </w:r>
            <w:bookmarkStart w:id="0" w:name="OLE_LINK2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≥</w:t>
            </w:r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16G、固态硬盘≥512GB、显卡内存≥2G</w:t>
            </w:r>
          </w:p>
          <w:p w14:paraId="6A9D554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显示器尺寸≥23.8英寸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0DE4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E57C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5D7DF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B96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94C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操作系统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8E689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1.国产操作系统须具备自主知识产权与安全可靠测评资质，同源适配多类国产芯片架构。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5362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4767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套</w:t>
            </w:r>
          </w:p>
        </w:tc>
      </w:tr>
      <w:tr w14:paraId="43C4C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F2F2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F277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解码显示一体机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C7030A">
            <w:pPr>
              <w:spacing w:line="360" w:lineRule="auto"/>
              <w:textAlignment w:val="bottom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</w:t>
            </w:r>
            <w:bookmarkStart w:id="1" w:name="OLE_LINK1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≥</w:t>
            </w:r>
            <w:bookmarkEnd w:id="1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55寸带解码LED液晶监视器，金属外观；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2.分辨率≥3840 × 2160；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3.亮度≥350cd/㎡；对比度3000：1；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4.主要接口包含但不限于HDMI2.0×1；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Speaker×2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，AUDIO OUT ×1；LAN ×1，CONSOLE ×1，</w:t>
            </w:r>
            <w:r>
              <w:rPr>
                <w:rStyle w:val="13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RELAY IN×1，RELAY OUT×2，</w:t>
            </w:r>
            <w:r>
              <w:rPr>
                <w:rStyle w:val="15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RS-485 ×1；</w:t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Style w:val="14"/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5.支持≥8 路 1080P@30Hz、16 路 720P @30Hz、32 路 D1，支持≥ 36 路分屏显示。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251D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3DDA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只</w:t>
            </w:r>
          </w:p>
        </w:tc>
      </w:tr>
      <w:tr w14:paraId="70896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A767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24F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壁挂支架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281CC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 xml:space="preserve">1.单屏壁挂支架，冷轧钢板，黑色，安装孔位：(200mm~400mm)x(200mm~400mm)；产品承重：≥60kg 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2A2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D9E3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个</w:t>
            </w:r>
          </w:p>
        </w:tc>
      </w:tr>
      <w:tr w14:paraId="552D5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9D81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集中存储（机房）</w:t>
            </w:r>
          </w:p>
        </w:tc>
      </w:tr>
      <w:tr w14:paraId="34FDA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A457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066F6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视频平台一体机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572C628B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1.平台一体机软件包含但不限于基础包、视频监控、门禁管理、智能监控、视频联网、入侵报警、设备网络管理等；其中包含≥300路视频，≥50个门禁，≥4车辆通道管理，≥50个防区管理 ，1个国产化PC客户端管理授权；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2.平台支持实现视频预览、录像回放、视频上墙、视频事件监控服务能力；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3.平台支持通过接入多种门禁设备，利用卡片、人脸等介质，实现人员身份辨别、出入管控等智能应用，提供门禁权限管理、事件管理、门禁状态查看、门禁远程控制、人员出入记录实时展示、远程呼叫对讲等应用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4.平台支持对接入平台的视频设备，门禁设备等进行在线巡检，及时发现故障设备和掉线设备；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5.平台支持报警子系统管理能力，包含布防、撤防、消警控制操作；支持防区管理能力，包含旁路、旁路恢复操作；支持实时入侵报警能力；支持历史入侵报警事件查询及导出能力；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 xml:space="preserve">6.平台一体机采用双系统设计，集主控、转发、管理、存储、智能应用于一体；≥2U标准机架式≥4盘位设备，≥6核处理器，≥48G内存, ATX电源；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7.主要接口包含但不限于1个HDMI接口，≥2个10M/100M/1000Mbps网口；≥16路报警输入，≥4路报警输出；≥32路本地局域网视频接入；≥8×1080P本地解码输出；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8.平台国产化客户端支持麒麟、统信等操作系统。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67A9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CCCA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3ED5B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955C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04F9F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磁盘阵列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14:paraId="03DED564">
            <w:pPr>
              <w:spacing w:line="360" w:lineRule="auto"/>
              <w:textAlignment w:val="top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1.≥48个硬盘插槽，配置64位多核处理器，≥8GB内存；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2.支持视音频流直存；具备≥450路2Mbps 视频录像存储能力；支持ONVIF、GB/T 28181、RTSP等标准协议；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▲3.主要接口包含但不限于1个RS232串口/CONSOLE接口，1个VGA接口，1个HDMI接口，≥2个USB2.0接口，≥2个USB3.0接口，≥3个2.5G网口，1个2.5G管理网口，1个Esata接口，采用可热插拔1+1AC220V电源；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4.支持视频检索功能，按照监控点编号、录像类型、时间组合等条件查询；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5.支持运维总览展示，可快速定位设备异常情况。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4BF1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E532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224B9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962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6EA70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硬盘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15BF6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1.≥12TB容量，3.5英寸，SATA3.0接口，≥7200RPM；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2.传输速率≥267 MB/s，≥512MB高速缓存；支持≥5年有限质保服务。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66C6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45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7F16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块</w:t>
            </w:r>
          </w:p>
        </w:tc>
      </w:tr>
      <w:tr w14:paraId="0C366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E1869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A142C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POE交换机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894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1.≥24个千兆PoE电口和≥2个千兆光口；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2.交换容量≥56 Gbps；包转发率≥41.66 Mpps；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3.支持IEEE 802.3at/af标准；支持IEEE 802.3、IEEE 802.3u、IEEE 802.3x、IEEE 802.3ab、IEEE 802.3z标准；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4.支持安防网络拓扑管理、端口管理，支持远程升级；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5.支持6 KV防浪涌（PoE口）；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6.支持PoE输出功率管理，整机最大PoE输出功率230 W。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F87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59D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1956E9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6949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49117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千兆交换机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A938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1.≥24个千兆电口；≥4个千兆光口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2.支持通过 console 口管理；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3.交换容量≥336Gbps/3.36Tbps，包转发率≥108/126Mpps；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4.支持VLAN，流量控制ACL;QOS。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5629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9D9A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台</w:t>
            </w:r>
          </w:p>
        </w:tc>
      </w:tr>
      <w:tr w14:paraId="7A1BD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84C8E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bidi="ar"/>
              </w:rPr>
              <w:t>施工及辅材</w:t>
            </w:r>
          </w:p>
        </w:tc>
      </w:tr>
      <w:tr w14:paraId="2CE8D2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43C5E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24A5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42U机柜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1C170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1.机柜尺寸≥42U、冷轧钢板、防护等级IP20、网孔门带支撑脚。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193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AFFD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个</w:t>
            </w:r>
          </w:p>
        </w:tc>
      </w:tr>
      <w:tr w14:paraId="0BEBF3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608D8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C16E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辅材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0726F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网线、高清线缆、电源线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3382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5A723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批</w:t>
            </w:r>
          </w:p>
        </w:tc>
      </w:tr>
      <w:tr w14:paraId="17D46D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14604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F556A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安装调试费</w:t>
            </w:r>
          </w:p>
        </w:tc>
        <w:tc>
          <w:tcPr>
            <w:tcW w:w="32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EE084">
            <w:pPr>
              <w:spacing w:line="360" w:lineRule="auto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 w:bidi="ar"/>
              </w:rPr>
              <w:t>设备调试、网络调试等</w:t>
            </w:r>
          </w:p>
        </w:tc>
        <w:tc>
          <w:tcPr>
            <w:tcW w:w="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76F3B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42C7D">
            <w:pPr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bidi="ar"/>
              </w:rPr>
              <w:t>批</w:t>
            </w:r>
          </w:p>
        </w:tc>
      </w:tr>
    </w:tbl>
    <w:p w14:paraId="3B431B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val="en-US" w:eastAsia="zh-CN" w:bidi="ar"/>
        </w:rPr>
        <w:t>、项目实施要求</w:t>
      </w:r>
    </w:p>
    <w:p w14:paraId="4A320CA3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1.施工前方案深化：结合现场勘测优化点位布局，明确摄像机类型、存储时长、网络架构，兼顾覆盖范围、夜视效果与盲区消除，方案经甲方确认后方可施工。</w:t>
      </w:r>
    </w:p>
    <w:p w14:paraId="0DE3C0ED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2.设备进场：所有安防设备核对型号、合格证，外观完好无破损；做好设备台账，严禁使用三无、翻新设备，进场资料同步归档。</w:t>
      </w:r>
    </w:p>
    <w:p w14:paraId="3E0936F6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3.管线施工：线缆敷设横平竖直，强弱电分离，做好穿管防护、标识编号；室外管线防水、接地到位，桥架固定牢固，避免线路挤压磨损。</w:t>
      </w:r>
    </w:p>
    <w:p w14:paraId="76C106FC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4.设备安装：摄像机安装稳固，角度合理，避开遮挡与强光逆光；交换机、NVR、服务器集中机柜规范部署，散热良好，接线整齐。</w:t>
      </w:r>
    </w:p>
    <w:p w14:paraId="570196D5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5.系统调试：调试图像画质、录像策略、移动侦测、远程预览功能，保证录像完整可回放，网络稳定无卡顿。</w:t>
      </w:r>
    </w:p>
    <w:p w14:paraId="243EFB8E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6.验收交付：整理竣工图纸、设备清单、操作手册，配合甲方逐项验收；完成操作培训，留存售后联系方式，落实质保服务。</w:t>
      </w:r>
    </w:p>
    <w:p w14:paraId="0F0AD538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、商务要求</w:t>
      </w:r>
    </w:p>
    <w:p w14:paraId="64F496CB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本项目质保期3年。</w:t>
      </w:r>
    </w:p>
    <w:p w14:paraId="6CB7C011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供应商须具备承接本安防监控项目相应履约能力，严格按照磋商文件、技术方案及合同约定完成供货、施工、调试、验收及售后服务。报价包含设备、辅材、运输、安装、调试、税费、培训、质保等全部费用，实行总价包干，项目实施期间不再产生额外增项费用。供货周期、施工工期须响应需求，按期完成全部建设内容。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需完整提供产品合格证、检测报告、竣工资料等全套资料，保证设备渠道正规、原厂正品，不存在侵权及翻新产品。质保期内提供免费维修、故障响应服务，建立应急保障机制，及时处置系统故障。项目验收合格后按合同约定流程申请款项，供应商须遵守各项商务条款，不得违法分包、转包，若出现违约情形，按合同相应条款承担责任。</w:t>
      </w:r>
    </w:p>
    <w:p w14:paraId="101A7915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、核心产品</w:t>
      </w:r>
    </w:p>
    <w:p w14:paraId="6179DEF8">
      <w:pPr>
        <w:pStyle w:val="7"/>
        <w:spacing w:after="0" w:line="360" w:lineRule="auto"/>
        <w:ind w:firstLine="480" w:firstLineChars="200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本项目核心产品为视频平台一体机、磁盘阵列。</w:t>
      </w:r>
    </w:p>
    <w:p w14:paraId="7C7FB4AC">
      <w:pPr>
        <w:spacing w:line="360" w:lineRule="auto"/>
        <w:ind w:firstLine="482" w:firstLineChars="200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cs="仿宋_GB2312"/>
          <w:b/>
          <w:bCs/>
          <w:color w:val="auto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  <w:lang w:eastAsia="zh-CN"/>
        </w:rPr>
        <w:t>、其他要求</w:t>
      </w:r>
    </w:p>
    <w:p w14:paraId="2BC526BA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1、采购人付清所有款项后本项目涉及的知识产权归 采购人所有，成交供应商享有署名权。</w:t>
      </w:r>
    </w:p>
    <w:p w14:paraId="2462F6F1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2、成交供应商须对本项目相关事宜负有保密义务，不得对第三方泄露本项目相关信息。由采购人提供给成交供应商的物品、资料、文件、讯息及数据等为采购人所有之财产，成交供应商除履行本合同目的之所需外，不得对任何个人、公司或其他组织及在任何场合泄露前述物品和资料。</w:t>
      </w:r>
    </w:p>
    <w:p w14:paraId="24D77D38">
      <w:pPr>
        <w:pStyle w:val="7"/>
        <w:spacing w:after="0" w:line="360" w:lineRule="auto"/>
        <w:ind w:firstLine="480" w:firstLineChars="200"/>
        <w:jc w:val="left"/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>3、成交供应商需按照项目要求完成采购并安装调试正常使用，由采购人委托人确认合格。</w:t>
      </w:r>
    </w:p>
    <w:p w14:paraId="23E28EC0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480" w:firstLineChars="200"/>
        <w:jc w:val="left"/>
        <w:textAlignment w:val="auto"/>
        <w:rPr>
          <w:rFonts w:hint="default"/>
          <w:sz w:val="28"/>
          <w:szCs w:val="1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highlight w:val="none"/>
          <w:lang w:eastAsia="zh-CN"/>
        </w:rPr>
        <w:t xml:space="preserve">4、甲乙双方自合同签订之日起，如其中任何一方无故终止合同，除赔偿对方相应损失外，还应向对方支付违约金作为赔偿，违约金按合同总金额的5%计算。   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ACF45BE"/>
    <w:rsid w:val="0B6F77E5"/>
    <w:rsid w:val="0BE77DA2"/>
    <w:rsid w:val="0D8F6154"/>
    <w:rsid w:val="0FAE5BFD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9981AA8"/>
    <w:rsid w:val="5B0842C5"/>
    <w:rsid w:val="5C036210"/>
    <w:rsid w:val="5CD53D97"/>
    <w:rsid w:val="5EAE573F"/>
    <w:rsid w:val="5F171848"/>
    <w:rsid w:val="615B30D9"/>
    <w:rsid w:val="615C33BC"/>
    <w:rsid w:val="636D3049"/>
    <w:rsid w:val="69374335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autoRedefine/>
    <w:qFormat/>
    <w:uiPriority w:val="0"/>
    <w:pPr>
      <w:ind w:firstLine="420" w:firstLineChars="200"/>
    </w:pPr>
  </w:style>
  <w:style w:type="paragraph" w:styleId="7">
    <w:name w:val="Body Text"/>
    <w:basedOn w:val="1"/>
    <w:autoRedefine/>
    <w:qFormat/>
    <w:uiPriority w:val="0"/>
    <w:pPr>
      <w:spacing w:after="120" w:afterLines="0" w:afterAutospacing="0"/>
    </w:pPr>
  </w:style>
  <w:style w:type="character" w:customStyle="1" w:styleId="10">
    <w:name w:val="标题 2 Char"/>
    <w:link w:val="3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2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4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character" w:customStyle="1" w:styleId="13">
    <w:name w:val="font11"/>
    <w:basedOn w:val="9"/>
    <w:qFormat/>
    <w:uiPriority w:val="0"/>
    <w:rPr>
      <w:rFonts w:hint="eastAsia" w:ascii="仿宋" w:hAnsi="仿宋" w:eastAsia="仿宋" w:cs="仿宋"/>
      <w:color w:val="FF0000"/>
      <w:sz w:val="18"/>
      <w:szCs w:val="18"/>
      <w:u w:val="none"/>
    </w:rPr>
  </w:style>
  <w:style w:type="character" w:customStyle="1" w:styleId="14">
    <w:name w:val="font31"/>
    <w:basedOn w:val="9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  <w:style w:type="character" w:customStyle="1" w:styleId="15">
    <w:name w:val="font51"/>
    <w:basedOn w:val="9"/>
    <w:qFormat/>
    <w:uiPriority w:val="0"/>
    <w:rPr>
      <w:rFonts w:hint="eastAsia" w:ascii="仿宋" w:hAnsi="仿宋" w:eastAsia="仿宋" w:cs="仿宋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4002</Words>
  <Characters>4805</Characters>
  <Lines>0</Lines>
  <Paragraphs>0</Paragraphs>
  <TotalTime>3</TotalTime>
  <ScaleCrop>false</ScaleCrop>
  <LinksUpToDate>false</LinksUpToDate>
  <CharactersWithSpaces>4896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2026-09-15T06:29:04Z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