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版本号：ZX2026-06-3720260701001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核心数据库风险管控系统开发服务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ZX2026-06-37</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核心数据库风险管控系统开发服务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ZX2026-06-37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核心数据库风险管控系统开发服务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本项目为核心数据库风险管控系统开发服务。具体采购需求详见磋商文件第三章。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采购包1（核心数据库风险管控系统开发服务）：属于专门面向中小企业采购。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寇老师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曹婷 王宇轩 马演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采购包1保证金金额：10,637.00元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代理服务费收费标准：参照国家计委计价格[2002]1980号及发改办价格[2003]857号通知规定，下浮20%，由成交供应商支付代理服务费。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按照磋商文件、成交供应商响应文件及合同文本执行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本项目为核心数据库风险管控系统开发服务。具体采购需求详见技术参数与性能指标。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核心数据库风险管控系统开发服务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标的名称：核心数据库风险管控系统开发服务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一、技术要求</w:t>
            </w:r>
          </w:p>
          <w:p>
            <w:pPr>
              <w:pStyle w:val="null3"/>
            </w:pPr>
            <w:r>
              <w:rPr>
                <w:rFonts w:ascii="仿宋_GB2312" w:hAnsi="仿宋_GB2312" w:cs="仿宋_GB2312" w:eastAsia="仿宋_GB2312"/>
              </w:rPr>
              <w:t>（一）全域数据安全态势可视化</w:t>
            </w:r>
          </w:p>
          <w:p>
            <w:pPr>
              <w:pStyle w:val="null3"/>
            </w:pPr>
            <w:r>
              <w:rPr>
                <w:rFonts w:ascii="仿宋_GB2312" w:hAnsi="仿宋_GB2312" w:cs="仿宋_GB2312" w:eastAsia="仿宋_GB2312"/>
              </w:rPr>
              <w:t>1、支持全域核心数据资产与运维人员可视化统计，需覆盖软件厂商、运维人员、数据库实例、数据库等核心管理对象，具备多维度数据资产画像生成能力，可动态呈现；</w:t>
            </w:r>
          </w:p>
          <w:p>
            <w:pPr>
              <w:pStyle w:val="null3"/>
            </w:pPr>
            <w:r>
              <w:rPr>
                <w:rFonts w:ascii="仿宋_GB2312" w:hAnsi="仿宋_GB2312" w:cs="仿宋_GB2312" w:eastAsia="仿宋_GB2312"/>
              </w:rPr>
              <w:t>2、具备全链路人员操作风险态势感知与量化分析能力，支持按操作风险等级进行多维占比统计，实现数据库操作主体、操作行为、风险等级的全景透视与实时监控，支持风险操作轨迹回溯；</w:t>
            </w:r>
          </w:p>
          <w:p>
            <w:pPr>
              <w:pStyle w:val="null3"/>
            </w:pPr>
            <w:r>
              <w:rPr>
                <w:rFonts w:ascii="仿宋_GB2312" w:hAnsi="仿宋_GB2312" w:cs="仿宋_GB2312" w:eastAsia="仿宋_GB2312"/>
              </w:rPr>
              <w:t>3、支持全域审核日志智能分类统计与溯源分析，可对风险操作行为审核、数据分享流转审核、数据导出行为审核等，实现精细化分类统计。具备审核记录全生命周期追溯能力，可提供多维度筛选与可视化报表生成功能。</w:t>
            </w:r>
          </w:p>
          <w:p>
            <w:pPr>
              <w:pStyle w:val="null3"/>
            </w:pPr>
            <w:r>
              <w:rPr>
                <w:rFonts w:ascii="仿宋_GB2312" w:hAnsi="仿宋_GB2312" w:cs="仿宋_GB2312" w:eastAsia="仿宋_GB2312"/>
              </w:rPr>
              <w:t>（二）数据运维</w:t>
            </w:r>
          </w:p>
          <w:p>
            <w:pPr>
              <w:pStyle w:val="null3"/>
            </w:pPr>
            <w:r>
              <w:rPr>
                <w:rFonts w:ascii="仿宋_GB2312" w:hAnsi="仿宋_GB2312" w:cs="仿宋_GB2312" w:eastAsia="仿宋_GB2312"/>
              </w:rPr>
              <w:t>1、兼容多模态数据库生态架构，SQL编制与执行流程中，内置智能语法解析引擎，具备动态语义补全能力（含表结构、字段元数据、SQL关键字联想）；支持关键字及符号层级高亮渲染；集成SQL标准化格式化模块，实现语法结构自动优化；支持自定义快捷指令集（如｀sf=select*from）；提供执行计划图形化引擎，精准定位SQL语法异常及性能瓶颈节点；支持存储过程与函数开发调试环境（兼容PL/SQL规范）；具备可视化数据实时编辑能力（等效SELECTFORUPDATE语义）；支持历史查询会话回溯调用。支持默认无锁执行指令。</w:t>
            </w:r>
          </w:p>
          <w:p>
            <w:pPr>
              <w:pStyle w:val="null3"/>
            </w:pPr>
            <w:r>
              <w:rPr>
                <w:rFonts w:ascii="仿宋_GB2312" w:hAnsi="仿宋_GB2312" w:cs="仿宋_GB2312" w:eastAsia="仿宋_GB2312"/>
              </w:rPr>
              <w:t>2、支持多数据库长连接会话管理，在会话连接期间未删除的数据库临时表可多次访问，允许单查询任务或Tab页签独立切换认证主体，实现无感知会话重定向，无需重新发起身份校验。</w:t>
            </w:r>
          </w:p>
          <w:p>
            <w:pPr>
              <w:pStyle w:val="null3"/>
            </w:pPr>
            <w:r>
              <w:rPr>
                <w:rFonts w:ascii="仿宋_GB2312" w:hAnsi="仿宋_GB2312" w:cs="仿宋_GB2312" w:eastAsia="仿宋_GB2312"/>
              </w:rPr>
              <w:t>【提供演示】3、支持操作上下文持久化，即SQL操作Tab页签未关闭状态下退出系统，下次身份认证通过后，原Tab页签内脚本内容保持会话一致性。</w:t>
            </w:r>
          </w:p>
          <w:p>
            <w:pPr>
              <w:pStyle w:val="null3"/>
            </w:pPr>
            <w:r>
              <w:rPr>
                <w:rFonts w:ascii="仿宋_GB2312" w:hAnsi="仿宋_GB2312" w:cs="仿宋_GB2312" w:eastAsia="仿宋_GB2312"/>
              </w:rPr>
              <w:t>▲4、内置SQL风险行为拦截机制，实现风险识别、按风险程度进行多级预警。</w:t>
            </w:r>
          </w:p>
          <w:p>
            <w:pPr>
              <w:pStyle w:val="null3"/>
            </w:pPr>
            <w:r>
              <w:rPr>
                <w:rFonts w:ascii="仿宋_GB2312" w:hAnsi="仿宋_GB2312" w:cs="仿宋_GB2312" w:eastAsia="仿宋_GB2312"/>
              </w:rPr>
              <w:t>【提供演示】5、支持数据库对象（如存储过程、视图、表）及数据变更内容备份全流程管控，保障核心数据资产安全。</w:t>
            </w:r>
          </w:p>
          <w:p>
            <w:pPr>
              <w:pStyle w:val="null3"/>
            </w:pPr>
            <w:r>
              <w:rPr>
                <w:rFonts w:ascii="仿宋_GB2312" w:hAnsi="仿宋_GB2312" w:cs="仿宋_GB2312" w:eastAsia="仿宋_GB2312"/>
              </w:rPr>
              <w:t>▲6、具备表对象列表中的名称按中英文显示，查询结果集字段中英文元数据映射转换能力。</w:t>
            </w:r>
          </w:p>
          <w:p>
            <w:pPr>
              <w:pStyle w:val="null3"/>
            </w:pPr>
            <w:r>
              <w:rPr>
                <w:rFonts w:ascii="仿宋_GB2312" w:hAnsi="仿宋_GB2312" w:cs="仿宋_GB2312" w:eastAsia="仿宋_GB2312"/>
              </w:rPr>
              <w:t>【提供演示】7、支持查询结果集动态水印嵌入，水印信息包含操作用户标识、时间戳等溯源要素。</w:t>
            </w:r>
          </w:p>
          <w:p>
            <w:pPr>
              <w:pStyle w:val="null3"/>
            </w:pPr>
            <w:r>
              <w:rPr>
                <w:rFonts w:ascii="仿宋_GB2312" w:hAnsi="仿宋_GB2312" w:cs="仿宋_GB2312" w:eastAsia="仿宋_GB2312"/>
              </w:rPr>
              <w:t>8、内置函数库及丰富的标准化操作代码模板库，支持按需调用与扩展。</w:t>
            </w:r>
          </w:p>
          <w:p>
            <w:pPr>
              <w:pStyle w:val="null3"/>
            </w:pPr>
            <w:r>
              <w:rPr>
                <w:rFonts w:ascii="仿宋_GB2312" w:hAnsi="仿宋_GB2312" w:cs="仿宋_GB2312" w:eastAsia="仿宋_GB2312"/>
              </w:rPr>
              <w:t>▲9、具备存储过程版本溯源能力，支持历史版本快照管理及多版本差异对比功能。</w:t>
            </w:r>
          </w:p>
          <w:p>
            <w:pPr>
              <w:pStyle w:val="null3"/>
            </w:pPr>
            <w:r>
              <w:rPr>
                <w:rFonts w:ascii="仿宋_GB2312" w:hAnsi="仿宋_GB2312" w:cs="仿宋_GB2312" w:eastAsia="仿宋_GB2312"/>
              </w:rPr>
              <w:t>▲10、具备查询结果集敏感数据动态脱敏引擎，支持按策略实施数据掩码处理。</w:t>
            </w:r>
          </w:p>
          <w:p>
            <w:pPr>
              <w:pStyle w:val="null3"/>
            </w:pPr>
            <w:r>
              <w:rPr>
                <w:rFonts w:ascii="仿宋_GB2312" w:hAnsi="仿宋_GB2312" w:cs="仿宋_GB2312" w:eastAsia="仿宋_GB2312"/>
              </w:rPr>
              <w:t>11、支持大流量SQL查询任务的并行计算及对运算结果的聚合输出，同时在并行执行的过程中具备实时进度可视化。</w:t>
            </w:r>
          </w:p>
          <w:p>
            <w:pPr>
              <w:pStyle w:val="null3"/>
            </w:pPr>
            <w:r>
              <w:rPr>
                <w:rFonts w:ascii="仿宋_GB2312" w:hAnsi="仿宋_GB2312" w:cs="仿宋_GB2312" w:eastAsia="仿宋_GB2312"/>
              </w:rPr>
              <w:t>12、具备脚本资产收藏与生命周期管理功能，支持新增、调阅、修订收藏脚本，并实现权限化分享机制。</w:t>
            </w:r>
          </w:p>
          <w:p>
            <w:pPr>
              <w:pStyle w:val="null3"/>
            </w:pPr>
            <w:r>
              <w:rPr>
                <w:rFonts w:ascii="仿宋_GB2312" w:hAnsi="仿宋_GB2312" w:cs="仿宋_GB2312" w:eastAsia="仿宋_GB2312"/>
              </w:rPr>
              <w:t>【提供演示】13、具备查询结果在线安全共享通道，实现数据资源快速授权访问。</w:t>
            </w:r>
          </w:p>
          <w:p>
            <w:pPr>
              <w:pStyle w:val="null3"/>
            </w:pPr>
            <w:r>
              <w:rPr>
                <w:rFonts w:ascii="仿宋_GB2312" w:hAnsi="仿宋_GB2312" w:cs="仿宋_GB2312" w:eastAsia="仿宋_GB2312"/>
              </w:rPr>
              <w:t>14、具备完整的审核流程日志归档能力，包含目标数据源标识、审核节点状态、风险等级评估等核心要素。</w:t>
            </w:r>
          </w:p>
          <w:p>
            <w:pPr>
              <w:pStyle w:val="null3"/>
            </w:pPr>
            <w:r>
              <w:rPr>
                <w:rFonts w:ascii="仿宋_GB2312" w:hAnsi="仿宋_GB2312" w:cs="仿宋_GB2312" w:eastAsia="仿宋_GB2312"/>
              </w:rPr>
              <w:t>（三）标准化元数据字典体系</w:t>
            </w:r>
          </w:p>
          <w:p>
            <w:pPr>
              <w:pStyle w:val="null3"/>
            </w:pPr>
            <w:r>
              <w:rPr>
                <w:rFonts w:ascii="仿宋_GB2312" w:hAnsi="仿宋_GB2312" w:cs="仿宋_GB2312" w:eastAsia="仿宋_GB2312"/>
              </w:rPr>
              <w:t>▲1、支持标准化元数据字典体系构建，实现元数据字典内容的结构化定义与规范化治理。数据库字典需覆盖技术属性、通用业务属性、个性业务属性三大维度全量信息。</w:t>
            </w:r>
          </w:p>
          <w:p>
            <w:pPr>
              <w:pStyle w:val="null3"/>
            </w:pPr>
            <w:r>
              <w:rPr>
                <w:rFonts w:ascii="仿宋_GB2312" w:hAnsi="仿宋_GB2312" w:cs="仿宋_GB2312" w:eastAsia="仿宋_GB2312"/>
              </w:rPr>
              <w:t>2、支持基于ER图（实体关系图）的可视化建模引擎，具备拖拽式表间关联配置能力，可实现关联类型（一对一、一对多、多对多），并提供关联关系的拓扑图展示功能，提升数据架构管理的直观性与运维效率。</w:t>
            </w:r>
          </w:p>
          <w:p>
            <w:pPr>
              <w:pStyle w:val="null3"/>
            </w:pPr>
            <w:r>
              <w:rPr>
                <w:rFonts w:ascii="仿宋_GB2312" w:hAnsi="仿宋_GB2312" w:cs="仿宋_GB2312" w:eastAsia="仿宋_GB2312"/>
              </w:rPr>
              <w:t>【提供演示】3、支持元数据字典多语言映射管理，支持中文语义映射配置，可实现字段级、表级的中文别名、业务含义说明、注释信息的维护，支持映射关系的批量导入导出及冲突检测机制，确保查询与管理场景下的语义一致性展示。</w:t>
            </w:r>
          </w:p>
          <w:p>
            <w:pPr>
              <w:pStyle w:val="null3"/>
            </w:pPr>
            <w:r>
              <w:rPr>
                <w:rFonts w:ascii="仿宋_GB2312" w:hAnsi="仿宋_GB2312" w:cs="仿宋_GB2312" w:eastAsia="仿宋_GB2312"/>
              </w:rPr>
              <w:t>4、支持动态脱敏，基于角色、场景、数据级别多维脱敏策略配置，提供标准化脱敏模板库，至少包含：姓名（首字留位+*掩码）、地址（省市区留位+详细信息脱敏）、电话（前3后4位留位+中间*掩码）、邮箱（用户名首字符+@域名保留）、身份证号（前6后4位留位+中间*掩码）等场景化脱敏规则，同时支持自定义脱敏算法接入（如SHA-256哈希、可逆加密等）。</w:t>
            </w:r>
          </w:p>
          <w:p>
            <w:pPr>
              <w:pStyle w:val="null3"/>
            </w:pPr>
            <w:r>
              <w:rPr>
                <w:rFonts w:ascii="仿宋_GB2312" w:hAnsi="仿宋_GB2312" w:cs="仿宋_GB2312" w:eastAsia="仿宋_GB2312"/>
              </w:rPr>
              <w:t>5、具备多级数据字典目录体系构建能力，支持基于业务架构的字典分类归属管理，可实现目录节点的无限层级扩展、权限精细化控制（查看/编辑/配置权限）及目录关联关系可视化展示。</w:t>
            </w:r>
          </w:p>
          <w:p>
            <w:pPr>
              <w:pStyle w:val="null3"/>
            </w:pPr>
            <w:r>
              <w:rPr>
                <w:rFonts w:ascii="仿宋_GB2312" w:hAnsi="仿宋_GB2312" w:cs="仿宋_GB2312" w:eastAsia="仿宋_GB2312"/>
              </w:rPr>
              <w:t>（四）数据操作行为风险控制</w:t>
            </w:r>
          </w:p>
          <w:p>
            <w:pPr>
              <w:pStyle w:val="null3"/>
            </w:pPr>
            <w:r>
              <w:rPr>
                <w:rFonts w:ascii="仿宋_GB2312" w:hAnsi="仿宋_GB2312" w:cs="仿宋_GB2312" w:eastAsia="仿宋_GB2312"/>
              </w:rPr>
              <w:t>1、支持数据流转全场景审核类别覆盖，至少包含：SQL高危风险审核、跨域数据分享合规审核、敏感数据导出脱敏审核等核心场景；审核台账需实现全要素追溯，至少包含：目标数据资产池/实例、申请主体、申请发起时间戳、审核节点状态、系统定级风险等级、申请事由说明、关联审批流程ID、操作终端信息等关键字段，支持申请记录溯源追踪。</w:t>
            </w:r>
          </w:p>
          <w:p>
            <w:pPr>
              <w:pStyle w:val="null3"/>
            </w:pPr>
            <w:r>
              <w:rPr>
                <w:rFonts w:ascii="仿宋_GB2312" w:hAnsi="仿宋_GB2312" w:cs="仿宋_GB2312" w:eastAsia="仿宋_GB2312"/>
              </w:rPr>
              <w:t>【提供演示】2、系统须具备可视化审批流程自定义配置能力，支持基于组织架构、角色权限、特定数据源的柔性审批规则设定；支持任意层级审批节点编排，实现审批流程与业务场景的深度耦合。</w:t>
            </w:r>
          </w:p>
          <w:p>
            <w:pPr>
              <w:pStyle w:val="null3"/>
            </w:pPr>
            <w:r>
              <w:rPr>
                <w:rFonts w:ascii="仿宋_GB2312" w:hAnsi="仿宋_GB2312" w:cs="仿宋_GB2312" w:eastAsia="仿宋_GB2312"/>
              </w:rPr>
              <w:t>3、支持按数据资产实例、资产重要等级、风险类型（SQL风险/导出风险/分享风险等）、风险发生频次进行多维度聚合统计；支持按操作账号、角色权限、部门归属、操作行为类型、违规操作次数、风险累积值进行用户风险画像统计；查询条件需支持数据资产层级（实例/库/表/字段）、时间维度（年/月/日/小时）、风险等级、审核结果等多条件组合筛选，支持统计结果多形式可视化展示（报表/图表/仪表盘）。</w:t>
            </w:r>
          </w:p>
          <w:p>
            <w:pPr>
              <w:pStyle w:val="null3"/>
            </w:pPr>
            <w:r>
              <w:rPr>
                <w:rFonts w:ascii="仿宋_GB2312" w:hAnsi="仿宋_GB2312" w:cs="仿宋_GB2312" w:eastAsia="仿宋_GB2312"/>
              </w:rPr>
              <w:t>（五）基线管理</w:t>
            </w:r>
          </w:p>
          <w:p>
            <w:pPr>
              <w:pStyle w:val="null3"/>
            </w:pPr>
            <w:r>
              <w:rPr>
                <w:rFonts w:ascii="仿宋_GB2312" w:hAnsi="仿宋_GB2312" w:cs="仿宋_GB2312" w:eastAsia="仿宋_GB2312"/>
              </w:rPr>
              <w:t>1、支持对目标数据库实例内全量核心对象（含表结构元数据、索引、视图、函数、同义词、存储过程代码块、触发器执行逻辑、程序包等）进行基线画像构建，同时实现核心字典类/参数类数据表中的数据基线配置，确保基线数据的完整性。</w:t>
            </w:r>
          </w:p>
          <w:p>
            <w:pPr>
              <w:pStyle w:val="null3"/>
            </w:pPr>
            <w:r>
              <w:rPr>
                <w:rFonts w:ascii="仿宋_GB2312" w:hAnsi="仿宋_GB2312" w:cs="仿宋_GB2312" w:eastAsia="仿宋_GB2312"/>
              </w:rPr>
              <w:t>【提供演示】2、具备基线版本管理能力，支持多版本基线间横向差异比对、基线与生产库实时快照纵向比对，可通过语义化分析引擎识别结构差异、数据差异及逻辑差异，生成可视化差异矩阵报告，实现基线生命周期的闭环管理。</w:t>
            </w:r>
          </w:p>
          <w:p>
            <w:pPr>
              <w:pStyle w:val="null3"/>
            </w:pPr>
            <w:r>
              <w:rPr>
                <w:rFonts w:ascii="仿宋_GB2312" w:hAnsi="仿宋_GB2312" w:cs="仿宋_GB2312" w:eastAsia="仿宋_GB2312"/>
              </w:rPr>
              <w:t>【提供演示】3、支持对历史基线版本进行逻辑层及字典数据层的逆向解析，提供数据库快速修复能力。</w:t>
            </w:r>
          </w:p>
          <w:p>
            <w:pPr>
              <w:pStyle w:val="null3"/>
            </w:pPr>
            <w:r>
              <w:rPr>
                <w:rFonts w:ascii="仿宋_GB2312" w:hAnsi="仿宋_GB2312" w:cs="仿宋_GB2312" w:eastAsia="仿宋_GB2312"/>
              </w:rPr>
              <w:t>▲4、支持通过数据库实例、Schema空间、操作时间戳等多维度检索条件组合，实现对数据库对象（表、索引、函数、视图、触发器、同义词、存储过程等）变更内容的穿透式查询。可自动聚合变更操作类型、操作时间及操作账号等关键信息。</w:t>
            </w:r>
          </w:p>
          <w:p>
            <w:pPr>
              <w:pStyle w:val="null3"/>
            </w:pPr>
            <w:r>
              <w:rPr>
                <w:rFonts w:ascii="仿宋_GB2312" w:hAnsi="仿宋_GB2312" w:cs="仿宋_GB2312" w:eastAsia="仿宋_GB2312"/>
              </w:rPr>
              <w:t>（六）多维数据洞察</w:t>
            </w:r>
          </w:p>
          <w:p>
            <w:pPr>
              <w:pStyle w:val="null3"/>
            </w:pPr>
            <w:r>
              <w:rPr>
                <w:rFonts w:ascii="仿宋_GB2312" w:hAnsi="仿宋_GB2312" w:cs="仿宋_GB2312" w:eastAsia="仿宋_GB2312"/>
              </w:rPr>
              <w:t>1、可基于业务域划分、系统拓扑架构等自定义分类维度进行层级化目录结构搭建。分类体系具备动态扩展能力，支持分类节点的增删改查及属性配置，通过分类索引机制实现主题资源定位与检索。</w:t>
            </w:r>
          </w:p>
          <w:p>
            <w:pPr>
              <w:pStyle w:val="null3"/>
            </w:pPr>
            <w:r>
              <w:rPr>
                <w:rFonts w:ascii="仿宋_GB2312" w:hAnsi="仿宋_GB2312" w:cs="仿宋_GB2312" w:eastAsia="仿宋_GB2312"/>
              </w:rPr>
              <w:t>【提供演示】2、支持跨服务器/跨数据库的联查配置。提供单表映射模式与自定义脚本编排模式双模式数据查询范式，支持查询参数的可视化配置，包含文本输入组件、下拉选择组件、日期时间选择组件等交互控件。其中下拉选择组件支持静态枚举数据集、数据表关联映射、自定义脚本动态加载三种数据填充方式；支持存储过程的参数配置、语法校验、一键执行及结果可视化展示。</w:t>
            </w:r>
          </w:p>
          <w:p>
            <w:pPr>
              <w:pStyle w:val="null3"/>
            </w:pPr>
            <w:r>
              <w:rPr>
                <w:rFonts w:ascii="仿宋_GB2312" w:hAnsi="仿宋_GB2312" w:cs="仿宋_GB2312" w:eastAsia="仿宋_GB2312"/>
              </w:rPr>
              <w:t>3、支持联查配置快照生成与模板化复用，快速生成包含完整配置信息的副本。副本，支持增量配置调整，可对查询逻辑、参数组件、权限策略等进行局部修改。</w:t>
            </w:r>
          </w:p>
          <w:p>
            <w:pPr>
              <w:pStyle w:val="null3"/>
            </w:pPr>
            <w:r>
              <w:rPr>
                <w:rFonts w:ascii="仿宋_GB2312" w:hAnsi="仿宋_GB2312" w:cs="仿宋_GB2312" w:eastAsia="仿宋_GB2312"/>
              </w:rPr>
              <w:t>【提供演示】4、支持跨域/跨服务器/跨数据库全业务域（如HIS、CIS、EMR、LIS、PACS等）的可视化数据链路展示。</w:t>
            </w:r>
          </w:p>
          <w:p>
            <w:pPr>
              <w:pStyle w:val="null3"/>
            </w:pPr>
            <w:r>
              <w:rPr>
                <w:rFonts w:ascii="仿宋_GB2312" w:hAnsi="仿宋_GB2312" w:cs="仿宋_GB2312" w:eastAsia="仿宋_GB2312"/>
              </w:rPr>
              <w:t>5、支持为业务人员分配细粒度联查操作权限，权限项包含新增、删除、执行、配置管理、分类体系维护等。实现科室级数据域隔离，各业务科室可独立管理所属资源，配置与执行结果相互隔离，保障资源的安全性与独立性。</w:t>
            </w:r>
          </w:p>
          <w:p>
            <w:pPr>
              <w:pStyle w:val="null3"/>
            </w:pPr>
            <w:r>
              <w:rPr>
                <w:rFonts w:ascii="仿宋_GB2312" w:hAnsi="仿宋_GB2312" w:cs="仿宋_GB2312" w:eastAsia="仿宋_GB2312"/>
              </w:rPr>
              <w:t>（七）性能运维</w:t>
            </w:r>
          </w:p>
          <w:p>
            <w:pPr>
              <w:pStyle w:val="null3"/>
            </w:pPr>
            <w:r>
              <w:rPr>
                <w:rFonts w:ascii="仿宋_GB2312" w:hAnsi="仿宋_GB2312" w:cs="仿宋_GB2312" w:eastAsia="仿宋_GB2312"/>
              </w:rPr>
              <w:t>▲1、支持当前锁进程查看，支持手工刷新和自动刷新，支持自动告警，系统自动判断锁源头，支持对根节点锁源头进行查杀，对导致锁的脚本和锁的资源一并快照存储。</w:t>
            </w:r>
          </w:p>
          <w:p>
            <w:pPr>
              <w:pStyle w:val="null3"/>
            </w:pPr>
            <w:r>
              <w:rPr>
                <w:rFonts w:ascii="仿宋_GB2312" w:hAnsi="仿宋_GB2312" w:cs="仿宋_GB2312" w:eastAsia="仿宋_GB2312"/>
              </w:rPr>
              <w:t>2、支持一键批量杀锁源功能。</w:t>
            </w:r>
          </w:p>
          <w:p>
            <w:pPr>
              <w:pStyle w:val="null3"/>
            </w:pPr>
            <w:r>
              <w:rPr>
                <w:rFonts w:ascii="仿宋_GB2312" w:hAnsi="仿宋_GB2312" w:cs="仿宋_GB2312" w:eastAsia="仿宋_GB2312"/>
              </w:rPr>
              <w:t>3、可支持历史查杀锁的记录查询，可查看导致锁的脚本和锁的资源。</w:t>
            </w:r>
          </w:p>
          <w:p>
            <w:pPr>
              <w:pStyle w:val="null3"/>
            </w:pPr>
            <w:r>
              <w:rPr>
                <w:rFonts w:ascii="仿宋_GB2312" w:hAnsi="仿宋_GB2312" w:cs="仿宋_GB2312" w:eastAsia="仿宋_GB2312"/>
              </w:rPr>
              <w:t>（八）规范管理</w:t>
            </w:r>
          </w:p>
          <w:p>
            <w:pPr>
              <w:pStyle w:val="null3"/>
            </w:pPr>
            <w:r>
              <w:rPr>
                <w:rFonts w:ascii="仿宋_GB2312" w:hAnsi="仿宋_GB2312" w:cs="仿宋_GB2312" w:eastAsia="仿宋_GB2312"/>
              </w:rPr>
              <w:t>1、数据源管理：可管理SQLServer、Oracle、MySQL等多种数据源接入，可进行实例信息的查看、录入、编辑，对实例、库、表按照厂家、业务进行分类归属管理，基于可视化能力支持快速查找数据源类目。</w:t>
            </w:r>
          </w:p>
          <w:p>
            <w:pPr>
              <w:pStyle w:val="null3"/>
            </w:pPr>
            <w:r>
              <w:rPr>
                <w:rFonts w:ascii="仿宋_GB2312" w:hAnsi="仿宋_GB2312" w:cs="仿宋_GB2312" w:eastAsia="仿宋_GB2312"/>
              </w:rPr>
              <w:t>2、用户管理：管理所有操作数据库人员的信息，账号基本属性如：账号、姓名、性别、手机号、部门等信息，也可支持工程师自主注册，管理人员进行审核。</w:t>
            </w:r>
          </w:p>
          <w:p>
            <w:pPr>
              <w:pStyle w:val="null3"/>
            </w:pPr>
            <w:r>
              <w:rPr>
                <w:rFonts w:ascii="仿宋_GB2312" w:hAnsi="仿宋_GB2312" w:cs="仿宋_GB2312" w:eastAsia="仿宋_GB2312"/>
              </w:rPr>
              <w:t>3、数据源权限管理：对实例进行授权、移除权限、复制权限等管理操作。</w:t>
            </w:r>
          </w:p>
          <w:p>
            <w:pPr>
              <w:pStyle w:val="null3"/>
            </w:pPr>
            <w:r>
              <w:rPr>
                <w:rFonts w:ascii="仿宋_GB2312" w:hAnsi="仿宋_GB2312" w:cs="仿宋_GB2312" w:eastAsia="仿宋_GB2312"/>
              </w:rPr>
              <w:t>▲4、工具管控：支持对数据库的访问工具进行限制，特殊情况下可开启白名单配置，支持应用名、登录账号、主机名、IP4个维度管理。</w:t>
            </w:r>
          </w:p>
          <w:p>
            <w:pPr>
              <w:pStyle w:val="null3"/>
            </w:pPr>
            <w:r>
              <w:rPr>
                <w:rFonts w:ascii="仿宋_GB2312" w:hAnsi="仿宋_GB2312" w:cs="仿宋_GB2312" w:eastAsia="仿宋_GB2312"/>
              </w:rPr>
              <w:t>5、执行记录查看：所有人员对操作数据库的所有人的操作进行管控，所有执行的SQL语句全量存储，可追溯到人。</w:t>
            </w:r>
          </w:p>
          <w:p>
            <w:pPr>
              <w:pStyle w:val="null3"/>
            </w:pPr>
            <w:r>
              <w:rPr>
                <w:rFonts w:ascii="仿宋_GB2312" w:hAnsi="仿宋_GB2312" w:cs="仿宋_GB2312" w:eastAsia="仿宋_GB2312"/>
              </w:rPr>
              <w:t>（九）消息管理</w:t>
            </w:r>
          </w:p>
          <w:p>
            <w:pPr>
              <w:pStyle w:val="null3"/>
            </w:pPr>
            <w:r>
              <w:rPr>
                <w:rFonts w:ascii="仿宋_GB2312" w:hAnsi="仿宋_GB2312" w:cs="仿宋_GB2312" w:eastAsia="仿宋_GB2312"/>
              </w:rPr>
              <w:t>1、支持消息提醒、列表查看功能。</w:t>
            </w:r>
          </w:p>
          <w:p>
            <w:pPr>
              <w:pStyle w:val="null3"/>
            </w:pPr>
            <w:r>
              <w:rPr>
                <w:rFonts w:ascii="仿宋_GB2312" w:hAnsi="仿宋_GB2312" w:cs="仿宋_GB2312" w:eastAsia="仿宋_GB2312"/>
              </w:rPr>
              <w:t>2、支持通过消息内容跳转至操作执行界面功能。</w:t>
            </w:r>
          </w:p>
          <w:p>
            <w:pPr>
              <w:pStyle w:val="null3"/>
            </w:pPr>
            <w:r>
              <w:rPr>
                <w:rFonts w:ascii="仿宋_GB2312" w:hAnsi="仿宋_GB2312" w:cs="仿宋_GB2312" w:eastAsia="仿宋_GB2312"/>
              </w:rPr>
              <w:t>（十）系统管理</w:t>
            </w:r>
          </w:p>
          <w:p>
            <w:pPr>
              <w:pStyle w:val="null3"/>
            </w:pPr>
            <w:r>
              <w:rPr>
                <w:rFonts w:ascii="仿宋_GB2312" w:hAnsi="仿宋_GB2312" w:cs="仿宋_GB2312" w:eastAsia="仿宋_GB2312"/>
              </w:rPr>
              <w:t>1、角色管理：管理员可以为各个角色设置不同的权限，自定义角色的名称、功能模块的使用及管理权限。</w:t>
            </w:r>
          </w:p>
          <w:p>
            <w:pPr>
              <w:pStyle w:val="null3"/>
            </w:pPr>
            <w:r>
              <w:rPr>
                <w:rFonts w:ascii="仿宋_GB2312" w:hAnsi="仿宋_GB2312" w:cs="仿宋_GB2312" w:eastAsia="仿宋_GB2312"/>
              </w:rPr>
              <w:t>2、菜单管理：可添加、修改或删除菜单项。</w:t>
            </w:r>
          </w:p>
          <w:p>
            <w:pPr>
              <w:pStyle w:val="null3"/>
            </w:pPr>
            <w:r>
              <w:rPr>
                <w:rFonts w:ascii="仿宋_GB2312" w:hAnsi="仿宋_GB2312" w:cs="仿宋_GB2312" w:eastAsia="仿宋_GB2312"/>
              </w:rPr>
              <w:t>3、常用脚本维护：以满足查询分析器中常用脚本的使用。</w:t>
            </w:r>
          </w:p>
          <w:p>
            <w:pPr>
              <w:pStyle w:val="null3"/>
            </w:pPr>
            <w:r>
              <w:rPr>
                <w:rFonts w:ascii="仿宋_GB2312" w:hAnsi="仿宋_GB2312" w:cs="仿宋_GB2312" w:eastAsia="仿宋_GB2312"/>
              </w:rPr>
              <w:t>▲4、支持禁止重复登录功能配置。</w:t>
            </w:r>
          </w:p>
          <w:p>
            <w:pPr>
              <w:pStyle w:val="null3"/>
            </w:pPr>
            <w:r>
              <w:rPr>
                <w:rFonts w:ascii="仿宋_GB2312" w:hAnsi="仿宋_GB2312" w:cs="仿宋_GB2312" w:eastAsia="仿宋_GB2312"/>
              </w:rPr>
              <w:t>5、支持启用安全等级保护设置，包括允许登录失败的次数、非法登录锁定时间、密码有效天数，过期后强制要求更新、审计日志保留天数等。</w:t>
            </w:r>
          </w:p>
          <w:p>
            <w:pPr>
              <w:pStyle w:val="null3"/>
            </w:pPr>
            <w:r>
              <w:rPr>
                <w:rFonts w:ascii="仿宋_GB2312" w:hAnsi="仿宋_GB2312" w:cs="仿宋_GB2312" w:eastAsia="仿宋_GB2312"/>
              </w:rPr>
              <w:t>备注：1.系统采用B/S架构。</w:t>
            </w:r>
          </w:p>
          <w:p>
            <w:pPr>
              <w:pStyle w:val="null3"/>
            </w:pPr>
            <w:r>
              <w:rPr>
                <w:rFonts w:ascii="仿宋_GB2312" w:hAnsi="仿宋_GB2312" w:cs="仿宋_GB2312" w:eastAsia="仿宋_GB2312"/>
              </w:rPr>
              <w:t>2.供应商所提供产品的软件功能相关证明材料，均须为现有软件系统的真实功能。供应商中标后，采购人可对中标人的应用软件系统和相关证明材料作比对，若发现不一致，采购人上报相关部门，并依据有关法律法规做后续处理。</w:t>
            </w:r>
          </w:p>
          <w:p>
            <w:pPr>
              <w:pStyle w:val="null3"/>
            </w:pPr>
            <w:r>
              <w:rPr>
                <w:rFonts w:ascii="仿宋_GB2312" w:hAnsi="仿宋_GB2312" w:cs="仿宋_GB2312" w:eastAsia="仿宋_GB2312"/>
              </w:rPr>
              <w:t>二、实施要求</w:t>
            </w:r>
          </w:p>
          <w:p>
            <w:pPr>
              <w:pStyle w:val="null3"/>
            </w:pPr>
            <w:r>
              <w:rPr>
                <w:rFonts w:ascii="仿宋_GB2312" w:hAnsi="仿宋_GB2312" w:cs="仿宋_GB2312" w:eastAsia="仿宋_GB2312"/>
              </w:rPr>
              <w:t>1、实施要求：本项目所有技术指标中未提及但系统部署实施必需的软件配置、接口适配、数据迁移、调试等内容，相关费用全部包含在本次采购范围内，采购人不再追加任何经费；</w:t>
            </w:r>
          </w:p>
          <w:p>
            <w:pPr>
              <w:pStyle w:val="null3"/>
            </w:pPr>
            <w:r>
              <w:rPr>
                <w:rFonts w:ascii="仿宋_GB2312" w:hAnsi="仿宋_GB2312" w:cs="仿宋_GB2312" w:eastAsia="仿宋_GB2312"/>
              </w:rPr>
              <w:t>2、实施范围：本项目所有采购内容，需覆盖西北妇女儿童医院采购方同一法人下的所有院区中所有涉及的业务科室，并且不限制终端使用数量；</w:t>
            </w:r>
          </w:p>
          <w:p>
            <w:pPr>
              <w:pStyle w:val="null3"/>
            </w:pPr>
            <w:r>
              <w:rPr>
                <w:rFonts w:ascii="仿宋_GB2312" w:hAnsi="仿宋_GB2312" w:cs="仿宋_GB2312" w:eastAsia="仿宋_GB2312"/>
              </w:rPr>
              <w:t>3、实施方案：合同签订后，供应商需现场详细调研，根据调研报告出具包含但不限于施工计划、倒排工期的工作任务分解计划等内容的实施方案以及各类数据库接入、信息科及所用应用厂商工程师培训方案；</w:t>
            </w:r>
          </w:p>
          <w:p>
            <w:pPr>
              <w:pStyle w:val="null3"/>
            </w:pPr>
            <w:r>
              <w:rPr>
                <w:rFonts w:ascii="仿宋_GB2312" w:hAnsi="仿宋_GB2312" w:cs="仿宋_GB2312" w:eastAsia="仿宋_GB2312"/>
              </w:rPr>
              <w:t>4、交付内容：核心数据库风险管控系统、产品开发、产品部署、调试、升级与基础数据维护、全院在用核心数据库接入、全院数据库模型整理维护；</w:t>
            </w:r>
          </w:p>
          <w:p>
            <w:pPr>
              <w:pStyle w:val="null3"/>
            </w:pPr>
            <w:r>
              <w:rPr>
                <w:rFonts w:ascii="仿宋_GB2312" w:hAnsi="仿宋_GB2312" w:cs="仿宋_GB2312" w:eastAsia="仿宋_GB2312"/>
              </w:rPr>
              <w:t>三、质保与服务要求</w:t>
            </w:r>
          </w:p>
          <w:p>
            <w:pPr>
              <w:pStyle w:val="null3"/>
            </w:pPr>
            <w:r>
              <w:rPr>
                <w:rFonts w:ascii="仿宋_GB2312" w:hAnsi="仿宋_GB2312" w:cs="仿宋_GB2312" w:eastAsia="仿宋_GB2312"/>
              </w:rPr>
              <w:t>1.质保期：自项目终验合格之日起，所投软件产品提供不少于3年原厂质保及版本升级维护服务；</w:t>
            </w:r>
          </w:p>
          <w:p>
            <w:pPr>
              <w:pStyle w:val="null3"/>
            </w:pPr>
            <w:r>
              <w:rPr>
                <w:rFonts w:ascii="仿宋_GB2312" w:hAnsi="仿宋_GB2312" w:cs="仿宋_GB2312" w:eastAsia="仿宋_GB2312"/>
              </w:rPr>
              <w:t>2.供应商在系统质保期内提供7×24小时远程及电话支持，解决院方在系统使用、维护过程中遇到的问题，及时提出解决问题的建议和操作方法。对影响系统运行的紧急故障提供7*24全天候响应，30分钟电话响应；重大故障4小时内提供解决方案或抵达现场服务。如因不可抗力因素不能在规定时间内到达的，双方另行商定。</w:t>
            </w:r>
          </w:p>
          <w:p>
            <w:pPr>
              <w:pStyle w:val="null3"/>
            </w:pPr>
            <w:r>
              <w:rPr>
                <w:rFonts w:ascii="仿宋_GB2312" w:hAnsi="仿宋_GB2312" w:cs="仿宋_GB2312" w:eastAsia="仿宋_GB2312"/>
              </w:rPr>
              <w:t>3.须在质保期内提供最新版本升级，包括但不限于数据库层面、应用层面的多种安全技术和安全策略，提供安全权限控制、日志审计、关键数据加密、防攻击等功能，能够被目前的主流防病毒软件和工具所兼容。</w:t>
            </w:r>
          </w:p>
          <w:p>
            <w:pPr>
              <w:pStyle w:val="null3"/>
            </w:pPr>
            <w:r>
              <w:rPr>
                <w:rFonts w:ascii="仿宋_GB2312" w:hAnsi="仿宋_GB2312" w:cs="仿宋_GB2312" w:eastAsia="仿宋_GB2312"/>
              </w:rPr>
              <w:t>4.质保期内若国家政策、相关法律法规以及采购人信息规划等有要求，须配合采购人以升级、迁移等形式实现国产化/信创改造升级，包含但不限于软/硬件、数据库、接口等方面升级。升级后应完全符合该采购项目的国产化/信创化相关要求，费用包含在本项目中，不额外收费。</w:t>
            </w:r>
          </w:p>
          <w:p>
            <w:pPr>
              <w:pStyle w:val="null3"/>
            </w:pPr>
            <w:r>
              <w:rPr>
                <w:rFonts w:ascii="仿宋_GB2312" w:hAnsi="仿宋_GB2312" w:cs="仿宋_GB2312" w:eastAsia="仿宋_GB2312"/>
              </w:rPr>
              <w:t>5.质保期满后服务：质保期满后，软硬件设备的年度维护保养、软件升级服务费用，年度报价不超过原合同总金额的5%。维保期间，供应商应负责对其提供的软件、设备、升级内容等进行保障、维修、更换损坏件等服务，且不收取额外费用。涉及国家政策性相关内容产生的升级、维护、服务等工作需配合采购人完成，帮助采购人进行系统的部署与调试；</w:t>
            </w:r>
          </w:p>
          <w:p>
            <w:pPr>
              <w:pStyle w:val="null3"/>
            </w:pPr>
            <w:r>
              <w:rPr>
                <w:rFonts w:ascii="仿宋_GB2312" w:hAnsi="仿宋_GB2312" w:cs="仿宋_GB2312" w:eastAsia="仿宋_GB2312"/>
              </w:rPr>
              <w:t>6.评级方面：质保期内若相关评级对该项目有要求，供应商需配合采购人完成医院信息互联互通标准化成熟度测评和智慧医院评级相关工作，包括协助评价/测评/评估标准的解读、数据填报、实证及文审材料准备、现场迎评以及评审后功能整改等技术支持，以及配合采购人通过信息安全等级保护测评工作。</w:t>
            </w:r>
          </w:p>
          <w:p>
            <w:pPr>
              <w:pStyle w:val="null3"/>
            </w:pPr>
            <w:r>
              <w:rPr>
                <w:rFonts w:ascii="仿宋_GB2312" w:hAnsi="仿宋_GB2312" w:cs="仿宋_GB2312" w:eastAsia="仿宋_GB2312"/>
              </w:rPr>
              <w:t>7.培训服务：成交供应商须为采购人提供系统操作、运维管理专项培训，编制通俗易懂的培训文档，确保采购人运维人员可独立完成日常运维操作。</w:t>
            </w:r>
          </w:p>
          <w:p>
            <w:pPr>
              <w:pStyle w:val="null3"/>
            </w:pPr>
            <w:r>
              <w:rPr>
                <w:rFonts w:ascii="仿宋_GB2312" w:hAnsi="仿宋_GB2312" w:cs="仿宋_GB2312" w:eastAsia="仿宋_GB2312"/>
              </w:rPr>
              <w:t>四、保密要求</w:t>
            </w:r>
          </w:p>
          <w:p>
            <w:pPr>
              <w:pStyle w:val="null3"/>
            </w:pPr>
            <w:r>
              <w:rPr>
                <w:rFonts w:ascii="仿宋_GB2312" w:hAnsi="仿宋_GB2312" w:cs="仿宋_GB2312" w:eastAsia="仿宋_GB2312"/>
              </w:rPr>
              <w:t>1.供应商履约过程中所获悉的国家秘密、工作秘密、商业秘密或者其他应当保密的信息，均有保密义务，且不受合同有效期所限。项目交付软件及所产生数据的所有权归采购人所有。</w:t>
            </w:r>
          </w:p>
          <w:p>
            <w:pPr>
              <w:pStyle w:val="null3"/>
            </w:pPr>
            <w:r>
              <w:rPr>
                <w:rFonts w:ascii="仿宋_GB2312" w:hAnsi="仿宋_GB2312" w:cs="仿宋_GB2312" w:eastAsia="仿宋_GB2312"/>
              </w:rPr>
              <w:t>2.若因成交供应商泄密造成采购人损失的，成交供应商须承担全部损失赔偿责任及相关法律责任，采购人有权根据实际情况提前终止或解除合同。</w:t>
            </w:r>
          </w:p>
          <w:p>
            <w:pPr>
              <w:pStyle w:val="null3"/>
            </w:pPr>
            <w:r>
              <w:rPr>
                <w:rFonts w:ascii="仿宋_GB2312" w:hAnsi="仿宋_GB2312" w:cs="仿宋_GB2312" w:eastAsia="仿宋_GB2312"/>
              </w:rPr>
              <w:t>五、其他要求</w:t>
            </w:r>
          </w:p>
          <w:p>
            <w:pPr>
              <w:pStyle w:val="null3"/>
            </w:pPr>
            <w:r>
              <w:rPr>
                <w:rFonts w:ascii="仿宋_GB2312" w:hAnsi="仿宋_GB2312" w:cs="仿宋_GB2312" w:eastAsia="仿宋_GB2312"/>
              </w:rPr>
              <w:t>1.本项目所有软件产品授权均为永久授权，不得提供租用、限时授权等非永久授权形式。</w:t>
            </w:r>
          </w:p>
          <w:p>
            <w:pPr>
              <w:pStyle w:val="null3"/>
            </w:pPr>
            <w:r>
              <w:rPr>
                <w:rFonts w:ascii="仿宋_GB2312" w:hAnsi="仿宋_GB2312" w:cs="仿宋_GB2312" w:eastAsia="仿宋_GB2312"/>
              </w:rPr>
              <w:t>2.供应商须保证采购人在使用该产品或其任何一部分时，不侵犯第三方知识产权，不引发侵权纠纷。</w:t>
            </w:r>
          </w:p>
          <w:p>
            <w:pPr>
              <w:pStyle w:val="null3"/>
            </w:pPr>
            <w:r>
              <w:rPr>
                <w:rFonts w:ascii="仿宋_GB2312" w:hAnsi="仿宋_GB2312" w:cs="仿宋_GB2312" w:eastAsia="仿宋_GB2312"/>
              </w:rPr>
              <w:t>3.成交供应商须结合现场实际安装环境及要求，编制完整的项目实施方案，严格按照方案实施。</w:t>
            </w:r>
          </w:p>
          <w:p>
            <w:pPr>
              <w:pStyle w:val="null3"/>
            </w:pPr>
            <w:r>
              <w:rPr>
                <w:rFonts w:ascii="仿宋_GB2312" w:hAnsi="仿宋_GB2312" w:cs="仿宋_GB2312" w:eastAsia="仿宋_GB2312"/>
              </w:rPr>
              <w:t>4.供应商承诺，在项目实施期及质保期内，供应商须为采购人提供数据库安全、数据治理、医疗大数据方向技术方案、相关学术论文撰写与发表等方面的咨询与技术支持服务。</w:t>
            </w:r>
          </w:p>
          <w:p>
            <w:pPr>
              <w:pStyle w:val="null3"/>
            </w:pPr>
            <w:r>
              <w:rPr>
                <w:rFonts w:ascii="仿宋_GB2312" w:hAnsi="仿宋_GB2312" w:cs="仿宋_GB2312" w:eastAsia="仿宋_GB2312"/>
              </w:rPr>
              <w:t>5.供应商须对采购人提供或自行提供的系统资产（包括物理/云服务器、网络及存储设备）承担全生命周期的安全管理责任，配置符合等保2.0三级安全防护要求和采购人指定的安全基线，确保业务的持续性与安全性。</w:t>
            </w:r>
          </w:p>
          <w:p>
            <w:pPr>
              <w:pStyle w:val="null3"/>
            </w:pPr>
            <w:r>
              <w:rPr>
                <w:rFonts w:ascii="仿宋_GB2312" w:hAnsi="仿宋_GB2312" w:cs="仿宋_GB2312" w:eastAsia="仿宋_GB2312"/>
              </w:rPr>
              <w:t>6.供应商应积极无条件配合采购人开展（包括但不限于物理/云服务器、网络及存储设备、中间件、数据库、操作系统等）的安全审计、安全加固、渗透测试、应急响应等安全工作，并提供必要的权限支持，且在48小时内提交书面整改计划，发生重大安全事件时，供应商应立即响应并协助取证，确保事件快速处置并将影响降到最低。</w:t>
            </w:r>
          </w:p>
          <w:p>
            <w:pPr>
              <w:pStyle w:val="null3"/>
            </w:pPr>
            <w:r>
              <w:rPr>
                <w:rFonts w:ascii="仿宋_GB2312" w:hAnsi="仿宋_GB2312" w:cs="仿宋_GB2312" w:eastAsia="仿宋_GB2312"/>
              </w:rPr>
              <w:t>7.本项目所有产品须符合国家国产化相关要求，满足信创适配相关标准。</w:t>
            </w:r>
          </w:p>
          <w:p>
            <w:pPr>
              <w:pStyle w:val="null3"/>
            </w:pPr>
            <w:r>
              <w:rPr>
                <w:rFonts w:ascii="仿宋_GB2312" w:hAnsi="仿宋_GB2312" w:cs="仿宋_GB2312" w:eastAsia="仿宋_GB2312"/>
              </w:rPr>
              <w:t>8.成交供应商须遵守国家政府采购相关法律法规，履行响应文件中的全部承诺。</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团队要求：至少安排1名项目经理，须具备同类项目实施经验，负责项目统筹、对接协调、按需部署实施，为项目顺利推进提供保障；须提供关键技术人员的社保证明和技术能力有效证明材料等。项目组成员确定后，供应商单方面更换人员须提交书面说明，经采购人同意后方可进行调换，项目实施过程中，供应商按照项目所处阶段按需委派相应数量的专业工程师参与项目实施，采购人保留合理建议权及要求调整权。</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合同签订后，90个日历日内完成项目交付。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西北妇女儿童医院指定地点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完成本项目功能清单内全部模块建设后，可向采购人提交试运行申请。经采购人审核确认，项目正式进入试运行阶段。试运行期间若发生重大故障，试运行周期重新起算，出现以下任一情况即判定为重大故障：系统宕机或核心功能停运单次超30分钟；数据发生丢失、泄露、篡改等情况；70%及以上使用端故障且1小时内无法修复；24小时内同类核心故障累计出现2次及以上。试运行期满一个月且系统未发生重大故障的，供应商可提交验收申请，由采购人组织相关人员开展项目验收（必要时邀请外部专家组成评审组参与）。验收完成并出具项目验收报告后，项目维保期正式起算。 2.在项目验收时，供应商须提供但不限于以下资料：项目实施方案、需求说明书、使用人员签字的培训记录、系统操作说明、系统维护说明、验收申请、数据业务流、接口方案及文档、数据字典及表结构说明、用户手册、数据库账号及密码等。 3.验收标准：按照国家相关规范、采购人内部验收管理规定及本采购文件要求执行。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系统编制制式原因，本项目支付约定以3.4.4表述为准）完成合同及磋商文件约定全部内容，经采购人确认系统完全正式上线运行且正式验收后，由成交供应商提出付款申请，成交供应商提供符合税法规定的合法有效发票，达到付款条件起22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保证金注意事项：（1）磋商应在响应文件递交截止时间前到账，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保函必须由具有开具投标保函资格的单位开具；若供应商违约，开具保函单位承担连带责任；（2）磋商保证金的提交金额、时间不满足磋商文件要求的，投标无效。（3）未成交供应商的磋商保证金，将在成交通知书发出后5个工作日内无息全额退还，但因供应商自身原因导致无法及时退还的除外。成交供应商的磋商保证金，在服务费足额到账3个工作日内或收到合同3个工作日内退还位保证金，但因供应商自身原因导致无法及时退还的除外。 3.4.2成交供应商无正当理由拒签合同的，或在接到成交通知书规定的时间内，借故拖延、拒签合同者，采购人取消其成交资格，其磋商保证金不予退还；给采购人造成的损失超过磋商保证金数额的，成交供应商还应对超过部分予以赔偿。同时报请政府采购监督机构，并按规定予以处罚。 3.4.3供应商需要在线提交所有通过电子化交易平台实施的政府采购项目的响应文件，同时，线下提交纸质响应文件正本壹份、副本贰份并密封，纸质文件双面打印。若电子响应文件与纸质响应文件不一致的，以电子响应文件为准。线下递交文件时间：详见本项目采购公告响应文件递交截止时间；线下递交文件地点：西安市莲湖区环城西路南段元晟合中心6层。 3.4.4因电子化系统编制制式原因，本项目支付约定以此为准:付款条件说明:完成合同及磋商文件约定全部内容，经采购人确认系统完全正式上线运行且正式验收后，由成交供应商提出付款申请，成交供应商提供符合税法规定的合法有效发票，达到付款条件起30日历日内，支付合同总金额的100.00%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3资格证明文件.docx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总报价未超过磋商文件中规定的最高限价的</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满足本磋商文件中3.3商务要求中服务期限、服务地点以及3.4.4支付约定要求的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不存在围标串标情形</w:t>
            </w:r>
          </w:p>
        </w:tc>
        <w:tc>
          <w:tcPr>
            <w:tcW w:type="dxa" w:w="3322"/>
          </w:tcPr>
          <w:p>
            <w:pPr>
              <w:pStyle w:val="null3"/>
            </w:pPr>
            <w:r>
              <w:rPr>
                <w:rFonts w:ascii="仿宋_GB2312" w:hAnsi="仿宋_GB2312" w:cs="仿宋_GB2312" w:eastAsia="仿宋_GB2312"/>
              </w:rPr>
              <w:t>不存在下列围标串标情形的： （1）不同投标人的投标文件由同一单位或者个人编制； （2）不同投标人委托同一单位或者个人办理投标事宜； （3）不同投标人的投标文件载明的项目管理成员或者联系人员为同一人；（4）不同投标人的投标文件异常一致或者投标报价呈规律性差异； （5）不同投标人的投标文件相互混装； （6）不同投标人的投标保证金从同一单位或者个人的账户转出</w:t>
            </w:r>
          </w:p>
        </w:tc>
        <w:tc>
          <w:tcPr>
            <w:tcW w:type="dxa" w:w="1661"/>
          </w:tcPr>
          <w:p>
            <w:pPr>
              <w:pStyle w:val="null3"/>
            </w:pPr>
            <w:r>
              <w:rPr>
                <w:rFonts w:ascii="仿宋_GB2312" w:hAnsi="仿宋_GB2312" w:cs="仿宋_GB2312" w:eastAsia="仿宋_GB2312"/>
              </w:rPr>
              <w:t>4承诺书.docx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技术要求响应程度</w:t>
            </w:r>
          </w:p>
        </w:tc>
        <w:tc>
          <w:tcPr>
            <w:tcW w:type="dxa" w:w="2492"/>
          </w:tcPr>
          <w:p>
            <w:pPr>
              <w:pStyle w:val="null3"/>
            </w:pPr>
            <w:r>
              <w:rPr>
                <w:rFonts w:ascii="仿宋_GB2312" w:hAnsi="仿宋_GB2312" w:cs="仿宋_GB2312" w:eastAsia="仿宋_GB2312"/>
              </w:rPr>
              <w:t>根据供应商对3.3技术参数与性能指标中的“一、技术要求”的响应情况进行评审： ①标“▲”参数，供应商满足参数要求的每项得2分，满分18分。“▲”指标必须提供有效佐证材料，否则视为负偏离。 ②非“▲、演示项”参数（以供应商的技术响应偏离表响应情况为准），每项功能符合要求得0.4分，不符合要求不计分。满分12分。 备注： 1.佐证材料可为真实系统功能截图或第三方检测报告或产品彩页或官网截图。未提供佐证材料，视为负偏离。 2.标▲参数，佐证材料与技术响应偏离表响应内容不一致的，以佐证材料为准。同一指标提供佐证材料内容不一致的，以最不利于供应商的情形进行评审。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供应商针对技术参数与性能指标要求【提供演示】的内容进行演示，依据演示的符合性进行评审： 提供真实系统演示,每项功能完整演示计1分，未提供演示或演示不符合要求不计分。满分10分。 备注： ①每个供应商演示时间不超过10分钟。 ②评审现场将使用腾讯视频会议形式与各供应商进行连线演示，请各供应商保持通信畅通，否则造成任何后果由各供应商自负。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供应商针对本项目采购需求提供实施方案，内容包括但不限于①基础环境准备方案、上线方案；②项目实施进度计划；③全流程质量保证措施；④应急处置预案；⑤验收方案。 上述5项内容，每提供1项内容计2分，每项内容存在1处瑕疵扣0.5分；满分10分。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供应商针对本项目采购需求提供技术方案，内容包括但不限于①技术架构；②功能说明、网络拓扑说明；③数据安全保障方案。 上述3项内容，每提供1项内容计2分，每项内容存在1处瑕疵扣1分；满分6分。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项目管理组织方案</w:t>
            </w:r>
          </w:p>
        </w:tc>
        <w:tc>
          <w:tcPr>
            <w:tcW w:type="dxa" w:w="2492"/>
          </w:tcPr>
          <w:p>
            <w:pPr>
              <w:pStyle w:val="null3"/>
            </w:pPr>
            <w:r>
              <w:rPr>
                <w:rFonts w:ascii="仿宋_GB2312" w:hAnsi="仿宋_GB2312" w:cs="仿宋_GB2312" w:eastAsia="仿宋_GB2312"/>
              </w:rPr>
              <w:t>供应商针对本项目提供项目管理组织方案，内容包括但不限于①项目人员管理方案；②涉及采购人内部相关信息的保密方案；③项目实施过程中的风险控制措施。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8项目管理组织方案.docx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供应商提供针对本项目实施阶段的团队人员配置安排，内容包括但不限于①岗位职责划分；②人员相关工作经验或相关专业证书情况。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9团队人员配置.docx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供应商针对本项目采购需求提供培训方案，内容包括但不限于①培训方式与计划；②培训内容设计安排。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供应商根据本项目采购需求，提供售后服务方案，内容包括但不限于①售后服务体系说明；②售后人员安排及人员相关经验、证书情况；③系统升级维护方案；④各类问题响应解决时效。 上述4项内容，每提供1项内容计1分，每项内容存在1处瑕疵扣0.5分；满分4分。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质保</w:t>
            </w:r>
          </w:p>
        </w:tc>
        <w:tc>
          <w:tcPr>
            <w:tcW w:type="dxa" w:w="2492"/>
          </w:tcPr>
          <w:p>
            <w:pPr>
              <w:pStyle w:val="null3"/>
            </w:pPr>
            <w:r>
              <w:rPr>
                <w:rFonts w:ascii="仿宋_GB2312" w:hAnsi="仿宋_GB2312" w:cs="仿宋_GB2312" w:eastAsia="仿宋_GB2312"/>
              </w:rPr>
              <w:t>供应商承诺的质保期在满足“自项目终验合格之日起，所投软件产品提供3年原厂质保及版本升级维护服务”的基础上，每增加6个月加0.5分，最高得2分。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12质保.docx</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提供所投软件产品来源渠道合法的证明文件（包括但不限于原厂授权或销售协议或委托协议等），提供得2分，未提供不得分。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13来源渠道证明文件.docx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针对本项目的拟派项目负责人具有同类项目实施经验，提供拟派项目经理工作履历及至少一个业绩合同证明材料（合同内容必须清晰体现签约主体、项目名称、项目内容，否则不予认定）。满足此要求计3分，否则不计分。 备注：合同须体现拟派本项目的项目负责人姓名，若未提供，须附合同甲方盖章的证明材料证明该人员参与实施本项目。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14项目负责人.docx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提供供应商2023年1月1日至今同类项目合同扫描件（以合同签订日期为准），扫描件必须清晰体现签约主体和日期、项目名称及内容等核心要素，否则不计为有效业绩。每提供1个有效业绩得1分，最高得5分。 备注：响应文件中附合同扫描件并加盖公章。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供应商承诺本项目所有产品须符合国家国产化相关要求，满足信创适配相关标准。否则，自愿接受采购人任何形式处罚。提供承诺函，并加盖供应商公章。满足此要求计2分，否则不计分。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 磋商报价得分=（评标基准价/磋商报价）×价格权值×100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详见附件：7技术方案.docx</w:t>
      </w:r>
    </w:p>
    <w:p>
      <w:pPr>
        <w:pStyle w:val="null3"/>
        <w:ind w:firstLine="960"/>
      </w:pPr>
      <w:r>
        <w:rPr>
          <w:rFonts w:ascii="仿宋_GB2312" w:hAnsi="仿宋_GB2312" w:cs="仿宋_GB2312" w:eastAsia="仿宋_GB2312"/>
        </w:rPr>
        <w:t>详见附件：8项目管理组织方案.docx</w:t>
      </w:r>
    </w:p>
    <w:p>
      <w:pPr>
        <w:pStyle w:val="null3"/>
        <w:ind w:firstLine="960"/>
      </w:pPr>
      <w:r>
        <w:rPr>
          <w:rFonts w:ascii="仿宋_GB2312" w:hAnsi="仿宋_GB2312" w:cs="仿宋_GB2312" w:eastAsia="仿宋_GB2312"/>
        </w:rPr>
        <w:t>详见附件：9团队人员配置.docx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详见附件：12质保.docx</w:t>
      </w:r>
    </w:p>
    <w:p>
      <w:pPr>
        <w:pStyle w:val="null3"/>
        <w:ind w:firstLine="960"/>
      </w:pPr>
      <w:r>
        <w:rPr>
          <w:rFonts w:ascii="仿宋_GB2312" w:hAnsi="仿宋_GB2312" w:cs="仿宋_GB2312" w:eastAsia="仿宋_GB2312"/>
        </w:rPr>
        <w:t>详见附件：13来源渠道证明文件.docx</w:t>
      </w:r>
    </w:p>
    <w:p>
      <w:pPr>
        <w:pStyle w:val="null3"/>
        <w:ind w:firstLine="960"/>
      </w:pPr>
      <w:r>
        <w:rPr>
          <w:rFonts w:ascii="仿宋_GB2312" w:hAnsi="仿宋_GB2312" w:cs="仿宋_GB2312" w:eastAsia="仿宋_GB2312"/>
        </w:rPr>
        <w:t>详见附件：14项目负责人.docx</w:t>
      </w:r>
    </w:p>
    <w:p>
      <w:pPr>
        <w:pStyle w:val="null3"/>
        <w:ind w:firstLine="960"/>
      </w:pPr>
      <w:r>
        <w:rPr>
          <w:rFonts w:ascii="仿宋_GB2312" w:hAnsi="仿宋_GB2312" w:cs="仿宋_GB2312" w:eastAsia="仿宋_GB2312"/>
        </w:rPr>
        <w:t>详见附件：15业绩.docx</w:t>
      </w:r>
    </w:p>
    <w:p>
      <w:pPr>
        <w:pStyle w:val="null3"/>
        <w:ind w:firstLine="960"/>
      </w:pPr>
      <w:r>
        <w:rPr>
          <w:rFonts w:ascii="仿宋_GB2312" w:hAnsi="仿宋_GB2312" w:cs="仿宋_GB2312" w:eastAsia="仿宋_GB2312"/>
        </w:rPr>
        <w:t>详见附件：16承诺.docx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