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9D169">
      <w:pPr>
        <w:spacing w:line="360" w:lineRule="auto"/>
        <w:ind w:firstLine="640" w:firstLineChars="200"/>
        <w:jc w:val="center"/>
        <w:rPr>
          <w:rFonts w:hint="eastAsia"/>
          <w:sz w:val="32"/>
          <w:szCs w:val="32"/>
        </w:rPr>
      </w:pPr>
      <w:r>
        <w:rPr>
          <w:rFonts w:hint="eastAsia"/>
          <w:sz w:val="32"/>
          <w:szCs w:val="32"/>
        </w:rPr>
        <w:t>（参考，最终以双方签订的正式合同为准）</w:t>
      </w:r>
    </w:p>
    <w:p w14:paraId="24533341">
      <w:pPr>
        <w:pStyle w:val="5"/>
        <w:ind w:left="0" w:leftChars="0" w:firstLine="0" w:firstLineChars="0"/>
        <w:rPr>
          <w:rFonts w:hint="eastAsia"/>
        </w:rPr>
      </w:pPr>
    </w:p>
    <w:p w14:paraId="1CC49441">
      <w:pPr>
        <w:spacing w:line="360" w:lineRule="auto"/>
        <w:ind w:firstLine="3092" w:firstLineChars="700"/>
        <w:rPr>
          <w:rFonts w:hint="eastAsia" w:ascii="宋体" w:hAnsi="宋体" w:cs="宋体"/>
          <w:b/>
          <w:sz w:val="44"/>
          <w:szCs w:val="44"/>
        </w:rPr>
      </w:pPr>
    </w:p>
    <w:p w14:paraId="6AAE10F5">
      <w:pPr>
        <w:keepNext w:val="0"/>
        <w:keepLines w:val="0"/>
        <w:pageBreakBefore w:val="0"/>
        <w:widowControl w:val="0"/>
        <w:kinsoku/>
        <w:wordWrap/>
        <w:overflowPunct/>
        <w:topLinePunct w:val="0"/>
        <w:autoSpaceDE/>
        <w:autoSpaceDN/>
        <w:bidi w:val="0"/>
        <w:adjustRightInd/>
        <w:snapToGrid/>
        <w:spacing w:line="600" w:lineRule="exact"/>
        <w:ind w:firstLine="440" w:firstLineChars="100"/>
        <w:jc w:val="center"/>
        <w:textAlignment w:val="auto"/>
        <w:rPr>
          <w:rFonts w:hint="eastAsia" w:eastAsia="宋体"/>
          <w:b w:val="0"/>
          <w:bCs/>
          <w:sz w:val="44"/>
          <w:szCs w:val="44"/>
          <w:lang w:eastAsia="zh-CN"/>
        </w:rPr>
      </w:pPr>
      <w:r>
        <w:rPr>
          <w:rFonts w:hint="eastAsia" w:ascii="方正小标宋简体" w:hAnsi="方正小标宋简体" w:eastAsia="方正小标宋简体" w:cs="方正小标宋简体"/>
          <w:b w:val="0"/>
          <w:bCs/>
          <w:sz w:val="44"/>
          <w:szCs w:val="44"/>
          <w:u w:val="none"/>
          <w:lang w:val="en-US" w:eastAsia="zh-CN"/>
        </w:rPr>
        <w:t>西北妇女儿童医院核心数据库风险管控系统开发服务</w:t>
      </w:r>
      <w:r>
        <w:rPr>
          <w:rFonts w:hint="eastAsia" w:ascii="方正小标宋简体" w:hAnsi="方正小标宋简体" w:eastAsia="方正小标宋简体" w:cs="方正小标宋简体"/>
          <w:b w:val="0"/>
          <w:bCs/>
          <w:sz w:val="44"/>
          <w:szCs w:val="44"/>
        </w:rPr>
        <w:t>项目合同</w:t>
      </w:r>
    </w:p>
    <w:p w14:paraId="35194F54">
      <w:pPr>
        <w:widowControl/>
        <w:spacing w:line="360" w:lineRule="auto"/>
        <w:rPr>
          <w:rFonts w:hint="eastAsia" w:ascii="仿宋" w:hAnsi="仿宋" w:eastAsia="仿宋" w:cs="仿宋"/>
          <w:color w:val="000000"/>
          <w:kern w:val="0"/>
          <w:sz w:val="28"/>
          <w:szCs w:val="28"/>
          <w:lang w:val="en-US" w:eastAsia="zh-CN"/>
        </w:rPr>
      </w:pPr>
    </w:p>
    <w:p w14:paraId="695AEE61">
      <w:pPr>
        <w:widowControl/>
        <w:spacing w:line="360" w:lineRule="auto"/>
        <w:rPr>
          <w:rFonts w:hint="eastAsia" w:ascii="仿宋" w:hAnsi="仿宋" w:eastAsia="仿宋" w:cs="仿宋"/>
          <w:color w:val="000000"/>
          <w:kern w:val="0"/>
          <w:sz w:val="28"/>
          <w:szCs w:val="28"/>
          <w:lang w:val="en-US" w:eastAsia="zh-CN"/>
        </w:rPr>
      </w:pPr>
    </w:p>
    <w:p w14:paraId="05550F80">
      <w:pPr>
        <w:widowControl/>
        <w:spacing w:line="360" w:lineRule="auto"/>
        <w:rPr>
          <w:rFonts w:hint="eastAsia" w:ascii="仿宋" w:hAnsi="仿宋" w:eastAsia="仿宋" w:cs="仿宋"/>
          <w:color w:val="000000"/>
          <w:kern w:val="0"/>
          <w:sz w:val="28"/>
          <w:szCs w:val="28"/>
          <w:lang w:val="en-US" w:eastAsia="zh-CN"/>
        </w:rPr>
      </w:pPr>
    </w:p>
    <w:p w14:paraId="1296C7BF">
      <w:pPr>
        <w:pStyle w:val="5"/>
        <w:rPr>
          <w:rFonts w:hint="eastAsia" w:ascii="仿宋" w:hAnsi="仿宋" w:eastAsia="仿宋" w:cs="仿宋"/>
          <w:color w:val="000000"/>
          <w:kern w:val="0"/>
          <w:sz w:val="28"/>
          <w:szCs w:val="28"/>
          <w:lang w:val="en-US" w:eastAsia="zh-CN"/>
        </w:rPr>
      </w:pPr>
    </w:p>
    <w:p w14:paraId="21EF9859">
      <w:pPr>
        <w:pStyle w:val="6"/>
        <w:rPr>
          <w:rFonts w:hint="eastAsia"/>
          <w:lang w:val="en-US" w:eastAsia="zh-CN"/>
        </w:rPr>
      </w:pPr>
    </w:p>
    <w:p w14:paraId="137832F1">
      <w:pPr>
        <w:widowControl/>
        <w:spacing w:line="360" w:lineRule="auto"/>
        <w:rPr>
          <w:rFonts w:hint="eastAsia" w:ascii="仿宋" w:hAnsi="仿宋" w:eastAsia="仿宋" w:cs="仿宋"/>
          <w:color w:val="000000"/>
          <w:kern w:val="0"/>
          <w:sz w:val="28"/>
          <w:szCs w:val="28"/>
          <w:lang w:val="en-US" w:eastAsia="zh-CN"/>
        </w:rPr>
      </w:pPr>
    </w:p>
    <w:p w14:paraId="07713BE3">
      <w:pPr>
        <w:widowControl/>
        <w:spacing w:line="360" w:lineRule="auto"/>
        <w:rPr>
          <w:rFonts w:hint="eastAsia" w:ascii="仿宋" w:hAnsi="仿宋" w:eastAsia="仿宋" w:cs="仿宋"/>
          <w:color w:val="000000"/>
          <w:kern w:val="0"/>
          <w:sz w:val="28"/>
          <w:szCs w:val="28"/>
          <w:lang w:val="en-US" w:eastAsia="zh-CN"/>
        </w:rPr>
      </w:pPr>
    </w:p>
    <w:p w14:paraId="2FB7F92B">
      <w:pPr>
        <w:widowControl/>
        <w:spacing w:line="360" w:lineRule="auto"/>
        <w:rPr>
          <w:rFonts w:hint="eastAsia" w:ascii="仿宋" w:hAnsi="仿宋" w:eastAsia="仿宋" w:cs="仿宋"/>
          <w:color w:val="000000"/>
          <w:kern w:val="0"/>
          <w:sz w:val="28"/>
          <w:szCs w:val="28"/>
          <w:lang w:val="en-US" w:eastAsia="zh-CN"/>
        </w:rPr>
      </w:pPr>
    </w:p>
    <w:p w14:paraId="083CEFAC">
      <w:pPr>
        <w:widowControl/>
        <w:spacing w:line="360" w:lineRule="auto"/>
        <w:rPr>
          <w:rFonts w:hint="eastAsia" w:ascii="仿宋" w:hAnsi="仿宋" w:eastAsia="仿宋" w:cs="仿宋"/>
          <w:color w:val="000000"/>
          <w:kern w:val="0"/>
          <w:sz w:val="28"/>
          <w:szCs w:val="28"/>
          <w:lang w:val="en-US" w:eastAsia="zh-CN"/>
        </w:rPr>
      </w:pPr>
    </w:p>
    <w:p w14:paraId="47220246">
      <w:pPr>
        <w:widowControl/>
        <w:spacing w:line="360" w:lineRule="auto"/>
        <w:rPr>
          <w:rFonts w:hint="eastAsia" w:ascii="仿宋" w:hAnsi="仿宋" w:eastAsia="仿宋" w:cs="仿宋"/>
          <w:color w:val="000000"/>
          <w:kern w:val="0"/>
          <w:sz w:val="28"/>
          <w:szCs w:val="28"/>
          <w:lang w:val="en-US" w:eastAsia="zh-CN"/>
        </w:rPr>
      </w:pPr>
    </w:p>
    <w:p w14:paraId="60945438">
      <w:pPr>
        <w:widowControl/>
        <w:spacing w:line="360" w:lineRule="auto"/>
        <w:rPr>
          <w:rFonts w:hint="eastAsia" w:ascii="仿宋" w:hAnsi="仿宋" w:eastAsia="仿宋" w:cs="仿宋"/>
          <w:color w:val="000000"/>
          <w:kern w:val="0"/>
          <w:sz w:val="28"/>
          <w:szCs w:val="28"/>
          <w:lang w:val="en-US" w:eastAsia="zh-CN"/>
        </w:rPr>
      </w:pPr>
    </w:p>
    <w:p w14:paraId="28354CD1">
      <w:pPr>
        <w:widowControl/>
        <w:spacing w:line="360" w:lineRule="auto"/>
        <w:ind w:firstLine="2249" w:firstLineChars="700"/>
        <w:rPr>
          <w:rFonts w:hint="eastAsia" w:ascii="宋体" w:hAnsi="宋体" w:eastAsia="宋体" w:cs="宋体"/>
          <w:b/>
          <w:bCs/>
          <w:color w:val="000000"/>
          <w:kern w:val="0"/>
          <w:sz w:val="32"/>
          <w:szCs w:val="32"/>
          <w:lang w:val="en-US" w:eastAsia="zh-CN"/>
        </w:rPr>
      </w:pPr>
      <w:r>
        <w:rPr>
          <w:rFonts w:hint="eastAsia" w:ascii="宋体" w:hAnsi="宋体" w:eastAsia="宋体" w:cs="宋体"/>
          <w:b/>
          <w:bCs/>
          <w:color w:val="000000"/>
          <w:kern w:val="0"/>
          <w:sz w:val="32"/>
          <w:szCs w:val="32"/>
          <w:lang w:val="en-US" w:eastAsia="zh-CN"/>
        </w:rPr>
        <w:t>甲方：西北妇女儿童医院</w:t>
      </w:r>
    </w:p>
    <w:p w14:paraId="654D7685">
      <w:pPr>
        <w:widowControl/>
        <w:spacing w:line="360" w:lineRule="auto"/>
        <w:ind w:firstLine="2249" w:firstLineChars="700"/>
        <w:rPr>
          <w:rFonts w:hint="eastAsia" w:ascii="宋体" w:hAnsi="宋体" w:eastAsia="宋体" w:cs="宋体"/>
          <w:b/>
          <w:bCs/>
          <w:color w:val="000000"/>
          <w:kern w:val="0"/>
          <w:sz w:val="32"/>
          <w:szCs w:val="32"/>
        </w:rPr>
      </w:pPr>
      <w:r>
        <w:rPr>
          <w:rFonts w:hint="eastAsia" w:ascii="宋体" w:hAnsi="宋体" w:eastAsia="宋体" w:cs="宋体"/>
          <w:b/>
          <w:bCs/>
          <w:color w:val="000000"/>
          <w:kern w:val="0"/>
          <w:sz w:val="32"/>
          <w:szCs w:val="32"/>
          <w:lang w:val="en-US" w:eastAsia="zh-CN"/>
        </w:rPr>
        <w:t>乙方：</w:t>
      </w:r>
    </w:p>
    <w:p w14:paraId="2A831FE3">
      <w:pPr>
        <w:spacing w:line="360" w:lineRule="auto"/>
        <w:rPr>
          <w:rFonts w:hint="eastAsia" w:ascii="宋体" w:hAnsi="宋体" w:cs="宋体"/>
          <w:b/>
          <w:sz w:val="44"/>
          <w:szCs w:val="44"/>
        </w:rPr>
        <w:sectPr>
          <w:footerReference r:id="rId5" w:type="default"/>
          <w:pgSz w:w="11906" w:h="16838"/>
          <w:pgMar w:top="1270" w:right="1293" w:bottom="1270" w:left="1293" w:header="851" w:footer="992" w:gutter="0"/>
          <w:pgNumType w:fmt="decimal" w:start="1"/>
          <w:cols w:space="425" w:num="1"/>
          <w:docGrid w:type="lines" w:linePitch="312" w:charSpace="0"/>
        </w:sectPr>
      </w:pPr>
    </w:p>
    <w:p w14:paraId="05449798">
      <w:pPr>
        <w:spacing w:line="360" w:lineRule="auto"/>
        <w:jc w:val="center"/>
        <w:rPr>
          <w:rFonts w:hint="eastAsia" w:ascii="宋体" w:hAnsi="宋体" w:cs="宋体"/>
          <w:b/>
          <w:sz w:val="36"/>
          <w:szCs w:val="36"/>
          <w:u w:val="none"/>
          <w:lang w:val="en-US" w:eastAsia="zh-CN"/>
        </w:rPr>
      </w:pPr>
      <w:r>
        <w:rPr>
          <w:rFonts w:hint="eastAsia" w:ascii="宋体" w:hAnsi="宋体" w:cs="宋体"/>
          <w:b/>
          <w:sz w:val="36"/>
          <w:szCs w:val="36"/>
          <w:u w:val="none"/>
          <w:lang w:val="en-US" w:eastAsia="zh-CN"/>
        </w:rPr>
        <w:t>西北妇女儿童医院核心数据库风险管控</w:t>
      </w:r>
    </w:p>
    <w:p w14:paraId="2C7EE524">
      <w:pPr>
        <w:spacing w:line="360" w:lineRule="auto"/>
        <w:jc w:val="center"/>
        <w:rPr>
          <w:rFonts w:hint="eastAsia" w:ascii="仿宋" w:hAnsi="仿宋" w:eastAsia="仿宋" w:cs="仿宋"/>
          <w:color w:val="000000"/>
          <w:kern w:val="0"/>
          <w:sz w:val="28"/>
          <w:szCs w:val="28"/>
          <w:u w:val="none"/>
          <w:lang w:val="en-US" w:eastAsia="zh-CN"/>
        </w:rPr>
      </w:pPr>
      <w:r>
        <w:rPr>
          <w:rFonts w:hint="eastAsia" w:ascii="宋体" w:hAnsi="宋体" w:cs="宋体"/>
          <w:b/>
          <w:sz w:val="36"/>
          <w:szCs w:val="36"/>
          <w:u w:val="none"/>
          <w:lang w:val="en-US" w:eastAsia="zh-CN"/>
        </w:rPr>
        <w:t>系统开发服务</w:t>
      </w:r>
      <w:r>
        <w:rPr>
          <w:rFonts w:hint="eastAsia" w:ascii="宋体" w:hAnsi="宋体" w:cs="宋体"/>
          <w:b/>
          <w:sz w:val="36"/>
          <w:szCs w:val="36"/>
          <w:u w:val="none"/>
        </w:rPr>
        <w:t>项目合同</w:t>
      </w:r>
    </w:p>
    <w:p w14:paraId="7289F72E">
      <w:pPr>
        <w:keepNext w:val="0"/>
        <w:keepLines w:val="0"/>
        <w:pageBreakBefore w:val="0"/>
        <w:widowControl/>
        <w:kinsoku/>
        <w:wordWrap/>
        <w:overflowPunct/>
        <w:topLinePunct w:val="0"/>
        <w:autoSpaceDE/>
        <w:autoSpaceDN/>
        <w:bidi w:val="0"/>
        <w:adjustRightInd/>
        <w:snapToGrid/>
        <w:spacing w:line="540" w:lineRule="exac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甲方：西北妇女儿童医院</w:t>
      </w:r>
    </w:p>
    <w:p w14:paraId="2267A2F4">
      <w:pPr>
        <w:keepNext w:val="0"/>
        <w:keepLines w:val="0"/>
        <w:pageBreakBefore w:val="0"/>
        <w:widowControl/>
        <w:kinsoku/>
        <w:wordWrap/>
        <w:overflowPunct/>
        <w:topLinePunct w:val="0"/>
        <w:autoSpaceDE/>
        <w:autoSpaceDN/>
        <w:bidi w:val="0"/>
        <w:adjustRightInd/>
        <w:snapToGrid/>
        <w:spacing w:line="540" w:lineRule="exac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乙方：</w:t>
      </w:r>
    </w:p>
    <w:p w14:paraId="20480AEF">
      <w:pPr>
        <w:keepNext w:val="0"/>
        <w:keepLines w:val="0"/>
        <w:pageBreakBefore w:val="0"/>
        <w:widowControl/>
        <w:kinsoku/>
        <w:wordWrap/>
        <w:overflowPunct/>
        <w:topLinePunct w:val="0"/>
        <w:autoSpaceDE/>
        <w:autoSpaceDN/>
        <w:bidi w:val="0"/>
        <w:adjustRightInd/>
        <w:snapToGrid/>
        <w:spacing w:line="540" w:lineRule="exact"/>
        <w:ind w:left="0" w:firstLine="567"/>
        <w:rPr>
          <w:rFonts w:hint="eastAsia" w:ascii="仿宋" w:hAnsi="仿宋" w:eastAsia="仿宋" w:cs="仿宋"/>
          <w:bCs/>
          <w:sz w:val="24"/>
          <w:szCs w:val="24"/>
        </w:rPr>
      </w:pPr>
      <w:r>
        <w:rPr>
          <w:rFonts w:hint="eastAsia" w:ascii="仿宋" w:hAnsi="仿宋" w:eastAsia="仿宋" w:cs="仿宋"/>
          <w:color w:val="000000"/>
          <w:kern w:val="0"/>
          <w:sz w:val="24"/>
          <w:szCs w:val="24"/>
        </w:rPr>
        <w:t>根据《中华人民共和国民法典》及其他有关法律、行政法规，遵循平等、自愿、公平和诚实信用的原则，双方就本项目协商一致，订立本合同</w:t>
      </w:r>
      <w:r>
        <w:rPr>
          <w:rFonts w:hint="eastAsia" w:ascii="仿宋" w:hAnsi="仿宋" w:eastAsia="仿宋" w:cs="仿宋"/>
          <w:bCs/>
          <w:sz w:val="24"/>
          <w:szCs w:val="24"/>
        </w:rPr>
        <w:t>。</w:t>
      </w:r>
    </w:p>
    <w:p w14:paraId="56321546">
      <w:pPr>
        <w:pStyle w:val="5"/>
        <w:keepNext w:val="0"/>
        <w:keepLines w:val="0"/>
        <w:pageBreakBefore w:val="0"/>
        <w:numPr>
          <w:ilvl w:val="0"/>
          <w:numId w:val="0"/>
        </w:numPr>
        <w:kinsoku/>
        <w:wordWrap/>
        <w:overflowPunct/>
        <w:topLinePunct w:val="0"/>
        <w:autoSpaceDE/>
        <w:autoSpaceDN/>
        <w:bidi w:val="0"/>
        <w:adjustRightInd/>
        <w:snapToGrid/>
        <w:spacing w:line="540" w:lineRule="exact"/>
        <w:ind w:leftChars="0"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第一条 服务内容</w:t>
      </w:r>
    </w:p>
    <w:p w14:paraId="2CF5DF2A">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按照医院信息安全建设整体规划，保障医院核心数据库安全、规范数据管理流程，拟采购核心数据库风险管控系统开发服务。</w:t>
      </w:r>
    </w:p>
    <w:p w14:paraId="1B7B6E8C">
      <w:pPr>
        <w:pStyle w:val="5"/>
        <w:keepNext w:val="0"/>
        <w:keepLines w:val="0"/>
        <w:pageBreakBefore w:val="0"/>
        <w:numPr>
          <w:ilvl w:val="0"/>
          <w:numId w:val="0"/>
        </w:numPr>
        <w:kinsoku/>
        <w:wordWrap/>
        <w:overflowPunct/>
        <w:topLinePunct w:val="0"/>
        <w:autoSpaceDE/>
        <w:autoSpaceDN/>
        <w:bidi w:val="0"/>
        <w:adjustRightInd/>
        <w:snapToGrid/>
        <w:spacing w:line="540" w:lineRule="exact"/>
        <w:ind w:leftChars="0" w:firstLine="482" w:firstLineChars="200"/>
        <w:rPr>
          <w:rFonts w:hint="eastAsia"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第二条 项目实施团队要求</w:t>
      </w:r>
    </w:p>
    <w:p w14:paraId="4756E782">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（一）合同总价款为人民币（大写）        （￥       ）。</w:t>
      </w:r>
    </w:p>
    <w:p w14:paraId="611F9808">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（二）合同总价包括：合同期内服务实施费用、人工费、培训费、按约定的所有技术支持服务费用、升级维护费、税金</w:t>
      </w:r>
      <w:r>
        <w:rPr>
          <w:rFonts w:hint="eastAsia" w:ascii="仿宋" w:hAnsi="仿宋" w:eastAsia="仿宋" w:cs="仿宋"/>
          <w:b w:val="0"/>
          <w:bCs w:val="0"/>
          <w:sz w:val="24"/>
          <w:szCs w:val="24"/>
          <w:lang w:val="zh-CN" w:eastAsia="zh-CN"/>
        </w:rPr>
        <w:t>以及国家按现行税率征收的一切税费等所有费用。</w:t>
      </w:r>
    </w:p>
    <w:p w14:paraId="42BD647F">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（三）合同总价一次性包死，不受市场价格变化因素的影响。</w:t>
      </w:r>
    </w:p>
    <w:p w14:paraId="5EE7BF40">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四）付款条件说明:完成合同及磋商文件约定全部内容，经采购人确认系统完全正式上线运行且正式验收后，由成交供应商提出付款申请，成交供应商提供符合税法规定的合法有效发票，达到付款条件起30日历日内，支付合同总金额的100.00%。</w:t>
      </w:r>
    </w:p>
    <w:p w14:paraId="652E7B23">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6" w:firstLineChars="177"/>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第三条 项目实施地点及服务期限</w:t>
      </w:r>
    </w:p>
    <w:p w14:paraId="15F2C7C3">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lang w:val="en-US" w:eastAsia="zh-CN"/>
        </w:rPr>
      </w:pPr>
      <w:r>
        <w:rPr>
          <w:rFonts w:hint="eastAsia" w:ascii="仿宋" w:hAnsi="仿宋" w:eastAsia="仿宋" w:cs="仿宋"/>
          <w:b w:val="0"/>
          <w:bCs w:val="0"/>
          <w:sz w:val="24"/>
          <w:szCs w:val="24"/>
          <w:lang w:val="en-US" w:eastAsia="zh-CN"/>
        </w:rPr>
        <w:t>（一）项目实施地点：甲方指定地点</w:t>
      </w:r>
    </w:p>
    <w:p w14:paraId="770BA4CC">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（二）服务期限：合同签订后，</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lang w:val="en-US" w:eastAsia="zh-CN"/>
        </w:rPr>
        <w:t>个日历日内。</w:t>
      </w:r>
    </w:p>
    <w:p w14:paraId="2CDA5E4F">
      <w:pPr>
        <w:pStyle w:val="6"/>
        <w:ind w:left="0" w:leftChars="0" w:firstLine="482" w:firstLineChars="200"/>
        <w:rPr>
          <w:rFonts w:hint="eastAsia"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第四条 项目实施团队要求</w:t>
      </w:r>
    </w:p>
    <w:p w14:paraId="15D45D5D">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（一）乙方须为本项目配备：</w:t>
      </w:r>
    </w:p>
    <w:p w14:paraId="4352A98E">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1、乙方方具有合理的项目服务团队，项目经理必须经验丰富，保证项目正常进行。</w:t>
      </w:r>
    </w:p>
    <w:p w14:paraId="226A9D05">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2、投入本项目的项目组人员配备充足合理，专业技术人员具有与项目相关的专业背景、专业职称及工作经验并能较好地胜任本项目。</w:t>
      </w:r>
    </w:p>
    <w:p w14:paraId="4796C40E">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一经确定的项目组成员在实施过程中如因乙方单方面需更换，须提供书面说明，经甲方同意后方可进行调换，项目实施过程中，乙方按照项目所处阶段按需委派相应数量的专业工程师参与项目实施，甲方保留要求和建议的权利。</w:t>
      </w:r>
    </w:p>
    <w:p w14:paraId="77DAAEA8">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6" w:firstLineChars="177"/>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第五条 培训</w:t>
      </w:r>
    </w:p>
    <w:p w14:paraId="4E3546E7">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乙方</w:t>
      </w:r>
      <w:r>
        <w:rPr>
          <w:rFonts w:hint="eastAsia" w:ascii="仿宋" w:hAnsi="仿宋" w:eastAsia="仿宋" w:cs="仿宋"/>
          <w:b w:val="0"/>
          <w:bCs w:val="0"/>
          <w:sz w:val="24"/>
          <w:szCs w:val="24"/>
          <w:lang w:val="zh-TW" w:eastAsia="zh-CN"/>
        </w:rPr>
        <w:t>须为</w:t>
      </w:r>
      <w:r>
        <w:rPr>
          <w:rFonts w:hint="eastAsia" w:ascii="仿宋" w:hAnsi="仿宋" w:eastAsia="仿宋" w:cs="仿宋"/>
          <w:b w:val="0"/>
          <w:bCs w:val="0"/>
          <w:sz w:val="24"/>
          <w:szCs w:val="24"/>
          <w:lang w:val="en-US" w:eastAsia="zh-CN"/>
        </w:rPr>
        <w:t>甲方</w:t>
      </w:r>
      <w:r>
        <w:rPr>
          <w:rFonts w:hint="eastAsia" w:ascii="仿宋" w:hAnsi="仿宋" w:eastAsia="仿宋" w:cs="仿宋"/>
          <w:b w:val="0"/>
          <w:bCs w:val="0"/>
          <w:sz w:val="24"/>
          <w:szCs w:val="24"/>
          <w:lang w:val="zh-TW" w:eastAsia="zh-CN"/>
        </w:rPr>
        <w:t>提供系统操作、运维管理专项培训，编制通俗易懂的培训文档，确保</w:t>
      </w:r>
      <w:r>
        <w:rPr>
          <w:rFonts w:hint="eastAsia" w:ascii="仿宋" w:hAnsi="仿宋" w:eastAsia="仿宋" w:cs="仿宋"/>
          <w:b w:val="0"/>
          <w:bCs w:val="0"/>
          <w:sz w:val="24"/>
          <w:szCs w:val="24"/>
          <w:lang w:val="en-US" w:eastAsia="zh-CN"/>
        </w:rPr>
        <w:t>甲方</w:t>
      </w:r>
      <w:r>
        <w:rPr>
          <w:rFonts w:hint="eastAsia" w:ascii="仿宋" w:hAnsi="仿宋" w:eastAsia="仿宋" w:cs="仿宋"/>
          <w:b w:val="0"/>
          <w:bCs w:val="0"/>
          <w:sz w:val="24"/>
          <w:szCs w:val="24"/>
          <w:lang w:val="zh-TW" w:eastAsia="zh-CN"/>
        </w:rPr>
        <w:t>运维人员可独立完成日常运维操作</w:t>
      </w:r>
      <w:r>
        <w:rPr>
          <w:rFonts w:hint="eastAsia" w:ascii="仿宋" w:hAnsi="仿宋" w:eastAsia="仿宋" w:cs="仿宋"/>
          <w:b w:val="0"/>
          <w:bCs w:val="0"/>
          <w:sz w:val="24"/>
          <w:szCs w:val="24"/>
          <w:lang w:val="en-US" w:eastAsia="zh-CN"/>
        </w:rPr>
        <w:t>。</w:t>
      </w:r>
    </w:p>
    <w:p w14:paraId="20DD6DD0">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6" w:firstLineChars="177"/>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第六条 售后</w:t>
      </w:r>
    </w:p>
    <w:p w14:paraId="11D2CAD5">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zh-TW" w:eastAsia="zh-CN"/>
        </w:rPr>
      </w:pPr>
      <w:r>
        <w:rPr>
          <w:rFonts w:hint="eastAsia" w:ascii="仿宋" w:hAnsi="仿宋" w:eastAsia="仿宋" w:cs="仿宋"/>
          <w:b w:val="0"/>
          <w:bCs w:val="0"/>
          <w:sz w:val="24"/>
          <w:szCs w:val="24"/>
          <w:lang w:val="en-US" w:eastAsia="zh-CN"/>
        </w:rPr>
        <w:t>(一）</w:t>
      </w:r>
      <w:r>
        <w:rPr>
          <w:rFonts w:hint="eastAsia" w:ascii="仿宋" w:hAnsi="仿宋" w:eastAsia="仿宋" w:cs="仿宋"/>
          <w:b w:val="0"/>
          <w:bCs w:val="0"/>
          <w:sz w:val="24"/>
          <w:szCs w:val="24"/>
          <w:lang w:val="zh-TW" w:eastAsia="zh-CN"/>
        </w:rPr>
        <w:t>质保期：自项目终验合格之日起，所投软件产品提供不少于3年</w:t>
      </w:r>
      <w:r>
        <w:rPr>
          <w:rFonts w:hint="eastAsia" w:ascii="仿宋" w:hAnsi="仿宋" w:eastAsia="仿宋" w:cs="仿宋"/>
          <w:b w:val="0"/>
          <w:bCs w:val="0"/>
          <w:sz w:val="24"/>
          <w:szCs w:val="24"/>
          <w:lang w:val="en-US" w:eastAsia="zh-CN"/>
        </w:rPr>
        <w:t>原厂</w:t>
      </w:r>
      <w:r>
        <w:rPr>
          <w:rFonts w:hint="eastAsia" w:ascii="仿宋" w:hAnsi="仿宋" w:eastAsia="仿宋" w:cs="仿宋"/>
          <w:b w:val="0"/>
          <w:bCs w:val="0"/>
          <w:sz w:val="24"/>
          <w:szCs w:val="24"/>
          <w:lang w:val="zh-TW" w:eastAsia="zh-CN"/>
        </w:rPr>
        <w:t>质保及版本升级维护服务。</w:t>
      </w:r>
    </w:p>
    <w:p w14:paraId="4E05EF61">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质保服务要求：1.乙方在系统质保期内提供7×24小时远程及电话支持，解决甲方在系统使用、维护过程中遇到的问题，及时提出解决问题的建议和操作方法。对影响系统运行的紧急故障提供7*24全天候响应，30分钟电话响应；重大故障4小时内提供解决方案或抵达现场服务。如因不可抗力因素不能在规定时间内到达的，双方另行商定。</w:t>
      </w:r>
    </w:p>
    <w:p w14:paraId="2B51129E">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2.须在质保期内提供最新版本升级，包括但不限于数据库层面、应用层面的多种安全技术和安全策略，提供安全权限控制、日志审计、关键数据加密、防攻击等功能，能够被目前的主流防病毒软件和工具所兼容。</w:t>
      </w:r>
    </w:p>
    <w:p w14:paraId="4D28256D">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质保期内若国家政策、相关法律法规以及甲方信息规划等有要求，须配合甲方以升级、迁移等形式实现国产化/信创改造升级，包含但不限于软/硬件、数据库、接口等方面升级。升级后应完全符合该采购项目的国产化/信创化相关要求。</w:t>
      </w:r>
    </w:p>
    <w:p w14:paraId="0DF2CF76">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质保期满后服务：质保期满后，软硬件设备的年度维护保养、软件升级服务费用，年度报价不超过原合同总金额的5%。维保期间，乙方应负责对其提供的软件、设备、升级内容等进行保障、维修、更换损坏件等服务，且不收取额外费用。涉及国家政策性相关内容产生的升级、维护、服务等工作需配合甲方完成，帮助甲方进行系统的部署与调试；</w:t>
      </w:r>
    </w:p>
    <w:p w14:paraId="72B80807">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评级方面：质保期内若相关评级对该项目有要求，乙方需配合甲方完成医院信息互联互通标准化成熟度测评和智慧医院评级相关工作，包括协助评价/测评/评估标准的解读、数据填报、实证及文审材料准备、现场迎评以及评审后功能整改等技术支持，以及配合甲方通过信息安全等级保护测评工作。</w:t>
      </w:r>
    </w:p>
    <w:p w14:paraId="6A481B4D">
      <w:pPr>
        <w:pStyle w:val="19"/>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0" w:firstLineChars="0"/>
        <w:textAlignment w:val="auto"/>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第七条 验收</w:t>
      </w:r>
    </w:p>
    <w:p w14:paraId="39B64D18">
      <w:pPr>
        <w:pStyle w:val="13"/>
        <w:keepNext w:val="0"/>
        <w:keepLines w:val="0"/>
        <w:pageBreakBefore w:val="0"/>
        <w:widowControl w:val="0"/>
        <w:numPr>
          <w:ilvl w:val="0"/>
          <w:numId w:val="0"/>
        </w:numPr>
        <w:shd w:val="clear" w:color="auto"/>
        <w:tabs>
          <w:tab w:val="left" w:pos="900"/>
          <w:tab w:val="left" w:pos="8280"/>
        </w:tabs>
        <w:kinsoku/>
        <w:wordWrap/>
        <w:overflowPunct/>
        <w:topLinePunct w:val="0"/>
        <w:bidi w:val="0"/>
        <w:snapToGrid/>
        <w:spacing w:line="560" w:lineRule="exact"/>
        <w:ind w:firstLine="480" w:firstLineChars="200"/>
        <w:jc w:val="both"/>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sz w:val="24"/>
          <w:szCs w:val="24"/>
          <w:lang w:val="en-US" w:eastAsia="zh-CN"/>
        </w:rPr>
        <w:t>(一）</w:t>
      </w:r>
      <w:r>
        <w:rPr>
          <w:rFonts w:hint="eastAsia" w:ascii="仿宋" w:hAnsi="仿宋" w:eastAsia="仿宋" w:cs="仿宋"/>
          <w:b w:val="0"/>
          <w:bCs w:val="0"/>
          <w:color w:val="000000" w:themeColor="text1"/>
          <w:sz w:val="24"/>
          <w:szCs w:val="24"/>
          <w:lang w:val="en-US" w:eastAsia="zh-CN"/>
          <w14:textFill>
            <w14:solidFill>
              <w14:schemeClr w14:val="tx1"/>
            </w14:solidFill>
          </w14:textFill>
        </w:rPr>
        <w:t>乙方完成本项目功能清单内全部模块建设后，可向甲方提交试运行申请。经甲方审核确认，项目正式进入试运行阶段。试运行期间若发生重大故障，试运行周期重新起算，出现以下任一情况即判定为重大故障：系统宕机或核心功能停运单次超30分钟；数据发生丢失、泄露、篡改等情况；70%及以上使用端故障且1小时内无法修复；24小时内同类核心故障累计出现2次及以上。试运行期满一个月且系统未发生重大故障的，乙方可提交验收申请，由甲方组织相关人员开展项目验收（必要时邀请外部专家组成评审组参与）。验收完成并出具项目验收报告后，项目维保期正式起算。</w:t>
      </w:r>
    </w:p>
    <w:p w14:paraId="2045A8B8">
      <w:pPr>
        <w:pStyle w:val="13"/>
        <w:keepNext w:val="0"/>
        <w:keepLines w:val="0"/>
        <w:pageBreakBefore w:val="0"/>
        <w:widowControl w:val="0"/>
        <w:numPr>
          <w:ilvl w:val="0"/>
          <w:numId w:val="0"/>
        </w:numPr>
        <w:shd w:val="clear" w:color="auto"/>
        <w:tabs>
          <w:tab w:val="left" w:pos="900"/>
          <w:tab w:val="left" w:pos="8280"/>
        </w:tabs>
        <w:kinsoku/>
        <w:wordWrap/>
        <w:overflowPunct/>
        <w:topLinePunct w:val="0"/>
        <w:bidi w:val="0"/>
        <w:snapToGrid/>
        <w:spacing w:line="560" w:lineRule="exact"/>
        <w:ind w:firstLine="480" w:firstLineChars="200"/>
        <w:jc w:val="both"/>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sz w:val="24"/>
          <w:szCs w:val="24"/>
          <w:lang w:val="en-US" w:eastAsia="zh-CN"/>
        </w:rPr>
        <w:t>(二）</w:t>
      </w:r>
      <w:r>
        <w:rPr>
          <w:rFonts w:hint="eastAsia" w:ascii="仿宋" w:hAnsi="仿宋" w:eastAsia="仿宋" w:cs="仿宋"/>
          <w:b w:val="0"/>
          <w:bCs w:val="0"/>
          <w:color w:val="000000" w:themeColor="text1"/>
          <w:sz w:val="24"/>
          <w:szCs w:val="24"/>
          <w:lang w:val="en-US" w:eastAsia="zh-CN"/>
          <w14:textFill>
            <w14:solidFill>
              <w14:schemeClr w14:val="tx1"/>
            </w14:solidFill>
          </w14:textFill>
        </w:rPr>
        <w:t>在项目验收时，乙方须提供但不限于以下资料：项目实施方案、需求说明书、使用人员签字的培训记录、系统操作说明、系统维护说明、验收申请、数据业务流、接口方案及文档、数据字典及表结构说明、用户手册、数据库账号及密码等。</w:t>
      </w:r>
    </w:p>
    <w:p w14:paraId="3C1B65EB">
      <w:pPr>
        <w:pStyle w:val="13"/>
        <w:keepNext w:val="0"/>
        <w:keepLines w:val="0"/>
        <w:pageBreakBefore w:val="0"/>
        <w:widowControl w:val="0"/>
        <w:numPr>
          <w:ilvl w:val="0"/>
          <w:numId w:val="0"/>
        </w:numPr>
        <w:shd w:val="clear" w:color="auto"/>
        <w:tabs>
          <w:tab w:val="left" w:pos="900"/>
          <w:tab w:val="left" w:pos="8280"/>
        </w:tabs>
        <w:kinsoku/>
        <w:wordWrap/>
        <w:overflowPunct/>
        <w:topLinePunct w:val="0"/>
        <w:bidi w:val="0"/>
        <w:snapToGrid/>
        <w:spacing w:line="560" w:lineRule="exact"/>
        <w:ind w:firstLine="480" w:firstLineChars="200"/>
        <w:jc w:val="both"/>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sz w:val="24"/>
          <w:szCs w:val="24"/>
          <w:lang w:val="en-US" w:eastAsia="zh-CN"/>
        </w:rPr>
        <w:t>(三）</w:t>
      </w:r>
      <w:r>
        <w:rPr>
          <w:rFonts w:hint="eastAsia" w:ascii="仿宋" w:hAnsi="仿宋" w:eastAsia="仿宋" w:cs="仿宋"/>
          <w:b w:val="0"/>
          <w:bCs w:val="0"/>
          <w:color w:val="000000" w:themeColor="text1"/>
          <w:sz w:val="24"/>
          <w:szCs w:val="24"/>
          <w:lang w:val="en-US" w:eastAsia="zh-CN"/>
          <w14:textFill>
            <w14:solidFill>
              <w14:schemeClr w14:val="tx1"/>
            </w14:solidFill>
          </w14:textFill>
        </w:rPr>
        <w:t>验收标准：按照国家相关规范、甲方内部验收管理规定及本采购文件要求执行。</w:t>
      </w:r>
    </w:p>
    <w:p w14:paraId="5EE12DFF">
      <w:pPr>
        <w:keepNext w:val="0"/>
        <w:keepLines w:val="0"/>
        <w:pageBreakBefore w:val="0"/>
        <w:widowControl w:val="0"/>
        <w:kinsoku/>
        <w:wordWrap/>
        <w:overflowPunct/>
        <w:topLinePunct w:val="0"/>
        <w:bidi w:val="0"/>
        <w:snapToGrid/>
        <w:spacing w:line="560" w:lineRule="exact"/>
        <w:ind w:right="0" w:rightChars="0"/>
        <w:jc w:val="left"/>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 xml:space="preserve">第八条 </w:t>
      </w:r>
      <w:r>
        <w:rPr>
          <w:rFonts w:hint="eastAsia" w:ascii="仿宋" w:hAnsi="仿宋" w:eastAsia="仿宋" w:cs="仿宋"/>
          <w:b/>
          <w:bCs/>
          <w:sz w:val="24"/>
          <w:szCs w:val="24"/>
        </w:rPr>
        <w:t>保密要求</w:t>
      </w:r>
    </w:p>
    <w:p w14:paraId="30068A84">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乙方履约过程中所获悉的国家秘密、工作秘密、商业秘密或者其他应当保密的信息，均有保密义务，且不受合同有效期所限。项目交付软件及所产生数据的所有权归甲方所有；</w:t>
      </w:r>
    </w:p>
    <w:p w14:paraId="6C191FF8">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若因乙方泄密造成甲方损失的，乙方须承担全部损失赔偿责任及相关法律责任，甲方有权根据实际情况提前终止或解除合同。</w:t>
      </w:r>
    </w:p>
    <w:p w14:paraId="5A8414ED">
      <w:pPr>
        <w:pStyle w:val="7"/>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 知识产权</w:t>
      </w:r>
    </w:p>
    <w:p w14:paraId="66506976">
      <w:pPr>
        <w:keepNext w:val="0"/>
        <w:keepLines w:val="0"/>
        <w:pageBreakBefore w:val="0"/>
        <w:widowControl w:val="0"/>
        <w:tabs>
          <w:tab w:val="left" w:pos="1500"/>
        </w:tabs>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知识产权：甲方在中华人民共和国境内使用乙方提供的货物及服务时免受第三方提出的侵犯其专利权或其他知识产权的起诉。如果第三方提出侵权指控，乙方应承担由此而引起的一切法律责任和费用。</w:t>
      </w:r>
    </w:p>
    <w:p w14:paraId="58291E90">
      <w:pPr>
        <w:keepNext w:val="0"/>
        <w:keepLines w:val="0"/>
        <w:pageBreakBefore w:val="0"/>
        <w:widowControl w:val="0"/>
        <w:numPr>
          <w:ilvl w:val="0"/>
          <w:numId w:val="0"/>
        </w:numPr>
        <w:kinsoku/>
        <w:wordWrap/>
        <w:overflowPunct/>
        <w:topLinePunct w:val="0"/>
        <w:bidi w:val="0"/>
        <w:snapToGrid/>
        <w:spacing w:line="560" w:lineRule="exact"/>
        <w:jc w:val="left"/>
        <w:textAlignment w:val="auto"/>
        <w:rPr>
          <w:rFonts w:hint="eastAsia" w:ascii="仿宋" w:hAnsi="仿宋" w:eastAsia="仿宋" w:cs="仿宋"/>
          <w:sz w:val="24"/>
          <w:szCs w:val="24"/>
        </w:rPr>
      </w:pPr>
      <w:r>
        <w:rPr>
          <w:rFonts w:hint="eastAsia" w:ascii="仿宋" w:hAnsi="仿宋" w:eastAsia="仿宋" w:cs="仿宋"/>
          <w:b/>
          <w:sz w:val="24"/>
          <w:szCs w:val="24"/>
          <w:lang w:val="en-US" w:eastAsia="zh-CN"/>
        </w:rPr>
        <w:t xml:space="preserve">第十条 </w:t>
      </w:r>
      <w:r>
        <w:rPr>
          <w:rFonts w:hint="eastAsia" w:ascii="仿宋" w:hAnsi="仿宋" w:eastAsia="仿宋" w:cs="仿宋"/>
          <w:b/>
          <w:sz w:val="24"/>
          <w:szCs w:val="24"/>
        </w:rPr>
        <w:t>违约责任</w:t>
      </w:r>
    </w:p>
    <w:p w14:paraId="51487B6D">
      <w:pPr>
        <w:keepNext w:val="0"/>
        <w:keepLines w:val="0"/>
        <w:pageBreakBefore w:val="0"/>
        <w:widowControl w:val="0"/>
        <w:kinsoku/>
        <w:wordWrap/>
        <w:overflowPunct/>
        <w:topLinePunct w:val="0"/>
        <w:bidi w:val="0"/>
        <w:snapToGrid/>
        <w:spacing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按《中华人民共和国民法典》中的相关条款执行。</w:t>
      </w:r>
    </w:p>
    <w:p w14:paraId="2A2A573F">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乙方未按合同约定或招标文件要求提供系统开发服务，甲方有权单方解除合同，乙方应按照合同总额的20％向甲方支付违约金。</w:t>
      </w:r>
    </w:p>
    <w:p w14:paraId="659F9268">
      <w:pPr>
        <w:spacing w:line="360" w:lineRule="auto"/>
        <w:ind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（三）因乙方原因未按合同、招标文件规定的要求及期限完成上线工作，每逾期一日向甲方支付1%合同金额作为违约金，最多不超过合同金额的20%。</w:t>
      </w:r>
    </w:p>
    <w:p w14:paraId="28A8B188">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default"/>
          <w:lang w:val="en-US" w:eastAsia="zh-CN"/>
        </w:rPr>
      </w:pPr>
      <w:r>
        <w:rPr>
          <w:rFonts w:hint="eastAsia" w:ascii="仿宋" w:hAnsi="仿宋" w:eastAsia="仿宋" w:cs="仿宋"/>
          <w:b w:val="0"/>
          <w:bCs w:val="0"/>
          <w:sz w:val="24"/>
          <w:szCs w:val="24"/>
          <w:lang w:val="en-US" w:eastAsia="zh-CN"/>
        </w:rPr>
        <w:t>（四）乙方拒不配合甲方安全合规管控工作，或因乙方及其工作人员过错导致任何安全事件的，甲方可单方解除合同，乙方承担甲方全部经济损失，并承担由此引发的全部法律责任。</w:t>
      </w:r>
    </w:p>
    <w:p w14:paraId="44E80F90">
      <w:pPr>
        <w:keepNext w:val="0"/>
        <w:keepLines w:val="0"/>
        <w:pageBreakBefore w:val="0"/>
        <w:widowControl w:val="0"/>
        <w:numPr>
          <w:ilvl w:val="0"/>
          <w:numId w:val="0"/>
        </w:numPr>
        <w:kinsoku/>
        <w:wordWrap/>
        <w:overflowPunct/>
        <w:topLinePunct w:val="0"/>
        <w:bidi w:val="0"/>
        <w:snapToGrid/>
        <w:spacing w:line="560" w:lineRule="exact"/>
        <w:jc w:val="left"/>
        <w:textAlignment w:val="auto"/>
        <w:rPr>
          <w:rFonts w:hint="default" w:ascii="仿宋" w:hAnsi="仿宋" w:eastAsia="仿宋" w:cs="仿宋"/>
          <w:sz w:val="24"/>
          <w:szCs w:val="24"/>
          <w:lang w:val="en-US" w:eastAsia="zh-CN"/>
        </w:rPr>
      </w:pPr>
      <w:r>
        <w:rPr>
          <w:rFonts w:hint="eastAsia" w:ascii="仿宋" w:hAnsi="仿宋" w:eastAsia="仿宋" w:cs="仿宋"/>
          <w:b/>
          <w:sz w:val="24"/>
          <w:szCs w:val="24"/>
          <w:lang w:val="en-US" w:eastAsia="zh-CN"/>
        </w:rPr>
        <w:t>第十一条 其他要求</w:t>
      </w:r>
    </w:p>
    <w:p w14:paraId="0BC85549">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(一）本项目所有软件产品授权均为永久授权，不得提供租用、限时授权等非永久授权形式。</w:t>
      </w:r>
    </w:p>
    <w:p w14:paraId="4DE31BBC">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(二）乙方须保证甲方在使用该产品或其任何一部分时，不侵犯第三方知识产权，不引发侵权纠纷。</w:t>
      </w:r>
    </w:p>
    <w:p w14:paraId="1777DAE0">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(三）乙方须结合现场实际安装环境及要求，编制完整的项目实施方案，严格按照方案实施。</w:t>
      </w:r>
    </w:p>
    <w:p w14:paraId="390F6A53">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(四）乙方承诺，在项目实施期及质保期内，乙方须为甲方提供数据库安全、数据治理、医疗大数据方向技术方案、相关学术论文撰写与发表等方面的咨询与技术支持服务。</w:t>
      </w:r>
    </w:p>
    <w:p w14:paraId="306B5067">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(五）乙方须对甲方提供或自行提供的系统资产（包括物理/云服务器、网络及存储设备）承担全生命周期的安全管理责任，配置符合等保2.0三级安全防护要求和甲方指定的安全基线，确保业务的持续性与安全性。</w:t>
      </w:r>
    </w:p>
    <w:p w14:paraId="62EB9663">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六）乙方应积极无条件配合甲方开展（包括但不限于物理/云服务器、网络及存储设备、中间件、数据库、操作系统等）的安全审计、安全加固、渗透测试、应急响应等安全工作，并提供必要的权限支持，且在48小时内提交书面整改计划，发生重大安全事件时，乙方应立即响应并协助取证，确保事件快速处置并将影响降到最低。</w:t>
      </w:r>
    </w:p>
    <w:p w14:paraId="7833DBB0">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(七）本项目所有产品须符合国家国产化相关要求，满足信创适配相关标准。</w:t>
      </w:r>
    </w:p>
    <w:p w14:paraId="14DD127C">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sz w:val="24"/>
          <w:szCs w:val="24"/>
          <w:lang w:val="en-US" w:eastAsia="zh-CN"/>
        </w:rPr>
      </w:pPr>
      <w:r>
        <w:rPr>
          <w:rFonts w:hint="eastAsia" w:ascii="仿宋" w:hAnsi="仿宋" w:eastAsia="仿宋" w:cs="仿宋"/>
          <w:b w:val="0"/>
          <w:bCs w:val="0"/>
          <w:sz w:val="24"/>
          <w:szCs w:val="24"/>
          <w:lang w:val="en-US" w:eastAsia="zh-CN"/>
        </w:rPr>
        <w:t>(八）乙方须遵守国家政府采购相关法律法规，履行投标文件中的全部承诺。</w:t>
      </w:r>
    </w:p>
    <w:p w14:paraId="433E79A4">
      <w:pPr>
        <w:keepNext w:val="0"/>
        <w:keepLines w:val="0"/>
        <w:pageBreakBefore w:val="0"/>
        <w:widowControl w:val="0"/>
        <w:kinsoku/>
        <w:wordWrap/>
        <w:overflowPunct/>
        <w:topLinePunct w:val="0"/>
        <w:bidi w:val="0"/>
        <w:snapToGrid/>
        <w:spacing w:line="560" w:lineRule="exact"/>
        <w:ind w:left="0" w:right="0" w:rightChars="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 xml:space="preserve">第十二条 </w:t>
      </w:r>
      <w:r>
        <w:rPr>
          <w:rFonts w:hint="eastAsia" w:ascii="仿宋" w:hAnsi="仿宋" w:eastAsia="仿宋" w:cs="仿宋"/>
          <w:b/>
          <w:sz w:val="24"/>
          <w:szCs w:val="24"/>
        </w:rPr>
        <w:t>争议解决</w:t>
      </w:r>
    </w:p>
    <w:p w14:paraId="6858CDC8">
      <w:pPr>
        <w:keepNext w:val="0"/>
        <w:keepLines w:val="0"/>
        <w:pageBreakBefore w:val="0"/>
        <w:widowControl w:val="0"/>
        <w:kinsoku/>
        <w:wordWrap/>
        <w:overflowPunct/>
        <w:topLinePunct w:val="0"/>
        <w:bidi w:val="0"/>
        <w:snapToGrid/>
        <w:spacing w:line="560" w:lineRule="exact"/>
        <w:ind w:left="0"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若在本合同履行过程中发生争议，甲乙双方协商解决；协商不成的，任何一方均有权向甲方所在地人民法院提起诉讼。</w:t>
      </w:r>
    </w:p>
    <w:p w14:paraId="245FE912">
      <w:pPr>
        <w:keepNext w:val="0"/>
        <w:keepLines w:val="0"/>
        <w:pageBreakBefore w:val="0"/>
        <w:widowControl w:val="0"/>
        <w:kinsoku/>
        <w:wordWrap/>
        <w:overflowPunct/>
        <w:topLinePunct w:val="0"/>
        <w:bidi w:val="0"/>
        <w:snapToGrid/>
        <w:spacing w:line="560" w:lineRule="exact"/>
        <w:jc w:val="left"/>
        <w:textAlignment w:val="auto"/>
        <w:rPr>
          <w:rFonts w:hint="eastAsia" w:ascii="仿宋" w:hAnsi="仿宋" w:eastAsia="仿宋" w:cs="仿宋"/>
          <w:b/>
          <w:sz w:val="24"/>
          <w:szCs w:val="24"/>
        </w:rPr>
      </w:pPr>
      <w:r>
        <w:rPr>
          <w:rFonts w:hint="eastAsia" w:ascii="仿宋" w:hAnsi="仿宋" w:eastAsia="仿宋" w:cs="仿宋"/>
          <w:b/>
          <w:sz w:val="24"/>
          <w:szCs w:val="24"/>
        </w:rPr>
        <w:t>第十</w:t>
      </w:r>
      <w:r>
        <w:rPr>
          <w:rFonts w:hint="eastAsia" w:ascii="仿宋" w:hAnsi="仿宋" w:eastAsia="仿宋" w:cs="仿宋"/>
          <w:b/>
          <w:sz w:val="24"/>
          <w:szCs w:val="24"/>
          <w:lang w:val="en-US" w:eastAsia="zh-CN"/>
        </w:rPr>
        <w:t>三</w:t>
      </w:r>
      <w:r>
        <w:rPr>
          <w:rFonts w:hint="eastAsia" w:ascii="仿宋" w:hAnsi="仿宋" w:eastAsia="仿宋" w:cs="仿宋"/>
          <w:b/>
          <w:sz w:val="24"/>
          <w:szCs w:val="24"/>
        </w:rPr>
        <w:t>条 其他事项</w:t>
      </w:r>
    </w:p>
    <w:p w14:paraId="0C451F30">
      <w:pPr>
        <w:keepNext w:val="0"/>
        <w:keepLines w:val="0"/>
        <w:pageBreakBefore w:val="0"/>
        <w:widowControl w:val="0"/>
        <w:kinsoku/>
        <w:wordWrap/>
        <w:overflowPunct/>
        <w:topLinePunct w:val="0"/>
        <w:bidi w:val="0"/>
        <w:snapToGrid/>
        <w:spacing w:line="560" w:lineRule="exact"/>
        <w:ind w:firstLine="460" w:firstLineChars="192"/>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lang w:val="en-US" w:eastAsia="zh-CN"/>
        </w:rPr>
        <w:t>一</w:t>
      </w:r>
      <w:r>
        <w:rPr>
          <w:rFonts w:hint="eastAsia" w:ascii="仿宋" w:hAnsi="仿宋" w:eastAsia="仿宋" w:cs="仿宋"/>
          <w:bCs/>
          <w:color w:val="000000"/>
          <w:sz w:val="24"/>
          <w:szCs w:val="24"/>
          <w:lang w:eastAsia="zh-CN"/>
        </w:rPr>
        <w:t>）</w:t>
      </w:r>
      <w:r>
        <w:rPr>
          <w:rFonts w:hint="eastAsia" w:ascii="仿宋" w:hAnsi="仿宋" w:eastAsia="仿宋" w:cs="仿宋"/>
          <w:sz w:val="24"/>
          <w:szCs w:val="24"/>
        </w:rPr>
        <w:t>本合同一式肆份，甲方叁份，乙方壹份，具有同等法律效力，自双方法定代表人签字或盖章，并加盖公章之日起生效。</w:t>
      </w:r>
    </w:p>
    <w:p w14:paraId="7B6EC1D1">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lang w:val="en-US" w:eastAsia="zh-CN"/>
        </w:rPr>
        <w:t>二</w:t>
      </w: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rPr>
        <w:t>招标文件、投标文件也是合同的组成部分，具有同等法律效力，合同中未约定的以招标文件、投标文件为准。</w:t>
      </w:r>
    </w:p>
    <w:p w14:paraId="6BABFB28">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p>
    <w:p w14:paraId="49579A7A">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p>
    <w:p w14:paraId="1C0BC256">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r>
        <w:rPr>
          <w:rFonts w:hint="eastAsia" w:ascii="仿宋" w:hAnsi="仿宋" w:eastAsia="仿宋" w:cs="仿宋"/>
          <w:sz w:val="24"/>
          <w:szCs w:val="24"/>
        </w:rPr>
        <w:t>甲方： （盖章）                  乙方：（盖章）</w:t>
      </w:r>
    </w:p>
    <w:p w14:paraId="560293E7">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lang w:val="en-US" w:eastAsia="zh-CN"/>
        </w:rPr>
      </w:pPr>
      <w:r>
        <w:rPr>
          <w:rFonts w:hint="eastAsia" w:ascii="仿宋" w:hAnsi="仿宋" w:eastAsia="仿宋" w:cs="仿宋"/>
          <w:sz w:val="24"/>
          <w:szCs w:val="24"/>
        </w:rPr>
        <w:t xml:space="preserve">西北妇女儿童医院                 </w:t>
      </w:r>
    </w:p>
    <w:p w14:paraId="1BC01111">
      <w:pPr>
        <w:keepNext w:val="0"/>
        <w:keepLines w:val="0"/>
        <w:pageBreakBefore w:val="0"/>
        <w:kinsoku/>
        <w:wordWrap/>
        <w:overflowPunct/>
        <w:topLinePunct w:val="0"/>
        <w:bidi w:val="0"/>
        <w:snapToGrid/>
        <w:spacing w:line="560" w:lineRule="exact"/>
        <w:ind w:left="4080" w:hanging="4080" w:hangingChars="1700"/>
        <w:rPr>
          <w:rFonts w:hint="eastAsia" w:ascii="仿宋" w:hAnsi="仿宋" w:eastAsia="仿宋" w:cs="仿宋"/>
          <w:sz w:val="24"/>
          <w:highlight w:val="yellow"/>
        </w:rPr>
      </w:pPr>
      <w:r>
        <w:rPr>
          <w:rFonts w:hint="eastAsia" w:ascii="仿宋" w:hAnsi="仿宋" w:eastAsia="仿宋" w:cs="仿宋"/>
          <w:sz w:val="24"/>
          <w:szCs w:val="24"/>
        </w:rPr>
        <w:t>地  址：西安市雁翔路1616号      地  址：</w:t>
      </w:r>
    </w:p>
    <w:p w14:paraId="4B15723F">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p>
    <w:p w14:paraId="705B9884">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r>
        <w:rPr>
          <w:rFonts w:hint="eastAsia" w:ascii="仿宋" w:hAnsi="仿宋" w:eastAsia="仿宋" w:cs="仿宋"/>
          <w:sz w:val="24"/>
          <w:szCs w:val="24"/>
        </w:rPr>
        <w:t xml:space="preserve">法定代表人：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法定代表人：                           </w:t>
      </w:r>
    </w:p>
    <w:p w14:paraId="68B7B3AF">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lang w:val="en-US" w:eastAsia="zh-CN"/>
        </w:rPr>
      </w:pPr>
      <w:r>
        <w:rPr>
          <w:rFonts w:hint="eastAsia" w:ascii="仿宋" w:hAnsi="仿宋" w:eastAsia="仿宋" w:cs="仿宋"/>
          <w:sz w:val="24"/>
          <w:szCs w:val="24"/>
        </w:rPr>
        <w:t xml:space="preserve">联系人：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联系人：</w:t>
      </w:r>
      <w:r>
        <w:rPr>
          <w:rFonts w:hint="eastAsia" w:ascii="仿宋" w:hAnsi="仿宋" w:eastAsia="仿宋" w:cs="仿宋"/>
          <w:sz w:val="24"/>
          <w:szCs w:val="24"/>
          <w:lang w:val="en-US" w:eastAsia="zh-CN"/>
        </w:rPr>
        <w:t xml:space="preserve"> </w:t>
      </w:r>
    </w:p>
    <w:p w14:paraId="5C9AF4B8">
      <w:pPr>
        <w:keepNext w:val="0"/>
        <w:keepLines w:val="0"/>
        <w:pageBreakBefore w:val="0"/>
        <w:kinsoku/>
        <w:wordWrap/>
        <w:overflowPunct/>
        <w:topLinePunct w:val="0"/>
        <w:bidi w:val="0"/>
        <w:snapToGrid/>
        <w:spacing w:line="560" w:lineRule="exact"/>
        <w:ind w:left="0"/>
        <w:rPr>
          <w:rFonts w:hint="eastAsia" w:ascii="仿宋" w:hAnsi="仿宋" w:eastAsia="仿宋" w:cs="仿宋"/>
          <w:bCs/>
          <w:sz w:val="24"/>
          <w:szCs w:val="24"/>
          <w:lang w:eastAsia="zh-CN"/>
        </w:rPr>
      </w:pPr>
      <w:r>
        <w:rPr>
          <w:rFonts w:hint="eastAsia" w:ascii="仿宋" w:hAnsi="仿宋" w:eastAsia="仿宋" w:cs="仿宋"/>
          <w:sz w:val="24"/>
          <w:szCs w:val="24"/>
        </w:rPr>
        <w:t>电  话：</w:t>
      </w:r>
      <w:r>
        <w:rPr>
          <w:rFonts w:hint="eastAsia" w:ascii="仿宋" w:hAnsi="仿宋" w:eastAsia="仿宋" w:cs="仿宋"/>
          <w:sz w:val="24"/>
          <w:szCs w:val="24"/>
          <w:lang w:val="en-US" w:eastAsia="zh-CN"/>
        </w:rPr>
        <w:t>029-89550616</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电  话</w:t>
      </w:r>
      <w:r>
        <w:rPr>
          <w:rFonts w:hint="eastAsia" w:ascii="仿宋" w:hAnsi="仿宋" w:eastAsia="仿宋" w:cs="仿宋"/>
          <w:sz w:val="24"/>
          <w:szCs w:val="24"/>
          <w:lang w:eastAsia="zh-CN"/>
        </w:rPr>
        <w:t>：</w:t>
      </w:r>
      <w:r>
        <w:rPr>
          <w:rFonts w:hint="eastAsia" w:ascii="仿宋" w:hAnsi="仿宋" w:eastAsia="仿宋" w:cs="仿宋"/>
          <w:bCs/>
          <w:sz w:val="24"/>
          <w:szCs w:val="24"/>
          <w:lang w:val="en-US" w:eastAsia="zh-CN"/>
        </w:rPr>
        <w:t xml:space="preserve"> </w:t>
      </w:r>
    </w:p>
    <w:p w14:paraId="04FD7F76">
      <w:pPr>
        <w:keepNext w:val="0"/>
        <w:keepLines w:val="0"/>
        <w:pageBreakBefore w:val="0"/>
        <w:kinsoku/>
        <w:wordWrap/>
        <w:overflowPunct/>
        <w:topLinePunct w:val="0"/>
        <w:bidi w:val="0"/>
        <w:snapToGrid/>
        <w:spacing w:line="560" w:lineRule="exact"/>
        <w:ind w:left="0" w:hanging="4320" w:hangingChars="1800"/>
        <w:rPr>
          <w:rFonts w:hint="eastAsia" w:ascii="仿宋" w:hAnsi="仿宋" w:eastAsia="仿宋" w:cs="仿宋"/>
          <w:bCs/>
          <w:sz w:val="24"/>
          <w:szCs w:val="24"/>
          <w:lang w:eastAsia="zh-CN"/>
        </w:rPr>
      </w:pPr>
      <w:r>
        <w:rPr>
          <w:rFonts w:hint="eastAsia" w:ascii="仿宋" w:hAnsi="仿宋" w:eastAsia="仿宋" w:cs="仿宋"/>
          <w:sz w:val="24"/>
          <w:szCs w:val="24"/>
        </w:rPr>
        <w:t>开户银行：</w:t>
      </w:r>
      <w:r>
        <w:rPr>
          <w:rFonts w:hint="eastAsia" w:ascii="仿宋" w:hAnsi="仿宋" w:eastAsia="仿宋" w:cs="仿宋"/>
          <w:bCs/>
          <w:sz w:val="24"/>
          <w:szCs w:val="24"/>
        </w:rPr>
        <w:t>中国银行西安莲湖区支行</w:t>
      </w:r>
      <w:r>
        <w:rPr>
          <w:rFonts w:hint="eastAsia" w:ascii="仿宋" w:hAnsi="仿宋" w:eastAsia="仿宋" w:cs="仿宋"/>
          <w:sz w:val="24"/>
          <w:szCs w:val="24"/>
        </w:rPr>
        <w:t xml:space="preserve">     开户银行：</w:t>
      </w:r>
      <w:r>
        <w:rPr>
          <w:rFonts w:hint="eastAsia" w:ascii="仿宋" w:hAnsi="仿宋" w:eastAsia="仿宋" w:cs="仿宋"/>
          <w:bCs/>
          <w:sz w:val="24"/>
          <w:szCs w:val="24"/>
          <w:lang w:val="en-US" w:eastAsia="zh-CN"/>
        </w:rPr>
        <w:t xml:space="preserve"> </w:t>
      </w:r>
    </w:p>
    <w:p w14:paraId="4181DDCD">
      <w:pPr>
        <w:keepNext w:val="0"/>
        <w:keepLines w:val="0"/>
        <w:pageBreakBefore w:val="0"/>
        <w:kinsoku/>
        <w:wordWrap/>
        <w:overflowPunct/>
        <w:topLinePunct w:val="0"/>
        <w:bidi w:val="0"/>
        <w:snapToGrid/>
        <w:spacing w:line="560" w:lineRule="exact"/>
        <w:ind w:left="0" w:hanging="4320" w:hangingChars="1800"/>
        <w:rPr>
          <w:rFonts w:hint="eastAsia" w:ascii="仿宋" w:hAnsi="仿宋" w:eastAsia="仿宋" w:cs="仿宋"/>
          <w:bCs/>
          <w:sz w:val="24"/>
          <w:szCs w:val="24"/>
          <w:lang w:val="en-US" w:eastAsia="zh-CN"/>
        </w:rPr>
      </w:pPr>
      <w:r>
        <w:rPr>
          <w:rFonts w:hint="eastAsia" w:ascii="仿宋" w:hAnsi="仿宋" w:eastAsia="仿宋" w:cs="仿宋"/>
          <w:sz w:val="24"/>
          <w:szCs w:val="24"/>
        </w:rPr>
        <w:t xml:space="preserve">账  号：103208712015              </w:t>
      </w:r>
      <w:r>
        <w:rPr>
          <w:rFonts w:hint="eastAsia" w:ascii="仿宋" w:hAnsi="仿宋" w:eastAsia="仿宋" w:cs="仿宋"/>
          <w:kern w:val="0"/>
          <w:sz w:val="24"/>
          <w:szCs w:val="24"/>
          <w:lang w:val="en-US" w:eastAsia="zh-CN"/>
        </w:rPr>
        <w:t>账 号：</w:t>
      </w:r>
      <w:r>
        <w:rPr>
          <w:rFonts w:hint="eastAsia" w:ascii="仿宋" w:hAnsi="仿宋" w:eastAsia="仿宋" w:cs="仿宋"/>
          <w:bCs/>
          <w:sz w:val="24"/>
          <w:szCs w:val="24"/>
          <w:lang w:val="en-US" w:eastAsia="zh-CN"/>
        </w:rPr>
        <w:t xml:space="preserve"> </w:t>
      </w:r>
    </w:p>
    <w:p w14:paraId="024DD0F7">
      <w:pPr>
        <w:keepNext w:val="0"/>
        <w:keepLines w:val="0"/>
        <w:pageBreakBefore w:val="0"/>
        <w:kinsoku/>
        <w:wordWrap/>
        <w:overflowPunct/>
        <w:topLinePunct w:val="0"/>
        <w:bidi w:val="0"/>
        <w:snapToGrid/>
        <w:spacing w:line="560" w:lineRule="exact"/>
        <w:ind w:left="0" w:hanging="4320" w:hangingChars="1800"/>
        <w:rPr>
          <w:rFonts w:hint="eastAsia" w:ascii="仿宋" w:hAnsi="仿宋" w:eastAsia="仿宋" w:cs="仿宋"/>
          <w:sz w:val="24"/>
          <w:szCs w:val="24"/>
        </w:rPr>
      </w:pPr>
      <w:r>
        <w:rPr>
          <w:rFonts w:hint="eastAsia" w:ascii="仿宋" w:hAnsi="仿宋" w:eastAsia="仿宋" w:cs="仿宋"/>
          <w:bCs/>
          <w:sz w:val="24"/>
          <w:szCs w:val="24"/>
          <w:lang w:val="en-US" w:eastAsia="zh-CN"/>
        </w:rPr>
        <w:t xml:space="preserve">纳税人识别号：126100000881820988  纳税人识别号： </w:t>
      </w:r>
    </w:p>
    <w:p w14:paraId="057505FE">
      <w:pPr>
        <w:keepNext w:val="0"/>
        <w:keepLines w:val="0"/>
        <w:pageBreakBefore w:val="0"/>
        <w:kinsoku/>
        <w:wordWrap/>
        <w:overflowPunct/>
        <w:topLinePunct w:val="0"/>
        <w:bidi w:val="0"/>
        <w:snapToGrid/>
        <w:spacing w:line="560" w:lineRule="exact"/>
        <w:ind w:left="0" w:firstLine="2160" w:firstLineChars="900"/>
        <w:rPr>
          <w:rFonts w:hint="eastAsia" w:ascii="仿宋" w:hAnsi="仿宋" w:eastAsia="仿宋" w:cs="仿宋"/>
          <w:sz w:val="24"/>
          <w:szCs w:val="24"/>
        </w:rPr>
      </w:pPr>
      <w:r>
        <w:rPr>
          <w:rFonts w:hint="eastAsia" w:ascii="仿宋" w:hAnsi="仿宋" w:eastAsia="仿宋" w:cs="仿宋"/>
          <w:sz w:val="24"/>
          <w:szCs w:val="24"/>
        </w:rPr>
        <w:t xml:space="preserve">签订时间：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年   月   日            </w:t>
      </w:r>
    </w:p>
    <w:p w14:paraId="760E20F3">
      <w:pPr>
        <w:keepNext w:val="0"/>
        <w:keepLines w:val="0"/>
        <w:pageBreakBefore w:val="0"/>
        <w:kinsoku/>
        <w:wordWrap/>
        <w:overflowPunct/>
        <w:topLinePunct w:val="0"/>
        <w:bidi w:val="0"/>
        <w:snapToGrid/>
        <w:spacing w:line="560" w:lineRule="exact"/>
        <w:ind w:left="0" w:firstLine="2160" w:firstLineChars="900"/>
        <w:rPr>
          <w:rFonts w:hint="eastAsia" w:ascii="仿宋" w:hAnsi="仿宋" w:eastAsia="仿宋" w:cs="仿宋"/>
          <w:b/>
          <w:bCs/>
          <w:sz w:val="24"/>
          <w:szCs w:val="24"/>
          <w:u w:val="single"/>
        </w:rPr>
      </w:pPr>
      <w:r>
        <w:rPr>
          <w:rFonts w:hint="eastAsia" w:ascii="仿宋" w:hAnsi="仿宋" w:eastAsia="仿宋" w:cs="仿宋"/>
          <w:sz w:val="24"/>
          <w:szCs w:val="24"/>
        </w:rPr>
        <w:t>签订地点：西安市</w:t>
      </w:r>
    </w:p>
    <w:p w14:paraId="1F86939A">
      <w:pPr>
        <w:rPr>
          <w:rFonts w:hint="eastAsia" w:ascii="宋体" w:hAnsi="宋体" w:eastAsia="宋体" w:cs="宋体"/>
          <w:highlight w:val="none"/>
        </w:rPr>
      </w:pPr>
      <w:bookmarkStart w:id="0" w:name="_GoBack"/>
      <w:bookmarkEnd w:id="0"/>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5784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18A86E">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318A86E">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1"/>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1"/>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5EB313C"/>
    <w:rsid w:val="4FCD17DD"/>
    <w:rsid w:val="67716EF7"/>
    <w:rsid w:val="6CBA386A"/>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2">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toc 4"/>
    <w:basedOn w:val="1"/>
    <w:next w:val="1"/>
    <w:qFormat/>
    <w:uiPriority w:val="0"/>
    <w:pPr>
      <w:ind w:left="630"/>
      <w:jc w:val="left"/>
    </w:pPr>
    <w:rPr>
      <w:sz w:val="18"/>
      <w:szCs w:val="18"/>
    </w:rPr>
  </w:style>
  <w:style w:type="paragraph" w:styleId="7">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8">
    <w:name w:val="Body Text Indent"/>
    <w:basedOn w:val="1"/>
    <w:qFormat/>
    <w:uiPriority w:val="0"/>
    <w:pPr>
      <w:ind w:firstLine="480"/>
    </w:pPr>
    <w:rPr>
      <w:rFonts w:ascii="宋体" w:hAnsi="宋体"/>
    </w:rPr>
  </w:style>
  <w:style w:type="paragraph" w:styleId="9">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10">
    <w:name w:val="Plain Text"/>
    <w:basedOn w:val="1"/>
    <w:autoRedefine/>
    <w:qFormat/>
    <w:uiPriority w:val="99"/>
    <w:rPr>
      <w:rFonts w:ascii="宋体" w:hAnsi="Courier New"/>
      <w:szCs w:val="21"/>
    </w:rPr>
  </w:style>
  <w:style w:type="paragraph" w:styleId="11">
    <w:name w:val="footer"/>
    <w:basedOn w:val="1"/>
    <w:qFormat/>
    <w:uiPriority w:val="99"/>
    <w:pPr>
      <w:tabs>
        <w:tab w:val="center" w:pos="4153"/>
        <w:tab w:val="right" w:pos="8306"/>
      </w:tabs>
      <w:snapToGrid w:val="0"/>
      <w:jc w:val="left"/>
    </w:pPr>
    <w:rPr>
      <w:sz w:val="18"/>
    </w:rPr>
  </w:style>
  <w:style w:type="paragraph" w:styleId="12">
    <w:name w:val="toc 1"/>
    <w:basedOn w:val="1"/>
    <w:next w:val="1"/>
    <w:qFormat/>
    <w:uiPriority w:val="0"/>
  </w:style>
  <w:style w:type="paragraph" w:styleId="13">
    <w:name w:val="Body Text First Indent"/>
    <w:basedOn w:val="7"/>
    <w:qFormat/>
    <w:uiPriority w:val="0"/>
    <w:pPr>
      <w:spacing w:line="240" w:lineRule="auto"/>
      <w:ind w:firstLine="420" w:firstLineChars="100"/>
    </w:pPr>
    <w:rPr>
      <w:color w:val="auto"/>
      <w:sz w:val="18"/>
      <w:szCs w:val="18"/>
    </w:rPr>
  </w:style>
  <w:style w:type="paragraph" w:styleId="14">
    <w:name w:val="Body Text First Indent 2"/>
    <w:basedOn w:val="8"/>
    <w:next w:val="1"/>
    <w:unhideWhenUsed/>
    <w:qFormat/>
    <w:uiPriority w:val="99"/>
    <w:pPr>
      <w:spacing w:after="120"/>
      <w:ind w:left="420" w:leftChars="200" w:firstLine="420" w:firstLineChars="200"/>
    </w:pPr>
    <w:rPr>
      <w:rFonts w:ascii="Times New Roman" w:eastAsia="宋?"/>
      <w:szCs w:val="24"/>
    </w:rPr>
  </w:style>
  <w:style w:type="character" w:styleId="17">
    <w:name w:val="page number"/>
    <w:qFormat/>
    <w:uiPriority w:val="0"/>
  </w:style>
  <w:style w:type="character" w:customStyle="1" w:styleId="18">
    <w:name w:val="标题 1 字符1"/>
    <w:qFormat/>
    <w:uiPriority w:val="0"/>
    <w:rPr>
      <w:rFonts w:ascii="Times New Roman" w:hAnsi="Times New Roman" w:eastAsia="宋体" w:cs="Times New Roman"/>
      <w:b/>
      <w:kern w:val="0"/>
      <w:szCs w:val="20"/>
    </w:rPr>
  </w:style>
  <w:style w:type="paragraph" w:customStyle="1" w:styleId="19">
    <w:name w:val="列表段落11"/>
    <w:basedOn w:val="1"/>
    <w:qFormat/>
    <w:uiPriority w:val="34"/>
    <w:pPr>
      <w:spacing w:line="360" w:lineRule="auto"/>
      <w:ind w:firstLine="420" w:firstLineChars="200"/>
      <w:jc w:val="left"/>
    </w:pPr>
    <w:rPr>
      <w:sz w:val="24"/>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3136</Words>
  <Characters>3206</Characters>
  <Lines>0</Lines>
  <Paragraphs>0</Paragraphs>
  <TotalTime>0</TotalTime>
  <ScaleCrop>false</ScaleCrop>
  <LinksUpToDate>false</LinksUpToDate>
  <CharactersWithSpaces>3427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2026-07-02T09:11:34Z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