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版本号：RQZC-2026-00220260804001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大荔县2026年第二批产业基础设施配套及乡村建设帮扶资金项目监理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RQZC-2026-002</w:t>
      </w:r>
      <w:r>
        <w:br/>
      </w:r>
      <w:r>
        <w:br/>
      </w:r>
      <w:r>
        <w:br/>
      </w:r>
    </w:p>
    <w:p>
      <w:pPr>
        <w:pStyle w:val="null3"/>
        <w:jc w:val="center"/>
        <w:outlineLvl w:val="2"/>
      </w:pPr>
      <w:r>
        <w:rPr>
          <w:rFonts w:ascii="仿宋_GB2312" w:hAnsi="仿宋_GB2312" w:cs="仿宋_GB2312" w:eastAsia="仿宋_GB2312"/>
          <w:sz w:val="28"/>
          <w:b/>
        </w:rPr>
        <w:t>大荔县农业农村局</w:t>
      </w:r>
    </w:p>
    <w:p>
      <w:pPr>
        <w:pStyle w:val="null3"/>
        <w:jc w:val="center"/>
        <w:outlineLvl w:val="2"/>
      </w:pPr>
      <w:r>
        <w:rPr>
          <w:rFonts w:ascii="仿宋_GB2312" w:hAnsi="仿宋_GB2312" w:cs="仿宋_GB2312" w:eastAsia="仿宋_GB2312"/>
          <w:sz w:val="28"/>
          <w:b/>
        </w:rPr>
        <w:t>陕西润取项目管理有限公司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陕西润取项目管理有限公司</w:t>
      </w:r>
      <w:r>
        <w:rPr>
          <w:rFonts w:ascii="仿宋_GB2312" w:hAnsi="仿宋_GB2312" w:cs="仿宋_GB2312" w:eastAsia="仿宋_GB2312"/>
        </w:rPr>
        <w:t>（以下简称“代理机构”）受</w:t>
      </w:r>
      <w:r>
        <w:rPr>
          <w:rFonts w:ascii="仿宋_GB2312" w:hAnsi="仿宋_GB2312" w:cs="仿宋_GB2312" w:eastAsia="仿宋_GB2312"/>
        </w:rPr>
        <w:t>大荔县农业农村局</w:t>
      </w:r>
      <w:r>
        <w:rPr>
          <w:rFonts w:ascii="仿宋_GB2312" w:hAnsi="仿宋_GB2312" w:cs="仿宋_GB2312" w:eastAsia="仿宋_GB2312"/>
        </w:rPr>
        <w:t>委托，拟对</w:t>
      </w:r>
      <w:r>
        <w:rPr>
          <w:rFonts w:ascii="仿宋_GB2312" w:hAnsi="仿宋_GB2312" w:cs="仿宋_GB2312" w:eastAsia="仿宋_GB2312"/>
        </w:rPr>
        <w:t>大荔县2026年第二批产业基础设施配套及乡村建设帮扶资金项目监理</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RQZC-2026-002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大荔县2026年第二批产业基础设施配套及乡村建设帮扶资金项目监理</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大荔县2026年第二批产业基础设施配套及乡村建设帮扶资金项目监理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采购包1（大荔县2026年第二批产业基础设施配套及乡村建设帮扶资金项目监理）：属于专门面向中小企业采购。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具有财务审计资质单位出具的2024年度或2025年度财务审计报告（成立时间至磋商时间不足一年的可提供成立后任意时段的资产负债表）或磋商前六个月内其基本账户银行出具的资信证明（附开户许可证或基本账户证明）或政府采购信用担保机构出具的磋商担保函；</w:t>
      </w:r>
    </w:p>
    <w:p>
      <w:pPr>
        <w:pStyle w:val="null3"/>
      </w:pPr>
      <w:r>
        <w:rPr>
          <w:rFonts w:ascii="仿宋_GB2312" w:hAnsi="仿宋_GB2312" w:cs="仿宋_GB2312" w:eastAsia="仿宋_GB2312"/>
        </w:rPr>
        <w:t>3、税收缴纳证明：提供2026年1月1日至今任意一个月已缴纳的纳税证明或完税证明（包含增值税、企业所得税、营业税至少一种）；（依法免税的供应商应提供相关文件证明）</w:t>
      </w:r>
    </w:p>
    <w:p>
      <w:pPr>
        <w:pStyle w:val="null3"/>
      </w:pPr>
      <w:r>
        <w:rPr>
          <w:rFonts w:ascii="仿宋_GB2312" w:hAnsi="仿宋_GB2312" w:cs="仿宋_GB2312" w:eastAsia="仿宋_GB2312"/>
        </w:rPr>
        <w:t>4、社会保障资金缴纳证明：提供2026年1月1日至今任意一个月的社保缴费凭据或社保机构开具的社会保险参保缴费情况证明；（依法不需要缴纳社会保障资金的供应商应提供相关证明）</w:t>
      </w:r>
    </w:p>
    <w:p>
      <w:pPr>
        <w:pStyle w:val="null3"/>
      </w:pPr>
      <w:r>
        <w:rPr>
          <w:rFonts w:ascii="仿宋_GB2312" w:hAnsi="仿宋_GB2312" w:cs="仿宋_GB2312" w:eastAsia="仿宋_GB2312"/>
        </w:rPr>
        <w:t>5、履约能力说明：提供具有履行本合同所必需的设备和专业技术能力的说明及承诺；（提供书面说明及承诺，加盖供应商公章）</w:t>
      </w:r>
    </w:p>
    <w:p>
      <w:pPr>
        <w:pStyle w:val="null3"/>
      </w:pPr>
      <w:r>
        <w:rPr>
          <w:rFonts w:ascii="仿宋_GB2312" w:hAnsi="仿宋_GB2312" w:cs="仿宋_GB2312" w:eastAsia="仿宋_GB2312"/>
        </w:rPr>
        <w:t>6、政府采购无重大违法记录声明：提供参加政府采购活动前三年内在经营活动中没有重大违法记录的书面声明；（格式自拟，加盖供应商公章）</w:t>
      </w:r>
    </w:p>
    <w:p>
      <w:pPr>
        <w:pStyle w:val="null3"/>
      </w:pPr>
      <w:r>
        <w:rPr>
          <w:rFonts w:ascii="仿宋_GB2312" w:hAnsi="仿宋_GB2312" w:cs="仿宋_GB2312" w:eastAsia="仿宋_GB2312"/>
        </w:rPr>
        <w:t>7、法定代表人或负责人资格证明书：法定代表人或负责人参与磋商时需提供法定代表人或负责人资格证明书；（附法定代表人或负责人身份证复印件）</w:t>
      </w:r>
    </w:p>
    <w:p>
      <w:pPr>
        <w:pStyle w:val="null3"/>
      </w:pPr>
      <w:r>
        <w:rPr>
          <w:rFonts w:ascii="仿宋_GB2312" w:hAnsi="仿宋_GB2312" w:cs="仿宋_GB2312" w:eastAsia="仿宋_GB2312"/>
        </w:rPr>
        <w:t>8、法定代表人或负责人授权委托书：被授权人参与磋商时需提供法定代表人或负责人授权委托书；（附法定代表人或负责人及被授权人身份证复印件，被授权人需为本公司人员，提供相关证明材料或承诺书）</w:t>
      </w:r>
    </w:p>
    <w:p>
      <w:pPr>
        <w:pStyle w:val="null3"/>
      </w:pPr>
      <w:r>
        <w:rPr>
          <w:rFonts w:ascii="仿宋_GB2312" w:hAnsi="仿宋_GB2312" w:cs="仿宋_GB2312" w:eastAsia="仿宋_GB2312"/>
        </w:rPr>
        <w:t>9、企业资质：供应商具备有效的工程监理综合资质或市政公用工程监理乙级及以上资质；</w:t>
      </w:r>
    </w:p>
    <w:p>
      <w:pPr>
        <w:pStyle w:val="null3"/>
      </w:pPr>
      <w:r>
        <w:rPr>
          <w:rFonts w:ascii="仿宋_GB2312" w:hAnsi="仿宋_GB2312" w:cs="仿宋_GB2312" w:eastAsia="仿宋_GB2312"/>
        </w:rPr>
        <w:t>10、拟派项目总监理工程师：拟派项目总监理工程师具备有效的市政公用工程专业国家注册监理工程师，在本单位注册且无在监项目；（提供无在监承诺书）</w:t>
      </w:r>
    </w:p>
    <w:p>
      <w:pPr>
        <w:pStyle w:val="null3"/>
      </w:pPr>
      <w:r>
        <w:rPr>
          <w:rFonts w:ascii="仿宋_GB2312" w:hAnsi="仿宋_GB2312" w:cs="仿宋_GB2312" w:eastAsia="仿宋_GB2312"/>
        </w:rPr>
        <w:t>11、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书面承诺函，格式自拟加盖供应商公章）</w:t>
      </w:r>
    </w:p>
    <w:p>
      <w:pPr>
        <w:pStyle w:val="null3"/>
      </w:pPr>
      <w:r>
        <w:rPr>
          <w:rFonts w:ascii="仿宋_GB2312" w:hAnsi="仿宋_GB2312" w:cs="仿宋_GB2312" w:eastAsia="仿宋_GB2312"/>
        </w:rPr>
        <w:t>12、控股管理关系承诺：单位负责人为同一人或者存在直接控股、管理关系的不同供应商，不得参加同一合同项下的政府采购活动；（提供书面承诺函，格式自拟加盖供应商公章）</w:t>
      </w:r>
    </w:p>
    <w:p>
      <w:pPr>
        <w:pStyle w:val="null3"/>
      </w:pPr>
      <w:r>
        <w:rPr>
          <w:rFonts w:ascii="仿宋_GB2312" w:hAnsi="仿宋_GB2312" w:cs="仿宋_GB2312" w:eastAsia="仿宋_GB2312"/>
        </w:rPr>
        <w:t>13、非联合体承诺：本项目不接受联合体磋商；（提供书面承诺函，格式自拟加盖供应商公章）</w:t>
      </w:r>
    </w:p>
    <w:p>
      <w:pPr>
        <w:pStyle w:val="null3"/>
      </w:pPr>
      <w:r>
        <w:rPr>
          <w:rFonts w:ascii="仿宋_GB2312" w:hAnsi="仿宋_GB2312" w:cs="仿宋_GB2312" w:eastAsia="仿宋_GB2312"/>
        </w:rPr>
        <w:t>14、本项目专门面向中小企业采购：本项目专门面向中小企业采购；须符合《政府采购促进中小企业发展管理办法》（财库〔2020〕46号）规定的中小企业参加。(提供《中小企业声明函》，式样见竞争性磋商文件格式)</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大荔县农业农村局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大荔县北环路78号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0913-3261358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陕西润取项目管理有限公司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陕西省西安市雁塔区朱雀大街南段长丰园1区1号楼C单元18层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18142377540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以本采购项目成交价为基数，成交单位在领取成交通知书时，参照原《国家计委关于印发&lt;招标代理服务收费管理暂行办法&gt;的通知》(计价格〔2002〕1980号)、《国家发展改革委关于降低部分建设项目收费标准规范收费行为等有关问题的通知》(发改价格〔2011〕534号)以及财政部关于印发&lt;政府采购代理机构管理暂行办法&gt;的通知》（财库〔2018〕2号）规定向陕西润取项目管理有限公司交纳招标服务费。 2、招标代理服务费应采用转账形式交纳。3、服务费交纳账户： 开户名称：陕西润取项目管理有限公司 开户银行：中信银行股份有限公司西安朱雀南路支行 银行账号：8111701012200890855。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大荔县农业农村局</w:t>
      </w:r>
      <w:r>
        <w:rPr>
          <w:rFonts w:ascii="仿宋_GB2312" w:hAnsi="仿宋_GB2312" w:cs="仿宋_GB2312" w:eastAsia="仿宋_GB2312"/>
        </w:rPr>
        <w:t>和</w:t>
      </w:r>
      <w:r>
        <w:rPr>
          <w:rFonts w:ascii="仿宋_GB2312" w:hAnsi="仿宋_GB2312" w:cs="仿宋_GB2312" w:eastAsia="仿宋_GB2312"/>
        </w:rPr>
        <w:t>陕西润取项目管理有限公司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大荔县农业农村局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陕西润取项目管理有限公司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大荔县农业农村局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陕西润取项目管理有限公司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详见监理合同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陕西润取项目管理有限公司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陕西润取项目管理有限公司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陕西润取项目管理有限公司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联系人：罗工</w:t>
      </w:r>
    </w:p>
    <w:p>
      <w:pPr>
        <w:pStyle w:val="null3"/>
      </w:pPr>
      <w:r>
        <w:rPr>
          <w:rFonts w:ascii="仿宋_GB2312" w:hAnsi="仿宋_GB2312" w:cs="仿宋_GB2312" w:eastAsia="仿宋_GB2312"/>
        </w:rPr>
        <w:t>联系电话：18142377540</w:t>
      </w:r>
    </w:p>
    <w:p>
      <w:pPr>
        <w:pStyle w:val="null3"/>
      </w:pPr>
      <w:r>
        <w:rPr>
          <w:rFonts w:ascii="仿宋_GB2312" w:hAnsi="仿宋_GB2312" w:cs="仿宋_GB2312" w:eastAsia="仿宋_GB2312"/>
        </w:rPr>
        <w:t>地址：陕西省西安市雁塔区朱雀大街南段长丰园1区1号楼C单元18层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大荔县2026年第二批产业基础设施配套及乡村建设帮扶资金项目监理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950,000.00</w:t>
      </w:r>
    </w:p>
    <w:p>
      <w:pPr>
        <w:pStyle w:val="null3"/>
      </w:pPr>
      <w:r>
        <w:rPr>
          <w:rFonts w:ascii="仿宋_GB2312" w:hAnsi="仿宋_GB2312" w:cs="仿宋_GB2312" w:eastAsia="仿宋_GB2312"/>
        </w:rPr>
        <w:t>采购包最高限价（元）: 950,000.00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大荔县2026年第二批产业基础设施配套及乡村建设帮扶资金项目监理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标的名称：大荔县2026年第二批产业基础设施配套及乡村建设帮扶资金项目监理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（一）项目概况：针对</w:t>
            </w:r>
            <w:r>
              <w:rPr>
                <w:rFonts w:ascii="仿宋_GB2312" w:hAnsi="仿宋_GB2312" w:cs="仿宋_GB2312" w:eastAsia="仿宋_GB2312"/>
              </w:rPr>
              <w:t>大荔县</w:t>
            </w:r>
            <w:r>
              <w:rPr>
                <w:rFonts w:ascii="仿宋_GB2312" w:hAnsi="仿宋_GB2312" w:cs="仿宋_GB2312" w:eastAsia="仿宋_GB2312"/>
              </w:rPr>
              <w:t>2026年第二批产业基础设施配套及乡村建设帮扶资金项目</w:t>
            </w:r>
            <w:r>
              <w:rPr>
                <w:rFonts w:ascii="仿宋_GB2312" w:hAnsi="仿宋_GB2312" w:cs="仿宋_GB2312" w:eastAsia="仿宋_GB2312"/>
              </w:rPr>
              <w:t>进行施工监理</w:t>
            </w:r>
          </w:p>
          <w:p>
            <w:pPr>
              <w:pStyle w:val="null3"/>
            </w:pPr>
            <w:r>
              <w:rPr>
                <w:rFonts w:ascii="仿宋_GB2312" w:hAnsi="仿宋_GB2312" w:cs="仿宋_GB2312" w:eastAsia="仿宋_GB2312"/>
              </w:rPr>
              <w:t>（二）监理服务要求</w:t>
            </w:r>
          </w:p>
          <w:p>
            <w:pPr>
              <w:pStyle w:val="null3"/>
            </w:pPr>
            <w:r>
              <w:rPr>
                <w:rFonts w:ascii="仿宋_GB2312" w:hAnsi="仿宋_GB2312" w:cs="仿宋_GB2312" w:eastAsia="仿宋_GB2312"/>
              </w:rPr>
              <w:t>工程投资控制在合同价格以内，工程质量控制达到合格标准，工程进度控制在合同工期之内。</w:t>
            </w:r>
          </w:p>
          <w:p>
            <w:pPr>
              <w:pStyle w:val="null3"/>
            </w:pPr>
            <w:r>
              <w:rPr>
                <w:rFonts w:ascii="仿宋_GB2312" w:hAnsi="仿宋_GB2312" w:cs="仿宋_GB2312" w:eastAsia="仿宋_GB2312"/>
              </w:rPr>
              <w:t>（三）本项目监理涉及的相关规范和依据（不限于以下内容）</w:t>
            </w:r>
          </w:p>
          <w:p>
            <w:pPr>
              <w:pStyle w:val="null3"/>
            </w:pPr>
            <w:r>
              <w:rPr>
                <w:rFonts w:ascii="仿宋_GB2312" w:hAnsi="仿宋_GB2312" w:cs="仿宋_GB2312" w:eastAsia="仿宋_GB2312"/>
              </w:rPr>
              <w:t>1、国家有关法律法规；</w:t>
            </w:r>
          </w:p>
          <w:p>
            <w:pPr>
              <w:pStyle w:val="null3"/>
            </w:pPr>
            <w:r>
              <w:rPr>
                <w:rFonts w:ascii="仿宋_GB2312" w:hAnsi="仿宋_GB2312" w:cs="仿宋_GB2312" w:eastAsia="仿宋_GB2312"/>
              </w:rPr>
              <w:t>2、行业标准、规范；</w:t>
            </w:r>
          </w:p>
          <w:p>
            <w:pPr>
              <w:pStyle w:val="null3"/>
            </w:pPr>
            <w:r>
              <w:rPr>
                <w:rFonts w:ascii="仿宋_GB2312" w:hAnsi="仿宋_GB2312" w:cs="仿宋_GB2312" w:eastAsia="仿宋_GB2312"/>
              </w:rPr>
              <w:t>3、质量监督部门下达的有关文件要求；</w:t>
            </w:r>
          </w:p>
          <w:p>
            <w:pPr>
              <w:pStyle w:val="null3"/>
            </w:pPr>
            <w:r>
              <w:rPr>
                <w:rFonts w:ascii="仿宋_GB2312" w:hAnsi="仿宋_GB2312" w:cs="仿宋_GB2312" w:eastAsia="仿宋_GB2312"/>
              </w:rPr>
              <w:t>4、经有关部门批准的工程项目文件和设计图纸、设计以及设计变更；</w:t>
            </w:r>
          </w:p>
          <w:p>
            <w:pPr>
              <w:pStyle w:val="null3"/>
            </w:pPr>
            <w:r>
              <w:rPr>
                <w:rFonts w:ascii="仿宋_GB2312" w:hAnsi="仿宋_GB2312" w:cs="仿宋_GB2312" w:eastAsia="仿宋_GB2312"/>
              </w:rPr>
              <w:t>5、采购人与监理单位签订的监理合同；</w:t>
            </w:r>
          </w:p>
          <w:p>
            <w:pPr>
              <w:pStyle w:val="null3"/>
            </w:pPr>
            <w:r>
              <w:rPr>
                <w:rFonts w:ascii="仿宋_GB2312" w:hAnsi="仿宋_GB2312" w:cs="仿宋_GB2312" w:eastAsia="仿宋_GB2312"/>
              </w:rPr>
              <w:t>6、采购人与施工承包单位签订的施工合同；</w:t>
            </w:r>
          </w:p>
          <w:p>
            <w:pPr>
              <w:pStyle w:val="null3"/>
            </w:pPr>
            <w:r>
              <w:rPr>
                <w:rFonts w:ascii="仿宋_GB2312" w:hAnsi="仿宋_GB2312" w:cs="仿宋_GB2312" w:eastAsia="仿宋_GB2312"/>
              </w:rPr>
              <w:t>7、监理单位编制的监理规划。</w:t>
            </w:r>
          </w:p>
          <w:p>
            <w:pPr>
              <w:pStyle w:val="null3"/>
            </w:pPr>
            <w:r>
              <w:rPr>
                <w:rFonts w:ascii="仿宋_GB2312" w:hAnsi="仿宋_GB2312" w:cs="仿宋_GB2312" w:eastAsia="仿宋_GB2312"/>
              </w:rPr>
              <w:t>备注：凡涉及的相关规范，国家有最新标准的以最新标准为准。</w:t>
            </w:r>
          </w:p>
          <w:p>
            <w:pPr>
              <w:pStyle w:val="null3"/>
            </w:pPr>
            <w:r>
              <w:rPr>
                <w:rFonts w:ascii="仿宋_GB2312" w:hAnsi="仿宋_GB2312" w:cs="仿宋_GB2312" w:eastAsia="仿宋_GB2312"/>
              </w:rPr>
              <w:t>（四）组织机构和人员</w:t>
            </w:r>
          </w:p>
          <w:p>
            <w:pPr>
              <w:pStyle w:val="null3"/>
            </w:pPr>
            <w:r>
              <w:rPr>
                <w:rFonts w:ascii="仿宋_GB2312" w:hAnsi="仿宋_GB2312" w:cs="仿宋_GB2312" w:eastAsia="仿宋_GB2312"/>
              </w:rPr>
              <w:t>1、监理单位有健全的组织机构，有资格齐全、专业齐备的监理人员。</w:t>
            </w:r>
          </w:p>
          <w:p>
            <w:pPr>
              <w:pStyle w:val="null3"/>
            </w:pPr>
            <w:r>
              <w:rPr>
                <w:rFonts w:ascii="仿宋_GB2312" w:hAnsi="仿宋_GB2312" w:cs="仿宋_GB2312" w:eastAsia="仿宋_GB2312"/>
              </w:rPr>
              <w:t>2、有合格的、经验丰富的现场监理工程师。派驻现场的监理人员要熟悉所从事的业务，具备胜任监理业务的能力，具有良好的沟通、协调能力。总监理工程师具有现场处理复杂问题能力和水平。</w:t>
            </w:r>
          </w:p>
          <w:p>
            <w:pPr>
              <w:pStyle w:val="null3"/>
            </w:pPr>
            <w:r>
              <w:rPr>
                <w:rFonts w:ascii="仿宋_GB2312" w:hAnsi="仿宋_GB2312" w:cs="仿宋_GB2312" w:eastAsia="仿宋_GB2312"/>
              </w:rPr>
              <w:t>（五）监理人提供的设备</w:t>
            </w:r>
          </w:p>
          <w:p>
            <w:pPr>
              <w:pStyle w:val="null3"/>
            </w:pPr>
            <w:r>
              <w:rPr>
                <w:rFonts w:ascii="仿宋_GB2312" w:hAnsi="仿宋_GB2312" w:cs="仿宋_GB2312" w:eastAsia="仿宋_GB2312"/>
              </w:rPr>
              <w:t>1、监理人员的生活用品、交通工具、通讯、办公用品、监理用具、保险由监理人自行解决，在磋商报价时应考虑此费用。</w:t>
            </w:r>
          </w:p>
          <w:p>
            <w:pPr>
              <w:pStyle w:val="null3"/>
            </w:pPr>
            <w:r>
              <w:rPr>
                <w:rFonts w:ascii="仿宋_GB2312" w:hAnsi="仿宋_GB2312" w:cs="仿宋_GB2312" w:eastAsia="仿宋_GB2312"/>
                <w:sz w:val="21"/>
              </w:rPr>
              <w:t>2、供应商应根据本工程的特点提供必要的监理仪器。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合同签订之日起至项目全部验收通过并完成监理资料移交之日止。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大荔县农业农村局指定地点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1.验收小组：在成交人履约结束后，由采购人组织验收，验收工作小组由3人以上单数组成，按照职责分工对照政府采购合同中验收有关事项和标准核对每项验收事项，并按照验收方案及时组织验收。 2.成交人所供服务符合竞争性磋商文件、磋商承诺及采购合同约定的要求。 3.若未能在服务期内完成合同规定的义务，由此对采购人造成的延误和一切损失，由成交人承担和赔偿。 4.服务质量达到国家相关法律法规要求、磋商文件、磋商响应文件及采购人要求。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进度款，工程竣工验收后，达到付款条件起30个工作日内，支付合同总金额的60.0%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详见监理合同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1.成交供应商拟投入的项目总监理工程师必须驻场。 2.成交供应商在成交结果公告发布后3个工作日内提供肆套纸质磋商响应文件（经编标工具生成的文件直接打印并加盖公章），递交的纸质版文件内容确保与线上电子文件保持一致，不允许修改和补充。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中小企业声明函.docx 残疾人福利性单位声明函.docx 监狱、戒毒企业声明函.docx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财务审计报告（成立时间至磋商时间不足一年的可提供成立后任意时段的资产负债表）或磋商前六个月内其基本账户银行出具的资信证明（附开户许可证或基本账户证明）或政府采购信用担保机构出具的磋商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提供2026年1月1日至今任意一个月已缴纳的纳税证明或完税证明（包含增值税、企业所得税、营业税至少一种）；（依法免税的供应商应提供相关文件证明）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提供2026年1月1日至今任意一个月的社保缴费凭据或社保机构开具的社会保险参保缴费情况证明；（依法不需要缴纳社会保障资金的供应商应提供相关证明）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履约能力说明</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政府采购无重大违法记录声明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提供参加政府采购活动前三年内在经营活动中没有重大违法记录的书面声明；（格式自拟，加盖供应商公章）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法定代表人或负责人资格证明书</w:t>
            </w:r>
          </w:p>
        </w:tc>
        <w:tc>
          <w:tcPr>
            <w:tcW w:type="dxa" w:w="3322"/>
          </w:tcPr>
          <w:p>
            <w:pPr>
              <w:pStyle w:val="null3"/>
            </w:pPr>
            <w:r>
              <w:rPr>
                <w:rFonts w:ascii="仿宋_GB2312" w:hAnsi="仿宋_GB2312" w:cs="仿宋_GB2312" w:eastAsia="仿宋_GB2312"/>
              </w:rPr>
              <w:t>法定代表人或负责人参与磋商时需提供法定代表人或负责人资格证明书；（附法定代表人或负责人身份证复印件）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法定代表人或负责人授权委托书</w:t>
            </w:r>
          </w:p>
        </w:tc>
        <w:tc>
          <w:tcPr>
            <w:tcW w:type="dxa" w:w="3322"/>
          </w:tcPr>
          <w:p>
            <w:pPr>
              <w:pStyle w:val="null3"/>
            </w:pPr>
            <w:r>
              <w:rPr>
                <w:rFonts w:ascii="仿宋_GB2312" w:hAnsi="仿宋_GB2312" w:cs="仿宋_GB2312" w:eastAsia="仿宋_GB2312"/>
              </w:rPr>
              <w:t>被授权人参与磋商时需提供法定代表人或负责人授权委托书；（附法定代表人或负责人及被授权人身份证复印件，被授权人需为本公司人员，提供相关证明材料或承诺书）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供应商具备有效的工程监理综合资质或市政公用工程监理乙级及以上资质；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拟派项目总监理工程师</w:t>
            </w:r>
          </w:p>
        </w:tc>
        <w:tc>
          <w:tcPr>
            <w:tcW w:type="dxa" w:w="3322"/>
          </w:tcPr>
          <w:p>
            <w:pPr>
              <w:pStyle w:val="null3"/>
            </w:pPr>
            <w:r>
              <w:rPr>
                <w:rFonts w:ascii="仿宋_GB2312" w:hAnsi="仿宋_GB2312" w:cs="仿宋_GB2312" w:eastAsia="仿宋_GB2312"/>
              </w:rPr>
              <w:t>拟派项目总监理工程师具备有效的市政公用工程专业国家注册监理工程师，在本单位注册且无在监项目；（提供无在监承诺书）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书面承诺函，格式自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控股管理关系承诺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单位负责人为同一人或者存在直接控股、管理关系的不同供应商，不得参加同一合同项下的政府采购活动；（提供书面承诺函，格式自拟加盖供应商公章）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本项目不接受联合体磋商；（提供书面承诺函，格式自拟加盖供应商公章）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本项目专门面向中小企业采购</w:t>
            </w:r>
          </w:p>
        </w:tc>
        <w:tc>
          <w:tcPr>
            <w:tcW w:type="dxa" w:w="3322"/>
          </w:tcPr>
          <w:p>
            <w:pPr>
              <w:pStyle w:val="null3"/>
            </w:pPr>
            <w:r>
              <w:rPr>
                <w:rFonts w:ascii="仿宋_GB2312" w:hAnsi="仿宋_GB2312" w:cs="仿宋_GB2312" w:eastAsia="仿宋_GB2312"/>
              </w:rPr>
              <w:t>本项目专门面向中小企业采购；须符合《政府采购促进中小企业发展管理办法》（财库〔2020〕46号）规定的中小企业参加。(提供《中小企业声明函》，式样见竞争性磋商文件格式)</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1.根据《关于推动解决政府采购异常低价问题的通知》(财库(2026)2号)规定，出现下列情形之一的，磋商小组应当启动异常低价响应审查程序: 1）响应报价低于全部通过符合性审查供应商响应报价平均值50%的，即响应报价〈全部通过符合性审查供应商响应报价平均值×50%; 2）响应报价低于通过符合性审查的次低报价供应商响应报价50%的，即响应报价〈通过符合性审查的次低报价供应商响应报价×50%; 3）响应报价低于采购项目最高限价45%的，即响应报价&lt;采购项目最高限价×45%; 4）磋商小组基于专业判断，认为供应商报价过低，有可能影响产品质量或者不能诚信履约的其他情形。 相关供应商在评审现场合理的时间内对响应价格作出解释，提供项目具体成本测算等与报价合理性相关的书面说明及必要的证明材料，包括但不限于原材料成本、人工成本、制造费用等;其中，属于3项情形，供应商已随响应文件一并提交相关书面说明及必要的证明材料的，在评审现场可不再重复提交。响应供应商不能提供书面说明、证明材料，或者提供的书面说明、证明材料不能证明其报价合理性的，磋商小组应当将其作为无效响应处理。相关法律法规对供应商报价有规定的，从其规定。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封面.docx 标的清单 报价表 商务条款响应偏离表.docx 供应商承诺书.docx 服务条款响应偏离表.docx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响应文件有效期满足竞争性磋商文件的要求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供应商磋商报价未出现选择性报价，未超出采购预算或最高限价</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满足或优于竞争性磋商文件要求</w:t>
            </w:r>
          </w:p>
        </w:tc>
        <w:tc>
          <w:tcPr>
            <w:tcW w:type="dxa" w:w="1661"/>
          </w:tcPr>
          <w:p>
            <w:pPr>
              <w:pStyle w:val="null3"/>
            </w:pPr>
            <w:r>
              <w:rPr>
                <w:rFonts w:ascii="仿宋_GB2312" w:hAnsi="仿宋_GB2312" w:cs="仿宋_GB2312" w:eastAsia="仿宋_GB2312"/>
              </w:rPr>
              <w:t>分项报价表.docx 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一、评审内容：针对本项目的理解，内容包含：①项目背景；②工作内容、要求和工作范围； 二、评审标准：提供详细、合理、科学可行的方案，方案符合本项目采购需求有针对性，以上2项，以序号①、②为项数，内容无缺项、无漏项且无缺陷的得6分，其中每有一项内容存在缺项或漏项的扣3分，每项内容中每有一处存在缺陷的扣0.5分，该项分值扣完为止，未提供不得分。 （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供应商认为有必要补充说明的事宜.docx</w:t>
            </w:r>
          </w:p>
          <w:p>
            <w:pPr>
              <w:pStyle w:val="null3"/>
            </w:pPr>
            <w:r>
              <w:rPr>
                <w:rFonts w:ascii="仿宋_GB2312" w:hAnsi="仿宋_GB2312" w:cs="仿宋_GB2312" w:eastAsia="仿宋_GB2312"/>
              </w:rPr>
              <w:t>项目理解.docx</w:t>
            </w:r>
          </w:p>
        </w:tc>
      </w:tr>
      <w:tr>
        <w:tc>
          <w:tcPr>
            <w:tcW w:type="dxa" w:w="831"/>
            <w:vMerge/>
          </w:tcPr>
          <w:p/>
        </w:tc>
        <w:tc>
          <w:tcPr>
            <w:tcW w:type="dxa" w:w="1661"/>
          </w:tcPr>
          <w:p>
            <w:pPr>
              <w:pStyle w:val="null3"/>
            </w:pPr>
            <w:r>
              <w:rPr>
                <w:rFonts w:ascii="仿宋_GB2312" w:hAnsi="仿宋_GB2312" w:cs="仿宋_GB2312" w:eastAsia="仿宋_GB2312"/>
              </w:rPr>
              <w:t>监理大纲</w:t>
            </w:r>
          </w:p>
        </w:tc>
        <w:tc>
          <w:tcPr>
            <w:tcW w:type="dxa" w:w="2492"/>
          </w:tcPr>
          <w:p>
            <w:pPr>
              <w:pStyle w:val="null3"/>
            </w:pPr>
            <w:r>
              <w:rPr>
                <w:rFonts w:ascii="仿宋_GB2312" w:hAnsi="仿宋_GB2312" w:cs="仿宋_GB2312" w:eastAsia="仿宋_GB2312"/>
              </w:rPr>
              <w:t>一、评审内容：针对本项目提供具体可行的监理大纲，内容包括：①监理范围和服务内容；②监理工作目标及监理依据；③监理工作程序、方法和制度；④质量、安全环保措施；⑤合同管理及信息管理；⑥监理组织协调内容及措施；⑦监理工作重点、难点分析及应对措施；⑧验收方案。 二、评审标准：提供详细、合理、科学可行的方案，方案符合本项目采购需求有针对性，以上8项，以序号①、②、③、④、⑤、⑥、⑦、⑧为项数，内容无缺项、无漏项且无缺陷的得16分，其中每有一项内容存在缺项或漏项的扣2分，每项内容中每有一处存在缺陷的扣0.5分，该项分值扣完为止，未提供不得分。 （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监理大纲.docx</w:t>
            </w:r>
          </w:p>
        </w:tc>
      </w:tr>
      <w:tr>
        <w:tc>
          <w:tcPr>
            <w:tcW w:type="dxa" w:w="831"/>
            <w:vMerge/>
          </w:tcPr>
          <w:p/>
        </w:tc>
        <w:tc>
          <w:tcPr>
            <w:tcW w:type="dxa" w:w="1661"/>
          </w:tcPr>
          <w:p>
            <w:pPr>
              <w:pStyle w:val="null3"/>
            </w:pPr>
            <w:r>
              <w:rPr>
                <w:rFonts w:ascii="仿宋_GB2312" w:hAnsi="仿宋_GB2312" w:cs="仿宋_GB2312" w:eastAsia="仿宋_GB2312"/>
              </w:rPr>
              <w:t>内部工作制度</w:t>
            </w:r>
          </w:p>
        </w:tc>
        <w:tc>
          <w:tcPr>
            <w:tcW w:type="dxa" w:w="2492"/>
          </w:tcPr>
          <w:p>
            <w:pPr>
              <w:pStyle w:val="null3"/>
            </w:pPr>
            <w:r>
              <w:rPr>
                <w:rFonts w:ascii="仿宋_GB2312" w:hAnsi="仿宋_GB2312" w:cs="仿宋_GB2312" w:eastAsia="仿宋_GB2312"/>
              </w:rPr>
              <w:t>一、评审内容：针对本项目提供具体可行的工作制度，内容包括：①实施与验收阶段监理组织内部的工作制度；②监理汇报制度；③文件管理制度；④监理现场工作制度。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0.5分，该项分值扣完为止，未提供不得分。 （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内部工作制度.docx</w:t>
            </w:r>
          </w:p>
        </w:tc>
      </w:tr>
      <w:tr>
        <w:tc>
          <w:tcPr>
            <w:tcW w:type="dxa" w:w="831"/>
            <w:vMerge/>
          </w:tcPr>
          <w:p/>
        </w:tc>
        <w:tc>
          <w:tcPr>
            <w:tcW w:type="dxa" w:w="1661"/>
          </w:tcPr>
          <w:p>
            <w:pPr>
              <w:pStyle w:val="null3"/>
            </w:pPr>
            <w:r>
              <w:rPr>
                <w:rFonts w:ascii="仿宋_GB2312" w:hAnsi="仿宋_GB2312" w:cs="仿宋_GB2312" w:eastAsia="仿宋_GB2312"/>
              </w:rPr>
              <w:t>拟投入检测仪器设备</w:t>
            </w:r>
          </w:p>
        </w:tc>
        <w:tc>
          <w:tcPr>
            <w:tcW w:type="dxa" w:w="2492"/>
          </w:tcPr>
          <w:p>
            <w:pPr>
              <w:pStyle w:val="null3"/>
            </w:pPr>
            <w:r>
              <w:rPr>
                <w:rFonts w:ascii="仿宋_GB2312" w:hAnsi="仿宋_GB2312" w:cs="仿宋_GB2312" w:eastAsia="仿宋_GB2312"/>
              </w:rPr>
              <w:t>一、评审内容：针对本项目提供监理检测设备配置情况，内容包括：①设备、仪器种类②设备、仪器数量③设备、仪器投入时间等。 二、评审标准：提供详细、合理、科学可行的配置方案，配置方案符合本项目采购需求有针对性，以上3项，以序号①、②、③为项数，内容无缺项、无漏项且无缺陷的得6分，其中每有一项内容存在缺项或漏项的扣2分，每项内容中每有一处存在缺陷的扣0.5分，该项分值扣完为止，未提供不得分。 （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拟投入检测仪器设备.docx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一、评审内容：提供以下服务承诺：①服务质量达到采购文件要求；②服务周期按采购文件要求或可提供更优服务周期；③接受采购人对服务的监督及管理；④验收前项目团队的人员保持稳定。 二、评审标准：以上4项，需提供加盖供应商公章的书面承诺，每提供1项得1.5分，最高得6分。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拟投入团队人员</w:t>
            </w:r>
          </w:p>
        </w:tc>
        <w:tc>
          <w:tcPr>
            <w:tcW w:type="dxa" w:w="2492"/>
          </w:tcPr>
          <w:p>
            <w:pPr>
              <w:pStyle w:val="null3"/>
            </w:pPr>
            <w:r>
              <w:rPr>
                <w:rFonts w:ascii="仿宋_GB2312" w:hAnsi="仿宋_GB2312" w:cs="仿宋_GB2312" w:eastAsia="仿宋_GB2312"/>
              </w:rPr>
              <w:t>针对本项目提供具体可行的人员配置方案，包括项目机构设置、组成人员名单，实施人员岗位职责及经验； 1、以合同复印件形式提供拟派总监理工程师2023年7月1日至今类似业绩，每份计2分，计满4分为止。（供应商需提供合同复印件，合同有效期以签订时间为准，合同包含签字盖章页，否则业绩不予认可） 2、项目组成人员至少配备8名相关专业人员得8分，在此基础上每增加一名人员加1分，此项最高得12分。 3、团队人员中具有监理工程师从业资格证或监理从业资格培训证书。每提供1人得1分，最高得8分。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拟投入团队人员.docx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以合同复印件形式提供供应商2023年7月1日至今类似业绩，每份计2分，计满10分为止。 注：1、供应商需提供合同复印件，合同有效期以签订时间为准，合同包含签字盖章页，否则业绩不予认可； 2、企业业绩与拟派总监理工程师业绩不重复计分。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磋商报价得分=（磋商基准价/最终磋商报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详见附件：服务条款响应偏离表.docx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详见附件：项目理解.docx</w:t>
      </w:r>
    </w:p>
    <w:p>
      <w:pPr>
        <w:pStyle w:val="null3"/>
        <w:ind w:firstLine="960"/>
      </w:pPr>
      <w:r>
        <w:rPr>
          <w:rFonts w:ascii="仿宋_GB2312" w:hAnsi="仿宋_GB2312" w:cs="仿宋_GB2312" w:eastAsia="仿宋_GB2312"/>
        </w:rPr>
        <w:t>详见附件：监理大纲.docx</w:t>
      </w:r>
    </w:p>
    <w:p>
      <w:pPr>
        <w:pStyle w:val="null3"/>
        <w:ind w:firstLine="960"/>
      </w:pPr>
      <w:r>
        <w:rPr>
          <w:rFonts w:ascii="仿宋_GB2312" w:hAnsi="仿宋_GB2312" w:cs="仿宋_GB2312" w:eastAsia="仿宋_GB2312"/>
        </w:rPr>
        <w:t>详见附件：内部工作制度.docx</w:t>
      </w:r>
    </w:p>
    <w:p>
      <w:pPr>
        <w:pStyle w:val="null3"/>
        <w:ind w:firstLine="960"/>
      </w:pPr>
      <w:r>
        <w:rPr>
          <w:rFonts w:ascii="仿宋_GB2312" w:hAnsi="仿宋_GB2312" w:cs="仿宋_GB2312" w:eastAsia="仿宋_GB2312"/>
        </w:rPr>
        <w:t>详见附件：拟投入检测仪器设备.docx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详见附件：拟投入团队人员.docx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详见附件：供应商认为有必要补充说明的事宜.docx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详见附件：残疾人福利性单位声明函.docx</w:t>
      </w:r>
    </w:p>
    <w:p>
      <w:pPr>
        <w:pStyle w:val="null3"/>
        <w:ind w:firstLine="960"/>
      </w:pPr>
      <w:r>
        <w:rPr>
          <w:rFonts w:ascii="仿宋_GB2312" w:hAnsi="仿宋_GB2312" w:cs="仿宋_GB2312" w:eastAsia="仿宋_GB2312"/>
        </w:rPr>
        <w:t>详见附件：监狱、戒毒企业声明函.docx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详见附件：大荔县2026年第二批产业基础设施配套及乡村建设帮扶资金项目监理合同范本.docx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