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0BF31">
      <w:pPr>
        <w:jc w:val="center"/>
        <w:rPr>
          <w:rFonts w:hint="eastAsia"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监  理  合  同</w:t>
      </w:r>
    </w:p>
    <w:p w14:paraId="2B5CB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甲方：大荔县</w:t>
      </w:r>
      <w:r>
        <w:rPr>
          <w:rFonts w:hint="eastAsia" w:ascii="宋体" w:hAnsi="宋体"/>
          <w:b/>
          <w:sz w:val="32"/>
          <w:szCs w:val="32"/>
          <w:lang w:eastAsia="zh-CN"/>
        </w:rPr>
        <w:t>农业农村局</w:t>
      </w:r>
    </w:p>
    <w:p w14:paraId="662E7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both"/>
        <w:textAlignment w:val="auto"/>
        <w:outlineLvl w:val="9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乙方：</w:t>
      </w:r>
    </w:p>
    <w:p w14:paraId="4B7B3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80"/>
        <w:jc w:val="both"/>
        <w:textAlignment w:val="auto"/>
        <w:outlineLvl w:val="9"/>
        <w:rPr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为了进一步提高帮扶资金项目管理水平，做到工程规范化、程序化施工，确保工程数量和质量达到建设标准</w:t>
      </w:r>
      <w:r>
        <w:rPr>
          <w:rFonts w:hint="eastAsia" w:ascii="宋体" w:hAnsi="宋体"/>
          <w:sz w:val="32"/>
          <w:szCs w:val="32"/>
        </w:rPr>
        <w:t>，</w:t>
      </w:r>
      <w:r>
        <w:rPr>
          <w:rFonts w:ascii="宋体" w:hAnsi="宋体"/>
          <w:sz w:val="32"/>
          <w:szCs w:val="32"/>
        </w:rPr>
        <w:t>提高</w:t>
      </w:r>
      <w:r>
        <w:rPr>
          <w:rFonts w:hint="eastAsia" w:ascii="宋体" w:hAnsi="宋体"/>
          <w:sz w:val="32"/>
          <w:szCs w:val="32"/>
          <w:lang w:eastAsia="zh-CN"/>
        </w:rPr>
        <w:t>帮扶资金</w:t>
      </w:r>
      <w:r>
        <w:rPr>
          <w:rFonts w:ascii="宋体" w:hAnsi="宋体"/>
          <w:sz w:val="32"/>
          <w:szCs w:val="32"/>
        </w:rPr>
        <w:t>使用绩效</w:t>
      </w:r>
      <w:r>
        <w:rPr>
          <w:rFonts w:hint="eastAsia" w:ascii="宋体" w:hAnsi="宋体"/>
          <w:sz w:val="32"/>
          <w:szCs w:val="32"/>
        </w:rPr>
        <w:t>。依据《</w:t>
      </w:r>
      <w:r>
        <w:rPr>
          <w:rFonts w:hint="eastAsia" w:ascii="宋体" w:hAnsi="宋体"/>
          <w:sz w:val="32"/>
          <w:szCs w:val="32"/>
          <w:lang w:eastAsia="zh-CN"/>
        </w:rPr>
        <w:t>中华人民共和国民法典</w:t>
      </w:r>
      <w:r>
        <w:rPr>
          <w:rFonts w:hint="eastAsia" w:ascii="宋体" w:hAnsi="宋体"/>
          <w:sz w:val="32"/>
          <w:szCs w:val="32"/>
        </w:rPr>
        <w:t>》，</w:t>
      </w:r>
      <w:r>
        <w:rPr>
          <w:rFonts w:hint="eastAsia"/>
          <w:sz w:val="32"/>
          <w:szCs w:val="32"/>
        </w:rPr>
        <w:t>经双方协商一致，订立本合同。</w:t>
      </w:r>
    </w:p>
    <w:p w14:paraId="72306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一、工程概况</w:t>
      </w:r>
    </w:p>
    <w:p w14:paraId="3CAA1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1、</w:t>
      </w:r>
      <w:r>
        <w:rPr>
          <w:rFonts w:hint="eastAsia"/>
          <w:sz w:val="32"/>
          <w:szCs w:val="32"/>
          <w:lang w:eastAsia="zh-CN"/>
        </w:rPr>
        <w:t>项目</w:t>
      </w:r>
      <w:r>
        <w:rPr>
          <w:rFonts w:hint="eastAsia"/>
          <w:sz w:val="32"/>
          <w:szCs w:val="32"/>
        </w:rPr>
        <w:t>名称：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大荔县2026年第二批产业基础设施配套及乡村建设帮扶资金项目监理</w:t>
      </w:r>
    </w:p>
    <w:p w14:paraId="1454A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  <w:lang w:eastAsia="zh-CN"/>
        </w:rPr>
        <w:t>、项目</w:t>
      </w:r>
      <w:r>
        <w:rPr>
          <w:rFonts w:hint="eastAsia"/>
          <w:sz w:val="32"/>
          <w:szCs w:val="32"/>
        </w:rPr>
        <w:t>地点：</w:t>
      </w:r>
      <w:r>
        <w:rPr>
          <w:rFonts w:hint="eastAsia"/>
          <w:sz w:val="32"/>
          <w:szCs w:val="32"/>
          <w:lang w:eastAsia="zh-CN"/>
        </w:rPr>
        <w:t>大荔县</w:t>
      </w:r>
      <w:r>
        <w:rPr>
          <w:rFonts w:hint="eastAsia"/>
          <w:sz w:val="32"/>
          <w:szCs w:val="32"/>
        </w:rPr>
        <w:t>境内</w:t>
      </w:r>
      <w:r>
        <w:rPr>
          <w:rFonts w:hint="eastAsia"/>
          <w:sz w:val="32"/>
          <w:szCs w:val="32"/>
          <w:lang w:eastAsia="zh-CN"/>
        </w:rPr>
        <w:t>各镇（街道）</w:t>
      </w:r>
    </w:p>
    <w:p w14:paraId="7089E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3、项目投资规模及内容：以大荔县农业农村局、财政局下达的计划为准。</w:t>
      </w:r>
    </w:p>
    <w:p w14:paraId="27E26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420"/>
        <w:jc w:val="both"/>
        <w:textAlignment w:val="auto"/>
        <w:outlineLvl w:val="9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二、监理范围及内容</w:t>
      </w:r>
    </w:p>
    <w:p w14:paraId="104BE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1、监理范围：按照专用合同条款中约定的范围承担监理业务。</w:t>
      </w:r>
    </w:p>
    <w:p w14:paraId="12422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2、监理内容：项目计划下达后，由甲方根据项目建设的内容和地点安排监理。</w:t>
      </w:r>
    </w:p>
    <w:p w14:paraId="678F9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三、甲方的权利和义务：</w:t>
      </w:r>
    </w:p>
    <w:p w14:paraId="6C4A2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1、甲方应向乙方提供工程相关资料。</w:t>
      </w:r>
    </w:p>
    <w:p w14:paraId="682F2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、甲方应向乙方提供施工单位负责人的联络方式，便于乙方开展工作。</w:t>
      </w:r>
    </w:p>
    <w:p w14:paraId="25F87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3、</w:t>
      </w:r>
      <w:r>
        <w:rPr>
          <w:rFonts w:hint="eastAsia"/>
          <w:sz w:val="32"/>
          <w:szCs w:val="32"/>
        </w:rPr>
        <w:t>甲方应支持乙方正常开展工作，使乙方的责任和权利得到统一</w:t>
      </w:r>
      <w:r>
        <w:rPr>
          <w:rFonts w:hint="eastAsia"/>
          <w:sz w:val="32"/>
          <w:szCs w:val="32"/>
          <w:lang w:eastAsia="zh-CN"/>
        </w:rPr>
        <w:t>。</w:t>
      </w:r>
    </w:p>
    <w:p w14:paraId="1F466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、甲方有权对乙方的监理工作进行检查。甲方若发现乙方监理人员工作不力、</w:t>
      </w:r>
      <w:r>
        <w:rPr>
          <w:rFonts w:hint="eastAsia"/>
          <w:sz w:val="32"/>
          <w:szCs w:val="32"/>
          <w:lang w:eastAsia="zh-CN"/>
        </w:rPr>
        <w:t>敷衍了事、</w:t>
      </w:r>
      <w:r>
        <w:rPr>
          <w:rFonts w:hint="eastAsia"/>
          <w:sz w:val="32"/>
          <w:szCs w:val="32"/>
        </w:rPr>
        <w:t>吃拿卡要或</w:t>
      </w:r>
      <w:r>
        <w:rPr>
          <w:rFonts w:hint="eastAsia"/>
          <w:sz w:val="32"/>
          <w:szCs w:val="32"/>
          <w:lang w:eastAsia="zh-CN"/>
        </w:rPr>
        <w:t>徇私舞弊</w:t>
      </w:r>
      <w:r>
        <w:rPr>
          <w:rFonts w:hint="eastAsia"/>
          <w:sz w:val="32"/>
          <w:szCs w:val="32"/>
        </w:rPr>
        <w:t>而严重影响工程建设进度和质量时，</w:t>
      </w:r>
      <w:r>
        <w:rPr>
          <w:rFonts w:hint="eastAsia"/>
          <w:sz w:val="32"/>
          <w:szCs w:val="32"/>
          <w:lang w:eastAsia="zh-CN"/>
        </w:rPr>
        <w:t>甲方有权责令乙方更换监理人员或更换监理公司。</w:t>
      </w:r>
    </w:p>
    <w:p w14:paraId="25238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四、乙方的权利和义务：</w:t>
      </w:r>
    </w:p>
    <w:p w14:paraId="3DC64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1、乙方应在合同签订后次日，向甲方提交监理机构有关证件以及委派的总监理工程师和现场监理</w:t>
      </w:r>
      <w:r>
        <w:rPr>
          <w:rFonts w:hint="eastAsia"/>
          <w:sz w:val="32"/>
          <w:szCs w:val="32"/>
          <w:lang w:eastAsia="zh-CN"/>
        </w:rPr>
        <w:t>人员</w:t>
      </w:r>
      <w:r>
        <w:rPr>
          <w:rFonts w:hint="eastAsia"/>
          <w:sz w:val="32"/>
          <w:szCs w:val="32"/>
        </w:rPr>
        <w:t>的名单及相关证件。</w:t>
      </w:r>
    </w:p>
    <w:p w14:paraId="3E02A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2、乙方必须按照专用合同条款中约定的范围承担监理业务</w:t>
      </w:r>
      <w:r>
        <w:rPr>
          <w:rFonts w:hint="eastAsia"/>
          <w:sz w:val="32"/>
          <w:szCs w:val="32"/>
          <w:lang w:eastAsia="zh-CN"/>
        </w:rPr>
        <w:t>，监理公司必须具有规定工作场所，配备监理项目应具有的仪器设备，如混凝土钻孔取芯机、混凝土回弹仪，</w:t>
      </w:r>
      <w:r>
        <w:rPr>
          <w:rFonts w:hint="eastAsia"/>
          <w:sz w:val="32"/>
          <w:szCs w:val="32"/>
          <w:lang w:val="en-US" w:eastAsia="zh-CN"/>
        </w:rPr>
        <w:t>RTK/GPS测量仪等</w:t>
      </w:r>
      <w:r>
        <w:rPr>
          <w:rFonts w:hint="eastAsia"/>
          <w:sz w:val="32"/>
          <w:szCs w:val="32"/>
        </w:rPr>
        <w:t>。</w:t>
      </w:r>
    </w:p>
    <w:p w14:paraId="5BCE6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3、在监理期限内，乙方可根据工程进展情况和监理业务量的大小，对监理人员进行合理的调整。</w:t>
      </w:r>
      <w:r>
        <w:rPr>
          <w:rFonts w:hint="eastAsia"/>
          <w:sz w:val="32"/>
          <w:szCs w:val="32"/>
          <w:lang w:eastAsia="zh-CN"/>
        </w:rPr>
        <w:t>监理人数按照每批次</w:t>
      </w:r>
      <w:r>
        <w:rPr>
          <w:rFonts w:hint="eastAsia"/>
          <w:sz w:val="32"/>
          <w:szCs w:val="32"/>
          <w:lang w:val="en-US" w:eastAsia="zh-CN"/>
        </w:rPr>
        <w:t>600万元/人左右进行安排。</w:t>
      </w:r>
    </w:p>
    <w:p w14:paraId="36D6F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4、在监理期间，乙方监理人员必须遵守监理工作的职业道德和行为规范，运用合理的技能提供优质服务；应坚持“守法、诚信、公正、科学</w:t>
      </w:r>
      <w:r>
        <w:rPr>
          <w:sz w:val="32"/>
          <w:szCs w:val="32"/>
        </w:rPr>
        <w:t>”</w:t>
      </w:r>
      <w:r>
        <w:rPr>
          <w:rFonts w:hint="eastAsia"/>
          <w:sz w:val="32"/>
          <w:szCs w:val="32"/>
        </w:rPr>
        <w:t>的原则，勤奋、高效、独立自主地开展监理服务，维护</w:t>
      </w:r>
      <w:r>
        <w:rPr>
          <w:rFonts w:hint="eastAsia"/>
          <w:sz w:val="32"/>
          <w:szCs w:val="32"/>
          <w:lang w:eastAsia="zh-CN"/>
        </w:rPr>
        <w:t>甲方</w:t>
      </w:r>
      <w:r>
        <w:rPr>
          <w:rFonts w:hint="eastAsia"/>
          <w:sz w:val="32"/>
          <w:szCs w:val="32"/>
        </w:rPr>
        <w:t>的利益和施工单位的合法权益。</w:t>
      </w:r>
    </w:p>
    <w:p w14:paraId="118D1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5、乙方监理人员应按照施工作业程序及时到位，工程</w:t>
      </w:r>
      <w:r>
        <w:rPr>
          <w:rFonts w:hint="eastAsia"/>
          <w:sz w:val="32"/>
          <w:szCs w:val="32"/>
          <w:lang w:eastAsia="zh-CN"/>
        </w:rPr>
        <w:t>施工作业</w:t>
      </w:r>
      <w:r>
        <w:rPr>
          <w:rFonts w:hint="eastAsia"/>
          <w:sz w:val="32"/>
          <w:szCs w:val="32"/>
        </w:rPr>
        <w:t>进行旁站监理。乙方不得随意加大或缩小工程量，严格</w:t>
      </w:r>
      <w:r>
        <w:rPr>
          <w:rFonts w:hint="eastAsia"/>
          <w:sz w:val="32"/>
          <w:szCs w:val="32"/>
          <w:lang w:eastAsia="zh-CN"/>
        </w:rPr>
        <w:t>要求施工单位按照设计图纸</w:t>
      </w:r>
      <w:r>
        <w:rPr>
          <w:rFonts w:hint="eastAsia"/>
          <w:sz w:val="32"/>
          <w:szCs w:val="32"/>
        </w:rPr>
        <w:t>进行施工。</w:t>
      </w:r>
    </w:p>
    <w:p w14:paraId="72829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6、乙方监理人员必须做好施工材料的检查、监督工作，禁止施工单位采用不合格材料进行施工。凡不合格材料运至施工场地时，应责令施工单位将其运离；若施工单位不听劝告时，有权令其停工。由此造成的一切损失，均与乙方无关。</w:t>
      </w:r>
    </w:p>
    <w:p w14:paraId="3F541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7、乙方监理人员必须确保施工单位按施工技术规范进行施工，严禁施工单位偷工减料或简化施工工序。对施工单位的偷工减料和简化施工工序行为，乙方有权责令施工单位停工或返工，由此造成的损失由施工单位承担，确保工程数量和质量达到建设标准。</w:t>
      </w:r>
    </w:p>
    <w:p w14:paraId="5F42E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8、乙方监理人员必须采取有效的手段，</w:t>
      </w:r>
      <w:r>
        <w:rPr>
          <w:rFonts w:hint="eastAsia"/>
          <w:sz w:val="32"/>
          <w:szCs w:val="32"/>
          <w:lang w:eastAsia="zh-CN"/>
        </w:rPr>
        <w:t>做好</w:t>
      </w:r>
      <w:r>
        <w:rPr>
          <w:rFonts w:hint="eastAsia"/>
          <w:sz w:val="32"/>
          <w:szCs w:val="32"/>
        </w:rPr>
        <w:t>工程实施阶段各种信息的收集、整理和归档，保证现场记录、试验、检验以及质量检查等资料的完整性和准确性，并及时</w:t>
      </w:r>
      <w:r>
        <w:rPr>
          <w:rFonts w:hint="eastAsia"/>
          <w:sz w:val="32"/>
          <w:szCs w:val="32"/>
          <w:lang w:eastAsia="zh-CN"/>
        </w:rPr>
        <w:t>督促施工单位</w:t>
      </w:r>
      <w:r>
        <w:rPr>
          <w:rFonts w:hint="eastAsia"/>
          <w:sz w:val="32"/>
          <w:szCs w:val="32"/>
        </w:rPr>
        <w:t>向甲方提供项目实施前、中、后的体现施工过程照片。</w:t>
      </w:r>
    </w:p>
    <w:p w14:paraId="08F5B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9、乙方应按照国家的有关规定，建立监理岗位责任制和工程数量、质量终身负责制。项目完工后，及时与工队、项目村干部对工程进行初验，确定工程达标后，</w:t>
      </w:r>
      <w:r>
        <w:rPr>
          <w:rFonts w:hint="eastAsia"/>
          <w:sz w:val="32"/>
          <w:szCs w:val="32"/>
          <w:lang w:eastAsia="zh-CN"/>
        </w:rPr>
        <w:t>及时整理</w:t>
      </w:r>
      <w:r>
        <w:rPr>
          <w:rFonts w:hint="eastAsia"/>
          <w:sz w:val="32"/>
          <w:szCs w:val="32"/>
        </w:rPr>
        <w:t>出具项目</w:t>
      </w:r>
      <w:r>
        <w:rPr>
          <w:rFonts w:hint="eastAsia"/>
          <w:sz w:val="32"/>
          <w:szCs w:val="32"/>
          <w:lang w:eastAsia="zh-CN"/>
        </w:rPr>
        <w:t>施工监理资料</w:t>
      </w:r>
      <w:r>
        <w:rPr>
          <w:rFonts w:hint="eastAsia"/>
          <w:sz w:val="32"/>
          <w:szCs w:val="32"/>
        </w:rPr>
        <w:t>。</w:t>
      </w:r>
    </w:p>
    <w:p w14:paraId="71115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10、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乙方监理人员对项目竣工、报账资料的真实性、完整性和逻辑性负责。在项目验收中，如出现竣工图、工程清单、项目实施内容、时间与项目实地情况不符，数量、质量不达标等情况，甲方将扣除该项目监理费，并罚监理公司该项目工程价款的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25%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。</w:t>
      </w:r>
    </w:p>
    <w:p w14:paraId="16944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五、监理服务酬金</w:t>
      </w: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及支付方式</w:t>
      </w:r>
      <w:r>
        <w:rPr>
          <w:rFonts w:hint="eastAsia" w:ascii="Times New Roman" w:hAnsi="Times New Roman" w:eastAsia="宋体" w:cs="Times New Roman"/>
          <w:sz w:val="32"/>
          <w:szCs w:val="32"/>
        </w:rPr>
        <w:t>：</w:t>
      </w:r>
    </w:p>
    <w:p w14:paraId="2BEAE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highlight w:val="none"/>
        </w:rPr>
      </w:pPr>
      <w:r>
        <w:rPr>
          <w:rFonts w:hint="eastAsia"/>
          <w:sz w:val="32"/>
          <w:szCs w:val="32"/>
          <w:highlight w:val="none"/>
        </w:rPr>
        <w:t>监理正常酬金为：</w:t>
      </w:r>
      <w:r>
        <w:rPr>
          <w:rFonts w:hint="eastAsia"/>
          <w:sz w:val="32"/>
          <w:szCs w:val="32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/>
          <w:sz w:val="32"/>
          <w:szCs w:val="32"/>
          <w:highlight w:val="none"/>
        </w:rPr>
        <w:t>。</w:t>
      </w:r>
    </w:p>
    <w:p w14:paraId="5A257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hint="eastAsia"/>
          <w:b/>
          <w:sz w:val="32"/>
          <w:szCs w:val="32"/>
        </w:rPr>
        <w:t>、违约责任</w:t>
      </w:r>
      <w:r>
        <w:rPr>
          <w:rFonts w:hint="eastAsia"/>
          <w:sz w:val="32"/>
          <w:szCs w:val="32"/>
        </w:rPr>
        <w:t>：</w:t>
      </w:r>
    </w:p>
    <w:p w14:paraId="443C6E32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</w:rPr>
        <w:t>因乙方不具有承担本工程项目监理业务的能力而终止合同，或因监理</w:t>
      </w:r>
      <w:r>
        <w:rPr>
          <w:rFonts w:hint="eastAsia"/>
          <w:sz w:val="32"/>
          <w:szCs w:val="32"/>
          <w:lang w:eastAsia="zh-CN"/>
        </w:rPr>
        <w:t>过错</w:t>
      </w:r>
      <w:r>
        <w:rPr>
          <w:rFonts w:hint="eastAsia"/>
          <w:sz w:val="32"/>
          <w:szCs w:val="32"/>
        </w:rPr>
        <w:t>而给项目主体造成经济损失的，乙方应承担</w:t>
      </w:r>
      <w:r>
        <w:rPr>
          <w:rFonts w:hint="eastAsia"/>
          <w:sz w:val="32"/>
          <w:szCs w:val="32"/>
          <w:lang w:eastAsia="zh-CN"/>
        </w:rPr>
        <w:t>赔偿</w:t>
      </w:r>
      <w:r>
        <w:rPr>
          <w:rFonts w:hint="eastAsia"/>
          <w:sz w:val="32"/>
          <w:szCs w:val="32"/>
        </w:rPr>
        <w:t>责任，并向甲方支付违约金或赔偿经济损失。</w:t>
      </w:r>
    </w:p>
    <w:p w14:paraId="675EE96E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七、本合同书经双方法定代表人或其委托代理人签字（盖章）并加盖本单位公章后生效。</w:t>
      </w:r>
    </w:p>
    <w:p w14:paraId="04EFB5DD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八、本合同书正本</w:t>
      </w:r>
      <w:r>
        <w:rPr>
          <w:rFonts w:hint="eastAsia" w:ascii="宋体" w:hAnsi="宋体"/>
          <w:b/>
          <w:sz w:val="32"/>
          <w:szCs w:val="32"/>
          <w:lang w:eastAsia="zh-CN"/>
        </w:rPr>
        <w:t>一式两份</w:t>
      </w:r>
      <w:r>
        <w:rPr>
          <w:rFonts w:hint="eastAsia" w:ascii="宋体" w:hAnsi="宋体"/>
          <w:b/>
          <w:sz w:val="32"/>
          <w:szCs w:val="32"/>
        </w:rPr>
        <w:t>，具有同等法律效力，由双方各执</w:t>
      </w:r>
      <w:r>
        <w:rPr>
          <w:rFonts w:hint="eastAsia" w:ascii="宋体" w:hAnsi="宋体"/>
          <w:b/>
          <w:sz w:val="32"/>
          <w:szCs w:val="32"/>
          <w:lang w:eastAsia="zh-CN"/>
        </w:rPr>
        <w:t>一份</w:t>
      </w:r>
      <w:r>
        <w:rPr>
          <w:rFonts w:hint="eastAsia" w:ascii="宋体" w:hAnsi="宋体"/>
          <w:b/>
          <w:sz w:val="32"/>
          <w:szCs w:val="32"/>
        </w:rPr>
        <w:t>。</w:t>
      </w:r>
    </w:p>
    <w:p w14:paraId="66931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九、本合同未尽事宜，由双方协商解决。</w:t>
      </w:r>
    </w:p>
    <w:p w14:paraId="4485E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373F5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4F25718F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甲  方：             法</w:t>
      </w:r>
      <w:r>
        <w:rPr>
          <w:rFonts w:hint="eastAsia"/>
          <w:sz w:val="32"/>
          <w:szCs w:val="32"/>
          <w:lang w:eastAsia="zh-CN"/>
        </w:rPr>
        <w:t>定</w:t>
      </w:r>
      <w:r>
        <w:rPr>
          <w:rFonts w:hint="eastAsia"/>
          <w:sz w:val="32"/>
          <w:szCs w:val="32"/>
        </w:rPr>
        <w:t>代表</w:t>
      </w:r>
      <w:r>
        <w:rPr>
          <w:rFonts w:hint="eastAsia"/>
          <w:sz w:val="32"/>
          <w:szCs w:val="32"/>
          <w:lang w:eastAsia="zh-CN"/>
        </w:rPr>
        <w:t>人</w:t>
      </w:r>
      <w:r>
        <w:rPr>
          <w:rFonts w:hint="eastAsia"/>
          <w:sz w:val="32"/>
          <w:szCs w:val="32"/>
        </w:rPr>
        <w:t>或委托代理人：</w:t>
      </w:r>
    </w:p>
    <w:p w14:paraId="22DD9E6A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2675EA99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乙  方：             法</w:t>
      </w:r>
      <w:r>
        <w:rPr>
          <w:rFonts w:hint="eastAsia"/>
          <w:sz w:val="32"/>
          <w:szCs w:val="32"/>
          <w:lang w:eastAsia="zh-CN"/>
        </w:rPr>
        <w:t>定</w:t>
      </w:r>
      <w:r>
        <w:rPr>
          <w:rFonts w:hint="eastAsia"/>
          <w:sz w:val="32"/>
          <w:szCs w:val="32"/>
        </w:rPr>
        <w:t>代表</w:t>
      </w:r>
      <w:r>
        <w:rPr>
          <w:rFonts w:hint="eastAsia"/>
          <w:sz w:val="32"/>
          <w:szCs w:val="32"/>
          <w:lang w:eastAsia="zh-CN"/>
        </w:rPr>
        <w:t>人</w:t>
      </w:r>
      <w:r>
        <w:rPr>
          <w:rFonts w:hint="eastAsia"/>
          <w:sz w:val="32"/>
          <w:szCs w:val="32"/>
        </w:rPr>
        <w:t>或委托代理人：</w:t>
      </w:r>
    </w:p>
    <w:p w14:paraId="7C185F1E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7326A9F5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</w:t>
      </w:r>
    </w:p>
    <w:p w14:paraId="69957484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7CE6E47E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</w:p>
    <w:p w14:paraId="307A7CC5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eastAsia="zh-CN"/>
        </w:rPr>
        <w:t>202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eastAsia"/>
          <w:sz w:val="32"/>
          <w:szCs w:val="32"/>
        </w:rPr>
        <w:t>日</w:t>
      </w:r>
    </w:p>
    <w:p w14:paraId="3D86FBDD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</w:p>
    <w:p w14:paraId="3D7AE8D6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701" w:right="1474" w:bottom="1417" w:left="1587" w:header="851" w:footer="992" w:gutter="0"/>
      <w:pgNumType w:fmt="decimalFullWidth"/>
      <w:cols w:space="720" w:num="1"/>
      <w:docGrid w:type="linesAndChars" w:linePitch="34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4C9961-A1A4-4E33-8D97-2E23879F3D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07FEF677-D2EC-4DE6-8995-F26DABBEBCD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FD4EECD-8CD4-4374-917F-FC9496AC2F7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8207E">
    <w:pPr>
      <w:pStyle w:val="3"/>
      <w:framePr w:wrap="around" w:vAnchor="text" w:hAnchor="margin" w:xAlign="center" w:y="1"/>
      <w:rPr>
        <w:rStyle w:val="8"/>
        <w:rFonts w:hint="eastAsia" w:ascii="仿宋_GB2312" w:hAnsi="宋体" w:eastAsia="仿宋_GB2312"/>
      </w:rPr>
    </w:pPr>
    <w:r>
      <w:rPr>
        <w:rFonts w:hint="eastAsia" w:ascii="仿宋_GB2312" w:hAnsi="宋体" w:eastAsia="仿宋_GB2312"/>
      </w:rPr>
      <w:fldChar w:fldCharType="begin"/>
    </w:r>
    <w:r>
      <w:rPr>
        <w:rStyle w:val="8"/>
        <w:rFonts w:hint="eastAsia" w:ascii="仿宋_GB2312" w:hAnsi="宋体" w:eastAsia="仿宋_GB2312"/>
      </w:rPr>
      <w:instrText xml:space="preserve">PAGE  </w:instrText>
    </w:r>
    <w:r>
      <w:rPr>
        <w:rFonts w:hint="eastAsia" w:ascii="仿宋_GB2312" w:hAnsi="宋体" w:eastAsia="仿宋_GB2312"/>
      </w:rPr>
      <w:fldChar w:fldCharType="separate"/>
    </w:r>
    <w:r>
      <w:rPr>
        <w:rStyle w:val="8"/>
        <w:rFonts w:hint="eastAsia" w:ascii="仿宋_GB2312" w:hAnsi="宋体" w:eastAsia="仿宋_GB2312"/>
      </w:rPr>
      <w:t>１</w:t>
    </w:r>
    <w:r>
      <w:rPr>
        <w:rFonts w:hint="eastAsia" w:ascii="仿宋_GB2312" w:hAnsi="宋体" w:eastAsia="仿宋_GB2312"/>
      </w:rPr>
      <w:fldChar w:fldCharType="end"/>
    </w:r>
  </w:p>
  <w:p w14:paraId="7A5557AE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E09E4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2D5C2EA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BB51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70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zN2IwNGUwNWJmYjM3ZjU5YWNkYzU5NDAwZTRmYjYifQ=="/>
  </w:docVars>
  <w:rsids>
    <w:rsidRoot w:val="006179E9"/>
    <w:rsid w:val="000166DE"/>
    <w:rsid w:val="00082EF4"/>
    <w:rsid w:val="000C7778"/>
    <w:rsid w:val="000E359E"/>
    <w:rsid w:val="0013258B"/>
    <w:rsid w:val="00147DB7"/>
    <w:rsid w:val="00195FC8"/>
    <w:rsid w:val="00216191"/>
    <w:rsid w:val="002A6138"/>
    <w:rsid w:val="002B5EE4"/>
    <w:rsid w:val="0031029C"/>
    <w:rsid w:val="00366B40"/>
    <w:rsid w:val="003879A0"/>
    <w:rsid w:val="003A122B"/>
    <w:rsid w:val="003A42CB"/>
    <w:rsid w:val="003D6752"/>
    <w:rsid w:val="003F0BA2"/>
    <w:rsid w:val="00416749"/>
    <w:rsid w:val="00420582"/>
    <w:rsid w:val="00434E3C"/>
    <w:rsid w:val="00436D04"/>
    <w:rsid w:val="00503B2E"/>
    <w:rsid w:val="005476FF"/>
    <w:rsid w:val="005933F0"/>
    <w:rsid w:val="005E1507"/>
    <w:rsid w:val="005F5261"/>
    <w:rsid w:val="006179E9"/>
    <w:rsid w:val="006C54E6"/>
    <w:rsid w:val="007109CB"/>
    <w:rsid w:val="0073695F"/>
    <w:rsid w:val="007812F8"/>
    <w:rsid w:val="007C60EF"/>
    <w:rsid w:val="007D5DCA"/>
    <w:rsid w:val="00822790"/>
    <w:rsid w:val="00881ACF"/>
    <w:rsid w:val="008A0500"/>
    <w:rsid w:val="008E0620"/>
    <w:rsid w:val="008E6DA6"/>
    <w:rsid w:val="008F313D"/>
    <w:rsid w:val="009429A8"/>
    <w:rsid w:val="00A22477"/>
    <w:rsid w:val="00AC0FBB"/>
    <w:rsid w:val="00AC1B12"/>
    <w:rsid w:val="00B3474F"/>
    <w:rsid w:val="00BE2903"/>
    <w:rsid w:val="00C04C66"/>
    <w:rsid w:val="00C50AE2"/>
    <w:rsid w:val="00CF5DEF"/>
    <w:rsid w:val="00D04E94"/>
    <w:rsid w:val="00D17B87"/>
    <w:rsid w:val="00D20109"/>
    <w:rsid w:val="00D4053D"/>
    <w:rsid w:val="00D56E61"/>
    <w:rsid w:val="00DC1428"/>
    <w:rsid w:val="00DE7C4C"/>
    <w:rsid w:val="00E00411"/>
    <w:rsid w:val="00E219AD"/>
    <w:rsid w:val="00E453ED"/>
    <w:rsid w:val="00E74CB8"/>
    <w:rsid w:val="00E93031"/>
    <w:rsid w:val="00EE25BB"/>
    <w:rsid w:val="00F054C2"/>
    <w:rsid w:val="00F643A0"/>
    <w:rsid w:val="00FB5C0A"/>
    <w:rsid w:val="04372FFB"/>
    <w:rsid w:val="05FB0FD9"/>
    <w:rsid w:val="064A5EDE"/>
    <w:rsid w:val="09E101A4"/>
    <w:rsid w:val="0C9D4FE4"/>
    <w:rsid w:val="0DD60D44"/>
    <w:rsid w:val="0EB107C9"/>
    <w:rsid w:val="106711C6"/>
    <w:rsid w:val="11C40985"/>
    <w:rsid w:val="123D337B"/>
    <w:rsid w:val="17427677"/>
    <w:rsid w:val="18757B67"/>
    <w:rsid w:val="219E61AD"/>
    <w:rsid w:val="21EB518B"/>
    <w:rsid w:val="227A549C"/>
    <w:rsid w:val="25662FCA"/>
    <w:rsid w:val="260F488A"/>
    <w:rsid w:val="273532C2"/>
    <w:rsid w:val="3426571B"/>
    <w:rsid w:val="39175BAD"/>
    <w:rsid w:val="396F759B"/>
    <w:rsid w:val="39C51E54"/>
    <w:rsid w:val="3D626247"/>
    <w:rsid w:val="3F707DBA"/>
    <w:rsid w:val="41191ED4"/>
    <w:rsid w:val="417C4BE1"/>
    <w:rsid w:val="43365584"/>
    <w:rsid w:val="446C2A76"/>
    <w:rsid w:val="4605181E"/>
    <w:rsid w:val="4BFF315E"/>
    <w:rsid w:val="51426BF5"/>
    <w:rsid w:val="54C25C1B"/>
    <w:rsid w:val="585A3283"/>
    <w:rsid w:val="5E4F5831"/>
    <w:rsid w:val="5E7E2B8A"/>
    <w:rsid w:val="68A930C0"/>
    <w:rsid w:val="6B0F2632"/>
    <w:rsid w:val="6BA65ECA"/>
    <w:rsid w:val="6F4A05B8"/>
    <w:rsid w:val="726376B6"/>
    <w:rsid w:val="760B1404"/>
    <w:rsid w:val="770042F6"/>
    <w:rsid w:val="77401B33"/>
    <w:rsid w:val="78582600"/>
    <w:rsid w:val="7A2D4D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uiPriority w:val="0"/>
    <w:rPr>
      <w:i/>
      <w:i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1571</Words>
  <Characters>1588</Characters>
  <Lines>12</Lines>
  <Paragraphs>3</Paragraphs>
  <TotalTime>1</TotalTime>
  <ScaleCrop>false</ScaleCrop>
  <LinksUpToDate>false</LinksUpToDate>
  <CharactersWithSpaces>1684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2019-06-17T01:01:00Z</dcterms:created>
  <dc:creator>Administrator</dc:creator>
  <cp:lastModifiedBy>酸柠檬</cp:lastModifiedBy>
  <cp:lastPrinted>2025-12-07T23:45:00Z</cp:lastPrinted>
  <dcterms:modified xsi:type="dcterms:W3CDTF">2026-08-04T11:00:46Z</dcterms:modified>
  <dc:title>监理合同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40689C2F9A4E48D888B1C211CAD85780_13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