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CA036">
      <w:pPr>
        <w:pStyle w:val="4"/>
        <w:jc w:val="center"/>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lang w:val="en-US" w:eastAsia="zh-CN"/>
        </w:rPr>
        <w:t>拟签订的合同文本</w:t>
      </w:r>
      <w:r>
        <w:rPr>
          <w:rFonts w:hint="eastAsia" w:ascii="仿宋" w:hAnsi="仿宋" w:eastAsia="仿宋" w:cs="仿宋"/>
          <w:color w:val="auto"/>
          <w:sz w:val="36"/>
          <w:szCs w:val="36"/>
          <w:highlight w:val="none"/>
        </w:rPr>
        <w:t xml:space="preserve"> </w:t>
      </w:r>
    </w:p>
    <w:p w14:paraId="6BB76517">
      <w:pPr>
        <w:pStyle w:val="8"/>
        <w:keepNext w:val="0"/>
        <w:keepLines w:val="0"/>
        <w:pageBreakBefore w:val="0"/>
        <w:numPr>
          <w:ilvl w:val="0"/>
          <w:numId w:val="0"/>
        </w:numPr>
        <w:kinsoku/>
        <w:overflowPunct/>
        <w:topLinePunct w:val="0"/>
        <w:autoSpaceDE/>
        <w:autoSpaceDN/>
        <w:bidi w:val="0"/>
        <w:adjustRightInd/>
        <w:snapToGrid/>
        <w:spacing w:line="360" w:lineRule="auto"/>
        <w:ind w:firstLine="560" w:firstLineChars="20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注：本合同作为合同的基本格式，采购人有权在签订合同时对合同的相关条款及内容作进一步的细化和修改，但不得改变磋商文件及磋商响应文件、成交通知书规定的实质性内容）</w:t>
      </w:r>
    </w:p>
    <w:p w14:paraId="67184432">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采购人（以下称“甲方”）：</w:t>
      </w:r>
      <w:r>
        <w:rPr>
          <w:rFonts w:hint="eastAsia" w:ascii="仿宋" w:hAnsi="仿宋" w:eastAsia="仿宋" w:cs="仿宋"/>
          <w:color w:val="auto"/>
          <w:sz w:val="28"/>
          <w:szCs w:val="28"/>
          <w:highlight w:val="none"/>
          <w:u w:val="single"/>
          <w:lang w:val="en-US" w:eastAsia="zh-CN"/>
        </w:rPr>
        <w:t xml:space="preserve"> 镇巴县中医院 </w:t>
      </w: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rPr>
        <w:t xml:space="preserve">                                        </w:t>
      </w:r>
    </w:p>
    <w:p w14:paraId="50BDCE1A">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镇巴县河滨南路15号</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 xml:space="preserve">                                                           </w:t>
      </w:r>
    </w:p>
    <w:p w14:paraId="11E8B5B8">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39BDB5BA">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供应商（以下称“乙方”）：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 xml:space="preserve">                                       </w:t>
      </w:r>
    </w:p>
    <w:p w14:paraId="3B8075BC">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7F71DA98">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18A0946">
      <w:pPr>
        <w:pStyle w:val="8"/>
        <w:keepNext w:val="0"/>
        <w:keepLines w:val="0"/>
        <w:pageBreakBefore w:val="0"/>
        <w:kinsoku/>
        <w:overflowPunct/>
        <w:topLinePunct w:val="0"/>
        <w:bidi w:val="0"/>
        <w:adjustRightInd/>
        <w:snapToGrid/>
        <w:spacing w:line="360" w:lineRule="auto"/>
        <w:ind w:firstLine="546" w:firstLineChars="19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根据《中华人民共和国政府采购法》及实施条例</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《中华人民共和国民法典》和甲方采购项目</w:t>
      </w:r>
      <w:r>
        <w:rPr>
          <w:rFonts w:hint="eastAsia" w:ascii="仿宋" w:hAnsi="仿宋" w:eastAsia="仿宋" w:cs="仿宋"/>
          <w:color w:val="auto"/>
          <w:sz w:val="28"/>
          <w:szCs w:val="28"/>
          <w:highlight w:val="none"/>
          <w:u w:val="single"/>
          <w:lang w:val="en-US" w:eastAsia="zh-CN"/>
        </w:rPr>
        <w:t xml:space="preserve">  项目名称 </w:t>
      </w:r>
      <w:r>
        <w:rPr>
          <w:rFonts w:hint="eastAsia" w:ascii="仿宋" w:hAnsi="仿宋" w:eastAsia="仿宋" w:cs="仿宋"/>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乙方递交的响应</w:t>
      </w:r>
      <w:r>
        <w:rPr>
          <w:rFonts w:hint="eastAsia" w:ascii="仿宋" w:hAnsi="仿宋" w:eastAsia="仿宋" w:cs="仿宋"/>
          <w:color w:val="auto"/>
          <w:sz w:val="28"/>
          <w:szCs w:val="28"/>
          <w:highlight w:val="none"/>
        </w:rPr>
        <w:t>文件等有关规定，为确保甲方采购项目的顺利实施，甲、乙双方在平等自愿原则下签订本合同，并共同遵守如下条款：</w:t>
      </w:r>
    </w:p>
    <w:p w14:paraId="3EA0B9EF">
      <w:pPr>
        <w:keepNext w:val="0"/>
        <w:keepLines w:val="0"/>
        <w:pageBreakBefore w:val="0"/>
        <w:numPr>
          <w:ilvl w:val="0"/>
          <w:numId w:val="1"/>
        </w:numPr>
        <w:tabs>
          <w:tab w:val="left" w:pos="1379"/>
        </w:tabs>
        <w:kinsoku/>
        <w:overflowPunct/>
        <w:topLinePunct w:val="0"/>
        <w:bidi w:val="0"/>
        <w:adjustRightInd/>
        <w:snapToGrid/>
        <w:spacing w:line="360" w:lineRule="auto"/>
        <w:ind w:firstLine="562" w:firstLineChars="200"/>
        <w:outlineLvl w:val="9"/>
        <w:rPr>
          <w:rFonts w:hint="eastAsia" w:ascii="仿宋" w:hAnsi="仿宋" w:eastAsia="仿宋" w:cs="仿宋"/>
          <w:b/>
          <w:bCs w:val="0"/>
          <w:color w:val="auto"/>
          <w:sz w:val="28"/>
          <w:szCs w:val="28"/>
          <w:highlight w:val="none"/>
          <w:lang w:val="en-US" w:eastAsia="zh-CN"/>
        </w:rPr>
      </w:pPr>
      <w:bookmarkStart w:id="0" w:name="_Toc13441"/>
      <w:bookmarkStart w:id="1" w:name="_Toc27647"/>
      <w:bookmarkStart w:id="2" w:name="_Toc8233"/>
      <w:bookmarkStart w:id="3" w:name="_Toc18746"/>
      <w:bookmarkStart w:id="4" w:name="_Toc6440"/>
      <w:r>
        <w:rPr>
          <w:rFonts w:hint="eastAsia" w:ascii="仿宋" w:hAnsi="仿宋" w:eastAsia="仿宋" w:cs="仿宋"/>
          <w:b/>
          <w:bCs w:val="0"/>
          <w:color w:val="auto"/>
          <w:sz w:val="28"/>
          <w:szCs w:val="28"/>
          <w:highlight w:val="none"/>
          <w:lang w:val="en-US" w:eastAsia="zh-CN"/>
        </w:rPr>
        <w:t>合同采购内容</w:t>
      </w:r>
      <w:bookmarkEnd w:id="0"/>
      <w:bookmarkEnd w:id="1"/>
      <w:bookmarkEnd w:id="2"/>
      <w:bookmarkEnd w:id="3"/>
      <w:bookmarkEnd w:id="4"/>
    </w:p>
    <w:tbl>
      <w:tblPr>
        <w:tblStyle w:val="6"/>
        <w:tblW w:w="9346"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153"/>
        <w:gridCol w:w="2087"/>
        <w:gridCol w:w="1298"/>
        <w:gridCol w:w="1092"/>
        <w:gridCol w:w="2829"/>
      </w:tblGrid>
      <w:tr w14:paraId="15ECC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909180E">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品目</w:t>
            </w:r>
          </w:p>
          <w:p w14:paraId="0947AA1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sz w:val="28"/>
                <w:szCs w:val="28"/>
                <w:highlight w:val="none"/>
                <w:lang w:val="en-US"/>
              </w:rPr>
            </w:pPr>
            <w:r>
              <w:rPr>
                <w:rFonts w:hint="eastAsia" w:ascii="仿宋" w:hAnsi="仿宋" w:eastAsia="仿宋" w:cs="仿宋"/>
                <w:b/>
                <w:bCs/>
                <w:color w:val="auto"/>
                <w:kern w:val="0"/>
                <w:sz w:val="28"/>
                <w:szCs w:val="28"/>
                <w:highlight w:val="none"/>
                <w:lang w:val="en-US" w:eastAsia="zh-CN" w:bidi="ar"/>
              </w:rPr>
              <w:t>编码</w:t>
            </w:r>
          </w:p>
        </w:tc>
        <w:tc>
          <w:tcPr>
            <w:tcW w:w="115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22B3BC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品目</w:t>
            </w:r>
          </w:p>
          <w:p w14:paraId="73D8A22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名称</w:t>
            </w:r>
          </w:p>
        </w:tc>
        <w:tc>
          <w:tcPr>
            <w:tcW w:w="20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A33B61D">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采购</w:t>
            </w:r>
          </w:p>
          <w:p w14:paraId="1FDC877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标的</w:t>
            </w:r>
          </w:p>
        </w:tc>
        <w:tc>
          <w:tcPr>
            <w:tcW w:w="129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62AB57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采购数量</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DAE34AB">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计量</w:t>
            </w:r>
          </w:p>
          <w:p w14:paraId="2697B46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单位</w:t>
            </w:r>
          </w:p>
        </w:tc>
        <w:tc>
          <w:tcPr>
            <w:tcW w:w="282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807E866">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b/>
                <w:bCs/>
                <w:color w:val="auto"/>
                <w:sz w:val="28"/>
                <w:szCs w:val="28"/>
                <w:highlight w:val="none"/>
                <w:lang w:val="en-US"/>
              </w:rPr>
            </w:pPr>
            <w:r>
              <w:rPr>
                <w:rFonts w:hint="eastAsia" w:ascii="仿宋" w:hAnsi="仿宋" w:eastAsia="仿宋" w:cs="仿宋"/>
                <w:b/>
                <w:bCs/>
                <w:color w:val="auto"/>
                <w:kern w:val="0"/>
                <w:sz w:val="28"/>
                <w:szCs w:val="28"/>
                <w:highlight w:val="none"/>
                <w:lang w:val="en-US" w:eastAsia="zh-CN" w:bidi="ar"/>
              </w:rPr>
              <w:t>服务范围</w:t>
            </w:r>
          </w:p>
        </w:tc>
      </w:tr>
      <w:tr w14:paraId="1FE49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48D9DD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color w:val="auto"/>
                <w:sz w:val="28"/>
                <w:szCs w:val="28"/>
                <w:highlight w:val="none"/>
                <w:lang w:val="en-US"/>
              </w:rPr>
            </w:pPr>
            <w:r>
              <w:rPr>
                <w:rFonts w:hint="eastAsia" w:ascii="仿宋" w:hAnsi="仿宋" w:eastAsia="仿宋" w:cs="仿宋"/>
                <w:color w:val="auto"/>
                <w:kern w:val="0"/>
                <w:sz w:val="28"/>
                <w:szCs w:val="28"/>
                <w:highlight w:val="none"/>
                <w:lang w:val="en-US" w:eastAsia="zh-CN" w:bidi="ar"/>
              </w:rPr>
              <w:t>1-1</w:t>
            </w:r>
          </w:p>
        </w:tc>
        <w:tc>
          <w:tcPr>
            <w:tcW w:w="115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A92054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jc w:val="center"/>
              <w:textAlignment w:val="center"/>
              <w:outlineLvl w:val="9"/>
              <w:rPr>
                <w:rFonts w:hint="eastAsia" w:ascii="仿宋" w:hAnsi="仿宋" w:eastAsia="仿宋" w:cs="仿宋"/>
                <w:color w:val="auto"/>
                <w:sz w:val="28"/>
                <w:szCs w:val="28"/>
                <w:highlight w:val="none"/>
                <w:lang w:val="en-US" w:eastAsia="zh-CN"/>
              </w:rPr>
            </w:pPr>
          </w:p>
        </w:tc>
        <w:tc>
          <w:tcPr>
            <w:tcW w:w="20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976B4E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jc w:val="center"/>
              <w:textAlignment w:val="center"/>
              <w:outlineLvl w:val="9"/>
              <w:rPr>
                <w:rFonts w:hint="eastAsia" w:ascii="仿宋" w:hAnsi="仿宋" w:eastAsia="仿宋" w:cs="仿宋"/>
                <w:color w:val="auto"/>
                <w:sz w:val="28"/>
                <w:szCs w:val="28"/>
                <w:highlight w:val="none"/>
                <w:lang w:val="en-US" w:eastAsia="zh-CN"/>
              </w:rPr>
            </w:pPr>
          </w:p>
        </w:tc>
        <w:tc>
          <w:tcPr>
            <w:tcW w:w="129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49E2D49">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57A0D8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项</w:t>
            </w:r>
          </w:p>
        </w:tc>
        <w:tc>
          <w:tcPr>
            <w:tcW w:w="282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D1EC76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outlineLvl w:val="9"/>
              <w:rPr>
                <w:rFonts w:hint="eastAsia" w:ascii="仿宋" w:hAnsi="仿宋" w:eastAsia="仿宋" w:cs="仿宋"/>
                <w:color w:val="auto"/>
                <w:sz w:val="28"/>
                <w:szCs w:val="28"/>
                <w:highlight w:val="none"/>
                <w:lang w:val="en-US"/>
              </w:rPr>
            </w:pPr>
            <w:r>
              <w:rPr>
                <w:rFonts w:hint="eastAsia" w:ascii="仿宋" w:hAnsi="仿宋" w:eastAsia="仿宋" w:cs="仿宋"/>
                <w:b w:val="0"/>
                <w:bCs w:val="0"/>
                <w:i w:val="0"/>
                <w:iCs w:val="0"/>
                <w:color w:val="auto"/>
                <w:kern w:val="2"/>
                <w:sz w:val="28"/>
                <w:szCs w:val="28"/>
                <w:highlight w:val="none"/>
                <w:lang w:val="en-US" w:eastAsia="zh-CN" w:bidi="ar-SA"/>
              </w:rPr>
              <w:t>磋商文件规定的服务内容及要求</w:t>
            </w:r>
          </w:p>
        </w:tc>
      </w:tr>
    </w:tbl>
    <w:p w14:paraId="22495F2B">
      <w:pPr>
        <w:pStyle w:val="9"/>
        <w:keepNext w:val="0"/>
        <w:keepLines w:val="0"/>
        <w:pageBreakBefore w:val="0"/>
        <w:numPr>
          <w:ilvl w:val="0"/>
          <w:numId w:val="0"/>
        </w:numPr>
        <w:kinsoku/>
        <w:overflowPunct/>
        <w:topLinePunct w:val="0"/>
        <w:bidi w:val="0"/>
        <w:adjustRightInd/>
        <w:snapToGrid/>
        <w:spacing w:line="360" w:lineRule="auto"/>
        <w:ind w:firstLine="560" w:firstLineChars="200"/>
        <w:outlineLvl w:val="9"/>
        <w:rPr>
          <w:rFonts w:hint="eastAsia" w:ascii="仿宋" w:hAnsi="仿宋" w:eastAsia="仿宋" w:cs="仿宋"/>
          <w:sz w:val="28"/>
          <w:szCs w:val="28"/>
          <w:highlight w:val="none"/>
          <w:lang w:val="en-US" w:eastAsia="zh-CN"/>
        </w:rPr>
      </w:pPr>
    </w:p>
    <w:p w14:paraId="7D140C29">
      <w:pPr>
        <w:pStyle w:val="9"/>
        <w:keepNext w:val="0"/>
        <w:keepLines w:val="0"/>
        <w:pageBreakBefore w:val="0"/>
        <w:numPr>
          <w:ilvl w:val="0"/>
          <w:numId w:val="0"/>
        </w:numPr>
        <w:kinsoku/>
        <w:overflowPunct/>
        <w:topLinePunct w:val="0"/>
        <w:bidi w:val="0"/>
        <w:adjustRightInd/>
        <w:snapToGrid/>
        <w:spacing w:line="360" w:lineRule="auto"/>
        <w:ind w:firstLine="560" w:firstLineChars="200"/>
        <w:outlineLvl w:val="9"/>
        <w:rPr>
          <w:rFonts w:hint="eastAsia" w:ascii="仿宋" w:hAnsi="仿宋" w:eastAsia="仿宋" w:cs="仿宋"/>
          <w:color w:val="0000FF"/>
          <w:sz w:val="28"/>
          <w:szCs w:val="28"/>
          <w:highlight w:val="none"/>
          <w:u w:val="none"/>
          <w:lang w:val="en-US" w:eastAsia="zh-CN"/>
        </w:rPr>
      </w:pPr>
      <w:r>
        <w:rPr>
          <w:rFonts w:hint="eastAsia" w:ascii="仿宋" w:hAnsi="仿宋" w:eastAsia="仿宋" w:cs="仿宋"/>
          <w:sz w:val="28"/>
          <w:szCs w:val="28"/>
          <w:highlight w:val="none"/>
          <w:lang w:val="en-US" w:eastAsia="zh-CN"/>
        </w:rPr>
        <w:t>合计金额人民币（大写）：</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 xml:space="preserve"> </w:t>
      </w:r>
    </w:p>
    <w:p w14:paraId="6195D107">
      <w:pPr>
        <w:keepNext w:val="0"/>
        <w:keepLines w:val="0"/>
        <w:pageBreakBefore w:val="0"/>
        <w:tabs>
          <w:tab w:val="left" w:pos="1379"/>
        </w:tabs>
        <w:kinsoku/>
        <w:overflowPunct/>
        <w:topLinePunct w:val="0"/>
        <w:bidi w:val="0"/>
        <w:adjustRightInd/>
        <w:snapToGrid/>
        <w:spacing w:line="360" w:lineRule="auto"/>
        <w:ind w:firstLine="562" w:firstLineChars="200"/>
        <w:outlineLvl w:val="9"/>
        <w:rPr>
          <w:rFonts w:hint="eastAsia" w:ascii="仿宋" w:hAnsi="仿宋" w:eastAsia="仿宋" w:cs="仿宋"/>
          <w:b/>
          <w:bCs w:val="0"/>
          <w:color w:val="auto"/>
          <w:sz w:val="28"/>
          <w:szCs w:val="28"/>
          <w:highlight w:val="none"/>
        </w:rPr>
      </w:pPr>
      <w:bookmarkStart w:id="5" w:name="_Toc24758"/>
      <w:bookmarkStart w:id="6" w:name="_Toc25072"/>
      <w:bookmarkStart w:id="7" w:name="_Toc4621"/>
      <w:bookmarkStart w:id="8" w:name="_Toc11027"/>
      <w:bookmarkStart w:id="9" w:name="_Toc22213"/>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合同价款</w:t>
      </w:r>
      <w:bookmarkEnd w:id="5"/>
      <w:bookmarkEnd w:id="6"/>
      <w:bookmarkEnd w:id="7"/>
      <w:bookmarkEnd w:id="8"/>
      <w:bookmarkEnd w:id="9"/>
    </w:p>
    <w:p w14:paraId="00052DE2">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为人民币</w:t>
      </w:r>
      <w:r>
        <w:rPr>
          <w:rFonts w:hint="eastAsia" w:ascii="仿宋" w:hAnsi="仿宋" w:eastAsia="仿宋" w:cs="仿宋"/>
          <w:color w:val="auto"/>
          <w:sz w:val="28"/>
          <w:szCs w:val="28"/>
          <w:highlight w:val="none"/>
          <w:u w:val="single"/>
        </w:rPr>
        <w:t>（大写）：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p>
    <w:p w14:paraId="1790634F">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2.本项目</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由以下组成：</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2B5EB782">
      <w:pPr>
        <w:pStyle w:val="8"/>
        <w:keepNext w:val="0"/>
        <w:keepLines w:val="0"/>
        <w:pageBreakBefore w:val="0"/>
        <w:kinsoku/>
        <w:overflowPunct/>
        <w:topLinePunct w:val="0"/>
        <w:bidi w:val="0"/>
        <w:adjustRightInd/>
        <w:snapToGrid/>
        <w:spacing w:line="360" w:lineRule="auto"/>
        <w:ind w:firstLine="480"/>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3.甲方无须另向乙方支付本合同规定之外的其他任何费用</w:t>
      </w:r>
      <w:r>
        <w:rPr>
          <w:rFonts w:hint="eastAsia" w:ascii="仿宋" w:hAnsi="仿宋" w:eastAsia="仿宋" w:cs="仿宋"/>
          <w:color w:val="auto"/>
          <w:sz w:val="28"/>
          <w:szCs w:val="28"/>
          <w:highlight w:val="none"/>
          <w:lang w:eastAsia="zh-CN"/>
        </w:rPr>
        <w:t>。</w:t>
      </w:r>
    </w:p>
    <w:p w14:paraId="569CA5A7">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lang w:val="en-US" w:eastAsia="zh-CN"/>
        </w:rPr>
      </w:pPr>
      <w:bookmarkStart w:id="10" w:name="_Toc26962"/>
      <w:bookmarkStart w:id="11" w:name="_Toc4425"/>
      <w:bookmarkStart w:id="12" w:name="_Toc23966"/>
      <w:bookmarkStart w:id="13" w:name="_Toc5704"/>
      <w:bookmarkStart w:id="14" w:name="_Toc10189"/>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付款方式</w:t>
      </w:r>
      <w:bookmarkEnd w:id="10"/>
      <w:bookmarkEnd w:id="11"/>
      <w:bookmarkEnd w:id="12"/>
      <w:bookmarkEnd w:id="13"/>
      <w:bookmarkEnd w:id="14"/>
    </w:p>
    <w:p w14:paraId="45AC7BA6">
      <w:pPr>
        <w:keepNext w:val="0"/>
        <w:keepLines w:val="0"/>
        <w:pageBreakBefore w:val="0"/>
        <w:widowControl w:val="0"/>
        <w:tabs>
          <w:tab w:val="left" w:pos="7665"/>
        </w:tabs>
        <w:kinsoku/>
        <w:wordWrap/>
        <w:overflowPunct/>
        <w:topLinePunct w:val="0"/>
        <w:autoSpaceDE/>
        <w:autoSpaceDN/>
        <w:bidi w:val="0"/>
        <w:adjustRightInd w:val="0"/>
        <w:snapToGrid w:val="0"/>
        <w:spacing w:line="360" w:lineRule="auto"/>
        <w:ind w:left="0" w:right="0" w:firstLine="480"/>
        <w:textAlignment w:val="auto"/>
        <w:rPr>
          <w:rFonts w:hint="eastAsia" w:ascii="仿宋" w:hAnsi="仿宋" w:eastAsia="仿宋" w:cs="仿宋"/>
          <w:color w:val="auto"/>
          <w:sz w:val="28"/>
          <w:szCs w:val="28"/>
          <w:highlight w:val="none"/>
          <w:lang w:val="en-US" w:eastAsia="zh-CN"/>
        </w:rPr>
      </w:pPr>
      <w:bookmarkStart w:id="15" w:name="_Toc16037"/>
      <w:bookmarkStart w:id="16" w:name="_Toc32672"/>
      <w:bookmarkStart w:id="17" w:name="_Toc15165"/>
      <w:bookmarkStart w:id="18" w:name="_Toc20784"/>
      <w:bookmarkStart w:id="19" w:name="_Toc32707"/>
      <w:r>
        <w:rPr>
          <w:rFonts w:hint="eastAsia" w:ascii="仿宋" w:hAnsi="仿宋" w:eastAsia="仿宋" w:cs="仿宋"/>
          <w:color w:val="auto"/>
          <w:sz w:val="28"/>
          <w:szCs w:val="28"/>
          <w:highlight w:val="none"/>
          <w:lang w:val="en-US" w:eastAsia="zh-CN"/>
        </w:rPr>
        <w:t>结算单位：采购人结算，在付款前，成交供应商必须开具全额增值税专用发票给采购人。</w:t>
      </w:r>
    </w:p>
    <w:p w14:paraId="128F5252">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1.付款条件说明： 按月支付，每月考核合格，成交供应商开具全额增值税专用发票给院方后，达到付款条件起 10 日内，支付合同总金额的 8.30%。</w:t>
      </w:r>
    </w:p>
    <w:p w14:paraId="1236AB68">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2.付款条件说明： 按月支付，每月考核合格，成交供应商开具全额增值税专用发票给院方后，达到付款条件起 10 日内，支付合同总金额的 8.30%。</w:t>
      </w:r>
    </w:p>
    <w:p w14:paraId="7CD05F03">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3.付款条件说明： 按月支付，每月考核合格，成交供应商开具全额增值税专用发票给院方后，达到付款条件起 10 日内，支付合同总金额的 8.30%。</w:t>
      </w:r>
    </w:p>
    <w:p w14:paraId="561B33D7">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4.付款条件说明： 按月支付，每月考核合格，成交供应商开具全额增值税专用发票给院方后，达到付款条件起 10 日内，支付合同总金额的 8.30%。</w:t>
      </w:r>
    </w:p>
    <w:p w14:paraId="62FBB5C1">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5.付款条件说明： 按月支付，每月考核合格，成交供应商开具全额增值税专用发票给院方后，达到付款条件起 10 日内，支付合同总金额的 8.30%。</w:t>
      </w:r>
    </w:p>
    <w:p w14:paraId="139A28DF">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6.付款条件说明： 按月支付，每月考核合格，成交供应商开具全额增值税专用发票给院方后，达到付款条件起 10 日内，支付合同总金额的 8.30%。</w:t>
      </w:r>
    </w:p>
    <w:p w14:paraId="68749A3D">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7.付款条件说明： 按月支付，每月考核合格，成交供应商开具全额增值税专用发票给院方后，达到付款条件起 10 日内，支付合同总金额的 8.30%。</w:t>
      </w:r>
    </w:p>
    <w:p w14:paraId="0EA9D2F6">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8.付款条件说明： 按月支付，每月考核合格，成交供应商开具全额增值税专用发票给院方后，达到付款条件起 10 日内，支付合同总金额的 8.30%。</w:t>
      </w:r>
    </w:p>
    <w:p w14:paraId="2C0E8598">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9.付款条件说明： 按月支付，每月考核合格，成交供应商开具全额增值税专用发票给院方后，达到付款条件起 10 日内，支付合同总金额的 8.30%。</w:t>
      </w:r>
    </w:p>
    <w:p w14:paraId="442CF333">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11.付款条件说明： 按月支付，每月考核合格，成交供应商开具全额增值税专用发票给院方后，达到付款条件起 10 日内，支付合同总金额的 8.30%。</w:t>
      </w:r>
    </w:p>
    <w:p w14:paraId="7CB07CE3">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12.付款条件说明： 按月支付，每月考核合格，成交供应商开具全额增值税专用发票给院方后，达到付款条件起 10 日内，支付合同总金额的 8.70%。</w:t>
      </w:r>
    </w:p>
    <w:p w14:paraId="51FED7BC">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四</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服务期、地点、方式</w:t>
      </w:r>
      <w:bookmarkEnd w:id="15"/>
      <w:bookmarkEnd w:id="16"/>
      <w:bookmarkEnd w:id="17"/>
      <w:bookmarkEnd w:id="18"/>
      <w:bookmarkEnd w:id="19"/>
    </w:p>
    <w:p w14:paraId="76987747">
      <w:pPr>
        <w:keepNext w:val="0"/>
        <w:keepLines w:val="0"/>
        <w:pageBreakBefore w:val="0"/>
        <w:widowControl w:val="0"/>
        <w:tabs>
          <w:tab w:val="left" w:pos="1379"/>
        </w:tabs>
        <w:kinsoku/>
        <w:wordWrap/>
        <w:overflowPunct/>
        <w:topLinePunct w:val="0"/>
        <w:bidi w:val="0"/>
        <w:adjustRightInd/>
        <w:snapToGrid w:val="0"/>
        <w:spacing w:line="360" w:lineRule="auto"/>
        <w:ind w:firstLine="560" w:firstLineChars="200"/>
        <w:textAlignment w:val="auto"/>
        <w:outlineLvl w:val="9"/>
        <w:rPr>
          <w:rFonts w:hint="eastAsia" w:ascii="仿宋" w:hAnsi="仿宋" w:eastAsia="仿宋" w:cs="仿宋"/>
          <w:color w:val="auto"/>
          <w:sz w:val="28"/>
          <w:szCs w:val="28"/>
          <w:highlight w:val="none"/>
          <w:u w:val="single"/>
        </w:rPr>
      </w:pPr>
      <w:bookmarkStart w:id="20" w:name="_Toc185395249"/>
      <w:bookmarkStart w:id="21" w:name="_Toc225244852"/>
      <w:bookmarkStart w:id="22" w:name="_Toc251768862"/>
      <w:bookmarkStart w:id="23" w:name="_Toc237145406"/>
      <w:bookmarkStart w:id="24" w:name="_Toc282696226"/>
      <w:bookmarkStart w:id="25" w:name="_Toc225670751"/>
      <w:bookmarkStart w:id="26" w:name="_Toc211854449"/>
      <w:bookmarkStart w:id="27" w:name="_Toc241833903"/>
      <w:bookmarkStart w:id="28" w:name="_Toc247334841"/>
      <w:bookmarkStart w:id="29" w:name="_Toc211911348"/>
      <w:bookmarkStart w:id="30" w:name="_Toc239233914"/>
      <w:bookmarkStart w:id="31" w:name="_Toc212019594"/>
      <w:bookmarkStart w:id="32" w:name="_Toc239568418"/>
      <w:bookmarkStart w:id="33" w:name="_Toc238984975"/>
      <w:bookmarkStart w:id="34" w:name="_Toc283019214"/>
      <w:bookmarkStart w:id="35" w:name="_Toc286993786"/>
      <w:bookmarkStart w:id="36" w:name="_Toc232492928"/>
      <w:bookmarkStart w:id="37" w:name="_Toc225654644"/>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178945E3">
      <w:pPr>
        <w:pStyle w:val="9"/>
        <w:keepNext w:val="0"/>
        <w:keepLines w:val="0"/>
        <w:pageBreakBefore w:val="0"/>
        <w:widowControl w:val="0"/>
        <w:kinsoku/>
        <w:wordWrap/>
        <w:overflowPunct/>
        <w:topLinePunct w:val="0"/>
        <w:bidi w:val="0"/>
        <w:adjustRightInd/>
        <w:snapToGrid w:val="0"/>
        <w:spacing w:line="360" w:lineRule="auto"/>
        <w:textAlignment w:val="auto"/>
        <w:outlineLvl w:val="9"/>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.交付条件：</w:t>
      </w:r>
      <w:r>
        <w:rPr>
          <w:rFonts w:hint="eastAsia" w:ascii="仿宋" w:hAnsi="仿宋" w:eastAsia="仿宋" w:cs="仿宋"/>
          <w:color w:val="auto"/>
          <w:sz w:val="28"/>
          <w:szCs w:val="28"/>
          <w:highlight w:val="none"/>
          <w:u w:val="single"/>
        </w:rPr>
        <w:t>本次所有服务工作完成</w:t>
      </w:r>
      <w:r>
        <w:rPr>
          <w:rFonts w:hint="eastAsia" w:ascii="仿宋" w:hAnsi="仿宋" w:eastAsia="仿宋" w:cs="仿宋"/>
          <w:color w:val="auto"/>
          <w:sz w:val="28"/>
          <w:szCs w:val="28"/>
          <w:highlight w:val="none"/>
          <w:u w:val="single"/>
          <w:lang w:val="en-US" w:eastAsia="zh-CN"/>
        </w:rPr>
        <w:t xml:space="preserve">            </w:t>
      </w:r>
    </w:p>
    <w:p w14:paraId="63218329">
      <w:pPr>
        <w:pStyle w:val="9"/>
        <w:keepNext w:val="0"/>
        <w:keepLines w:val="0"/>
        <w:pageBreakBefore w:val="0"/>
        <w:widowControl w:val="0"/>
        <w:kinsoku/>
        <w:wordWrap/>
        <w:overflowPunct/>
        <w:topLinePunct w:val="0"/>
        <w:bidi w:val="0"/>
        <w:adjustRightInd/>
        <w:snapToGrid w:val="0"/>
        <w:spacing w:line="360" w:lineRule="auto"/>
        <w:textAlignment w:val="auto"/>
        <w:outlineLvl w:val="9"/>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甲方联系人：</w:t>
      </w:r>
      <w:r>
        <w:rPr>
          <w:rFonts w:hint="eastAsia" w:ascii="仿宋" w:hAnsi="仿宋" w:eastAsia="仿宋" w:cs="仿宋"/>
          <w:color w:val="auto"/>
          <w:sz w:val="28"/>
          <w:szCs w:val="28"/>
          <w:highlight w:val="none"/>
          <w:u w:val="single"/>
          <w:lang w:val="en-US" w:eastAsia="zh-CN"/>
        </w:rPr>
        <w:t xml:space="preserve">      （姓名，联系方式）        </w:t>
      </w:r>
    </w:p>
    <w:p w14:paraId="76648AF8">
      <w:pPr>
        <w:pStyle w:val="9"/>
        <w:keepNext w:val="0"/>
        <w:keepLines w:val="0"/>
        <w:pageBreakBefore w:val="0"/>
        <w:widowControl w:val="0"/>
        <w:kinsoku/>
        <w:wordWrap/>
        <w:overflowPunct/>
        <w:topLinePunct w:val="0"/>
        <w:bidi w:val="0"/>
        <w:adjustRightInd/>
        <w:snapToGrid w:val="0"/>
        <w:spacing w:line="360" w:lineRule="auto"/>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u w:val="none"/>
          <w:lang w:val="en-US" w:eastAsia="zh-CN"/>
        </w:rPr>
        <w:t>乙方联系人：</w:t>
      </w:r>
      <w:r>
        <w:rPr>
          <w:rFonts w:hint="eastAsia" w:ascii="仿宋" w:hAnsi="仿宋" w:eastAsia="仿宋" w:cs="仿宋"/>
          <w:color w:val="auto"/>
          <w:sz w:val="28"/>
          <w:szCs w:val="28"/>
          <w:highlight w:val="none"/>
          <w:u w:val="single"/>
          <w:lang w:val="en-US" w:eastAsia="zh-CN"/>
        </w:rPr>
        <w:t xml:space="preserve">      （姓名，联系方式）        </w:t>
      </w:r>
    </w:p>
    <w:p w14:paraId="445AE5F1">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lang w:val="en-US" w:eastAsia="zh-CN"/>
        </w:rPr>
      </w:pPr>
      <w:bookmarkStart w:id="38" w:name="_Toc28705"/>
      <w:bookmarkStart w:id="39" w:name="_Toc19970"/>
      <w:bookmarkStart w:id="40" w:name="_Toc19538"/>
      <w:bookmarkStart w:id="41" w:name="_Toc2585"/>
      <w:bookmarkStart w:id="42" w:name="_Toc14970"/>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质量保证及售后服务</w:t>
      </w:r>
      <w:bookmarkEnd w:id="38"/>
      <w:bookmarkEnd w:id="39"/>
      <w:bookmarkEnd w:id="40"/>
      <w:bookmarkEnd w:id="41"/>
      <w:bookmarkEnd w:id="42"/>
    </w:p>
    <w:p w14:paraId="50A9A598">
      <w:pPr>
        <w:pStyle w:val="8"/>
        <w:keepNext w:val="0"/>
        <w:keepLines w:val="0"/>
        <w:pageBreakBefore w:val="0"/>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质量保证</w:t>
      </w:r>
      <w:r>
        <w:rPr>
          <w:rFonts w:hint="eastAsia" w:ascii="仿宋" w:hAnsi="仿宋" w:eastAsia="仿宋" w:cs="仿宋"/>
          <w:color w:val="auto"/>
          <w:sz w:val="28"/>
          <w:szCs w:val="28"/>
          <w:highlight w:val="none"/>
        </w:rPr>
        <w:t>：乙方应保证所提供的服务，符合</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要求。如不符时，乙方应负全责并尽快处理解决，由此造成的损失和相关费用由乙方负责，甲方保留终止合同及索赔的权利。</w:t>
      </w:r>
    </w:p>
    <w:p w14:paraId="2C76BA08">
      <w:pPr>
        <w:pStyle w:val="8"/>
        <w:keepNext w:val="0"/>
        <w:keepLines w:val="0"/>
        <w:pageBreakBefore w:val="0"/>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14:paraId="46E8987C">
      <w:pPr>
        <w:pStyle w:val="8"/>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 xml:space="preserve"> </w:t>
      </w:r>
      <w:bookmarkStart w:id="43" w:name="_Toc9616"/>
      <w:bookmarkStart w:id="44" w:name="_Toc27776"/>
      <w:bookmarkStart w:id="45" w:name="_Toc11338"/>
      <w:bookmarkStart w:id="46" w:name="_Toc17616"/>
      <w:bookmarkStart w:id="47" w:name="_Toc4471"/>
      <w:r>
        <w:rPr>
          <w:rFonts w:hint="eastAsia" w:ascii="仿宋" w:hAnsi="仿宋" w:eastAsia="仿宋" w:cs="仿宋"/>
          <w:b/>
          <w:bCs w:val="0"/>
          <w:color w:val="auto"/>
          <w:sz w:val="28"/>
          <w:szCs w:val="28"/>
          <w:highlight w:val="none"/>
          <w:lang w:val="en-US" w:eastAsia="zh-CN"/>
        </w:rPr>
        <w:t>验收</w:t>
      </w:r>
      <w:bookmarkEnd w:id="43"/>
      <w:bookmarkEnd w:id="44"/>
      <w:bookmarkEnd w:id="45"/>
      <w:bookmarkEnd w:id="46"/>
      <w:bookmarkEnd w:id="47"/>
    </w:p>
    <w:p w14:paraId="0A5B3D3B">
      <w:pPr>
        <w:pStyle w:val="8"/>
        <w:keepNext w:val="0"/>
        <w:keepLines w:val="0"/>
        <w:pageBreakBefore w:val="0"/>
        <w:numPr>
          <w:ilvl w:val="0"/>
          <w:numId w:val="0"/>
        </w:numPr>
        <w:kinsoku/>
        <w:wordWrap/>
        <w:overflowPunct/>
        <w:topLinePunct w:val="0"/>
        <w:bidi w:val="0"/>
        <w:adjustRightInd/>
        <w:snapToGrid w:val="0"/>
        <w:spacing w:line="360" w:lineRule="auto"/>
        <w:ind w:firstLine="560" w:firstLineChars="200"/>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按照服务内容及要求，强化日常监督和考核，乙方配合甲方参与项目验收工作，并确保所服务项目内容符合本项目质量标准。</w:t>
      </w:r>
    </w:p>
    <w:p w14:paraId="603A08FB">
      <w:pPr>
        <w:pStyle w:val="8"/>
        <w:keepNext w:val="0"/>
        <w:keepLines w:val="0"/>
        <w:pageBreakBefore w:val="0"/>
        <w:numPr>
          <w:ilvl w:val="0"/>
          <w:numId w:val="0"/>
        </w:numPr>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bookmarkStart w:id="48" w:name="_Toc1943"/>
      <w:bookmarkStart w:id="49" w:name="_Toc22160"/>
      <w:bookmarkStart w:id="50" w:name="_Toc18954"/>
      <w:bookmarkStart w:id="51" w:name="_Toc19571"/>
      <w:bookmarkStart w:id="52" w:name="_Toc24822"/>
      <w:r>
        <w:rPr>
          <w:rFonts w:hint="eastAsia" w:ascii="仿宋" w:hAnsi="仿宋" w:eastAsia="仿宋" w:cs="仿宋"/>
          <w:b/>
          <w:bCs w:val="0"/>
          <w:color w:val="auto"/>
          <w:sz w:val="28"/>
          <w:szCs w:val="28"/>
          <w:highlight w:val="none"/>
        </w:rPr>
        <w:t>第七条  无产权瑕疵条款</w:t>
      </w:r>
      <w:bookmarkEnd w:id="48"/>
      <w:bookmarkEnd w:id="49"/>
      <w:bookmarkEnd w:id="50"/>
      <w:bookmarkEnd w:id="51"/>
      <w:bookmarkEnd w:id="52"/>
    </w:p>
    <w:p w14:paraId="346E67D1">
      <w:pPr>
        <w:keepNext w:val="0"/>
        <w:keepLines w:val="0"/>
        <w:pageBreakBefore w:val="0"/>
        <w:tabs>
          <w:tab w:val="left" w:pos="1440"/>
        </w:tabs>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乙方保证所提供的服务的所有权完全属于乙方且无任何抵押、查封等产权瑕疵。如有产权瑕疵的，视为乙方违约。乙方应负担由此而产生的一切损失。</w:t>
      </w:r>
    </w:p>
    <w:p w14:paraId="5994C4E9">
      <w:pPr>
        <w:keepNext w:val="0"/>
        <w:keepLines w:val="0"/>
        <w:pageBreakBefore w:val="0"/>
        <w:kinsoku/>
        <w:wordWrap/>
        <w:overflowPunct/>
        <w:topLinePunct w:val="0"/>
        <w:bidi w:val="0"/>
        <w:adjustRightInd/>
        <w:snapToGrid w:val="0"/>
        <w:spacing w:line="360" w:lineRule="auto"/>
        <w:ind w:firstLine="562" w:firstLineChars="200"/>
        <w:textAlignment w:val="baseline"/>
        <w:outlineLvl w:val="9"/>
        <w:rPr>
          <w:rFonts w:hint="eastAsia" w:ascii="仿宋" w:hAnsi="仿宋" w:eastAsia="仿宋" w:cs="仿宋"/>
          <w:b/>
          <w:bCs w:val="0"/>
          <w:color w:val="auto"/>
          <w:sz w:val="28"/>
          <w:szCs w:val="28"/>
          <w:highlight w:val="none"/>
        </w:rPr>
      </w:pPr>
      <w:bookmarkStart w:id="53" w:name="_Toc6497"/>
      <w:bookmarkStart w:id="54" w:name="_Toc11900"/>
      <w:bookmarkStart w:id="55" w:name="_Toc23452"/>
      <w:bookmarkStart w:id="56" w:name="_Toc12634"/>
      <w:bookmarkStart w:id="57" w:name="_Toc9603"/>
      <w:r>
        <w:rPr>
          <w:rFonts w:hint="eastAsia" w:ascii="仿宋" w:hAnsi="仿宋" w:eastAsia="仿宋" w:cs="仿宋"/>
          <w:b/>
          <w:bCs w:val="0"/>
          <w:color w:val="auto"/>
          <w:sz w:val="28"/>
          <w:szCs w:val="28"/>
          <w:highlight w:val="none"/>
        </w:rPr>
        <w:t>第八条  甲方的权利和义务</w:t>
      </w:r>
      <w:bookmarkEnd w:id="53"/>
      <w:bookmarkEnd w:id="54"/>
      <w:bookmarkEnd w:id="55"/>
      <w:bookmarkEnd w:id="56"/>
      <w:bookmarkEnd w:id="57"/>
    </w:p>
    <w:p w14:paraId="2143D0E6">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33CAD5C">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2.甲方有权依据双方签订的考评办法对乙方提供的服务进行定期考评。当考评结果未达到标准时，有权依据考评办法约定的数额扣除履约保证金。</w:t>
      </w:r>
    </w:p>
    <w:p w14:paraId="582838C4">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3.负责检查监督乙方管理工作的实施及制度的执行情况。</w:t>
      </w:r>
    </w:p>
    <w:p w14:paraId="09F1DC55">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4.根据本合同规定，按时向乙方支付应付服务费用。</w:t>
      </w:r>
    </w:p>
    <w:p w14:paraId="7D9F8FAB">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所规定由甲方承担的其它责任。</w:t>
      </w:r>
    </w:p>
    <w:p w14:paraId="425DBDF5">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bookmarkStart w:id="58" w:name="_Toc10390"/>
      <w:bookmarkStart w:id="59" w:name="_Toc12376"/>
      <w:bookmarkStart w:id="60" w:name="_Toc7157"/>
      <w:bookmarkStart w:id="61" w:name="_Toc26775"/>
      <w:bookmarkStart w:id="62" w:name="_Toc24801"/>
      <w:r>
        <w:rPr>
          <w:rFonts w:hint="eastAsia" w:ascii="仿宋" w:hAnsi="仿宋" w:eastAsia="仿宋" w:cs="仿宋"/>
          <w:b/>
          <w:bCs w:val="0"/>
          <w:color w:val="auto"/>
          <w:sz w:val="28"/>
          <w:szCs w:val="28"/>
          <w:highlight w:val="none"/>
          <w:lang w:val="en-US" w:eastAsia="zh-CN"/>
        </w:rPr>
        <w:t>第九</w:t>
      </w:r>
      <w:r>
        <w:rPr>
          <w:rFonts w:hint="eastAsia" w:ascii="仿宋" w:hAnsi="仿宋" w:eastAsia="仿宋" w:cs="仿宋"/>
          <w:b/>
          <w:bCs w:val="0"/>
          <w:color w:val="auto"/>
          <w:sz w:val="28"/>
          <w:szCs w:val="28"/>
          <w:highlight w:val="none"/>
        </w:rPr>
        <w:t>条  乙方的权利和义务</w:t>
      </w:r>
      <w:bookmarkEnd w:id="58"/>
      <w:bookmarkEnd w:id="59"/>
      <w:bookmarkEnd w:id="60"/>
      <w:bookmarkEnd w:id="61"/>
      <w:bookmarkEnd w:id="62"/>
    </w:p>
    <w:p w14:paraId="2B9C5BC1">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1.对本合同规定的委托服务范围内的项目享有管理权及服务义务。</w:t>
      </w:r>
    </w:p>
    <w:p w14:paraId="440AFA79">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2.根据本合同的规定向甲方收取相关服务费用，并有权在本项目管理范围内管理及合理使用。</w:t>
      </w:r>
    </w:p>
    <w:p w14:paraId="6A3BDB29">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3.及时向甲方通告本项目服务范围内有关服务的重大事项，及时配合处理投诉。</w:t>
      </w:r>
    </w:p>
    <w:p w14:paraId="793EB065">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bCs/>
          <w:color w:val="auto"/>
          <w:sz w:val="28"/>
          <w:szCs w:val="28"/>
          <w:highlight w:val="none"/>
        </w:rPr>
        <w:t>接受项目行业管理部门及政府有关部门的指导，接受甲方的监督。</w:t>
      </w:r>
    </w:p>
    <w:p w14:paraId="27A7FE13">
      <w:pPr>
        <w:keepNext w:val="0"/>
        <w:keepLines w:val="0"/>
        <w:pageBreakBefore w:val="0"/>
        <w:kinsoku/>
        <w:wordWrap/>
        <w:overflowPunct/>
        <w:topLinePunct w:val="0"/>
        <w:bidi w:val="0"/>
        <w:adjustRightInd/>
        <w:snapToGrid w:val="0"/>
        <w:spacing w:line="360" w:lineRule="auto"/>
        <w:ind w:firstLine="560" w:firstLineChars="200"/>
        <w:textAlignment w:val="baseline"/>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所规定由乙方承担的其它责任。</w:t>
      </w:r>
    </w:p>
    <w:p w14:paraId="61AA45B6">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bookmarkStart w:id="63" w:name="_Toc19456"/>
      <w:bookmarkStart w:id="64" w:name="_Toc26868"/>
      <w:bookmarkStart w:id="65" w:name="_Toc29819"/>
      <w:bookmarkStart w:id="66" w:name="_Toc13859"/>
      <w:bookmarkStart w:id="67" w:name="_Toc134"/>
      <w:r>
        <w:rPr>
          <w:rFonts w:hint="eastAsia" w:ascii="仿宋" w:hAnsi="仿宋" w:eastAsia="仿宋" w:cs="仿宋"/>
          <w:b/>
          <w:bCs w:val="0"/>
          <w:color w:val="auto"/>
          <w:sz w:val="28"/>
          <w:szCs w:val="28"/>
          <w:highlight w:val="none"/>
        </w:rPr>
        <w:t>第十条  违约责任</w:t>
      </w:r>
      <w:bookmarkEnd w:id="63"/>
      <w:bookmarkEnd w:id="64"/>
      <w:bookmarkEnd w:id="65"/>
      <w:bookmarkEnd w:id="66"/>
      <w:bookmarkEnd w:id="67"/>
    </w:p>
    <w:p w14:paraId="25C0B298">
      <w:pPr>
        <w:pStyle w:val="11"/>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lang w:val="en-US" w:eastAsia="zh-CN" w:bidi="ar-SA"/>
        </w:rPr>
      </w:pPr>
      <w:bookmarkStart w:id="68" w:name="_Toc12362"/>
      <w:bookmarkStart w:id="69" w:name="_Toc20006"/>
      <w:bookmarkStart w:id="70" w:name="_Toc20912"/>
      <w:bookmarkStart w:id="71" w:name="_Toc13266"/>
      <w:bookmarkStart w:id="72" w:name="_Toc24632"/>
      <w:r>
        <w:rPr>
          <w:rFonts w:hint="eastAsia" w:ascii="仿宋" w:hAnsi="仿宋" w:eastAsia="仿宋" w:cs="仿宋"/>
          <w:color w:val="auto"/>
          <w:kern w:val="2"/>
          <w:sz w:val="28"/>
          <w:szCs w:val="28"/>
          <w:highlight w:val="none"/>
          <w:lang w:val="en-US" w:eastAsia="zh-CN" w:bidi="ar-SA"/>
        </w:rPr>
        <w:t>乙方未全面履行合同义务或者发生违约，甲方有权终止合同，依法向乙方进行经济索赔，并报请政府采购监督管理机关依法进行相应的行政处罚。甲方违约的，应当赔偿给乙方造成的经济损失。</w:t>
      </w:r>
    </w:p>
    <w:p w14:paraId="30271187">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一</w:t>
      </w:r>
      <w:r>
        <w:rPr>
          <w:rFonts w:hint="eastAsia" w:ascii="仿宋" w:hAnsi="仿宋" w:eastAsia="仿宋" w:cs="仿宋"/>
          <w:b/>
          <w:bCs w:val="0"/>
          <w:color w:val="auto"/>
          <w:sz w:val="28"/>
          <w:szCs w:val="28"/>
          <w:highlight w:val="none"/>
        </w:rPr>
        <w:t>条  不可抗力事件处理</w:t>
      </w:r>
      <w:bookmarkEnd w:id="68"/>
      <w:bookmarkEnd w:id="69"/>
      <w:bookmarkEnd w:id="70"/>
      <w:bookmarkEnd w:id="71"/>
      <w:bookmarkEnd w:id="72"/>
    </w:p>
    <w:p w14:paraId="6FB08FDD">
      <w:pPr>
        <w:keepNext w:val="0"/>
        <w:keepLines w:val="0"/>
        <w:pageBreakBefore w:val="0"/>
        <w:tabs>
          <w:tab w:val="left" w:pos="0"/>
        </w:tabs>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1.在合同有效期内，任何一方因不可抗力事件导致不能履行合同，则合同履行期可延长，其延长期与不可抗力影响期相同。</w:t>
      </w:r>
    </w:p>
    <w:p w14:paraId="54575FA9">
      <w:pPr>
        <w:keepNext w:val="0"/>
        <w:keepLines w:val="0"/>
        <w:pageBreakBefore w:val="0"/>
        <w:tabs>
          <w:tab w:val="left" w:pos="0"/>
        </w:tabs>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2.不可抗力事件发生后，应立即通知对方，并寄送</w:t>
      </w:r>
      <w:bookmarkStart w:id="127" w:name="_GoBack"/>
      <w:bookmarkEnd w:id="127"/>
      <w:r>
        <w:rPr>
          <w:rFonts w:hint="eastAsia" w:ascii="仿宋" w:hAnsi="仿宋" w:eastAsia="仿宋" w:cs="仿宋"/>
          <w:color w:val="auto"/>
          <w:sz w:val="28"/>
          <w:szCs w:val="28"/>
          <w:highlight w:val="none"/>
        </w:rPr>
        <w:t>有关权威机构出具的证明。</w:t>
      </w:r>
    </w:p>
    <w:p w14:paraId="4ACB4633">
      <w:pPr>
        <w:keepNext w:val="0"/>
        <w:keepLines w:val="0"/>
        <w:pageBreakBefore w:val="0"/>
        <w:tabs>
          <w:tab w:val="left" w:pos="0"/>
        </w:tabs>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3.不可抗力事件延续</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天以上，双方应通过友好协商，确定是否继续履行合同。</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E7F491B">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bookmarkStart w:id="73" w:name="_Toc25202"/>
      <w:bookmarkStart w:id="74" w:name="_Toc22235"/>
      <w:bookmarkStart w:id="75" w:name="_Toc23990"/>
      <w:bookmarkStart w:id="76" w:name="_Toc30380"/>
      <w:bookmarkStart w:id="77" w:name="_Toc13911"/>
      <w:bookmarkStart w:id="78" w:name="_Toc225670756"/>
      <w:bookmarkStart w:id="79" w:name="_Toc239233919"/>
      <w:bookmarkStart w:id="80" w:name="_Toc211911353"/>
      <w:bookmarkStart w:id="81" w:name="_Toc237145411"/>
      <w:bookmarkStart w:id="82" w:name="_Toc239568423"/>
      <w:bookmarkStart w:id="83" w:name="_Toc251768867"/>
      <w:bookmarkStart w:id="84" w:name="_Toc247334846"/>
      <w:bookmarkStart w:id="85" w:name="_Toc241833908"/>
      <w:bookmarkStart w:id="86" w:name="_Toc225244857"/>
      <w:bookmarkStart w:id="87" w:name="_Toc225654649"/>
      <w:bookmarkStart w:id="88" w:name="_Toc232492933"/>
      <w:bookmarkStart w:id="89" w:name="_Toc212019599"/>
      <w:bookmarkStart w:id="90" w:name="_Toc238984980"/>
      <w:bookmarkStart w:id="91" w:name="_Toc211854454"/>
      <w:bookmarkStart w:id="92" w:name="_Toc286993792"/>
      <w:bookmarkStart w:id="93" w:name="_Toc185395254"/>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  合同的变更和终止</w:t>
      </w:r>
      <w:bookmarkEnd w:id="73"/>
      <w:bookmarkEnd w:id="74"/>
      <w:bookmarkEnd w:id="75"/>
      <w:bookmarkEnd w:id="76"/>
      <w:bookmarkEnd w:id="77"/>
    </w:p>
    <w:p w14:paraId="4F40FE56">
      <w:pPr>
        <w:keepNext w:val="0"/>
        <w:keepLines w:val="0"/>
        <w:pageBreakBefore w:val="0"/>
        <w:kinsoku/>
        <w:wordWrap/>
        <w:overflowPunct/>
        <w:topLinePunct w:val="0"/>
        <w:bidi w:val="0"/>
        <w:adjustRightInd/>
        <w:snapToGrid w:val="0"/>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除《中华人民共和国政府采购法》第49条、第50条第二款规定的情形外，本合同一经签订，甲乙双方不得擅自变更、中止或终止合同。</w:t>
      </w:r>
    </w:p>
    <w:p w14:paraId="5A189761">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lang w:val="en-US" w:eastAsia="zh-CN"/>
        </w:rPr>
      </w:pPr>
      <w:bookmarkStart w:id="94" w:name="_Toc8343"/>
      <w:bookmarkStart w:id="95" w:name="_Toc29942"/>
      <w:bookmarkStart w:id="96" w:name="_Toc31995"/>
      <w:bookmarkStart w:id="97" w:name="_Toc32542"/>
      <w:bookmarkStart w:id="98" w:name="_Toc5821"/>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hint="eastAsia" w:ascii="仿宋" w:hAnsi="仿宋" w:eastAsia="仿宋" w:cs="仿宋"/>
          <w:b/>
          <w:bCs w:val="0"/>
          <w:color w:val="auto"/>
          <w:sz w:val="28"/>
          <w:szCs w:val="28"/>
          <w:highlight w:val="none"/>
          <w:lang w:val="en-US" w:eastAsia="zh-CN"/>
        </w:rPr>
        <w:t>争议解决条款</w:t>
      </w:r>
      <w:bookmarkEnd w:id="94"/>
      <w:bookmarkEnd w:id="95"/>
      <w:bookmarkEnd w:id="96"/>
      <w:bookmarkEnd w:id="97"/>
      <w:bookmarkEnd w:id="98"/>
    </w:p>
    <w:p w14:paraId="7906AC7F">
      <w:pPr>
        <w:pStyle w:val="8"/>
        <w:keepNext w:val="0"/>
        <w:keepLines w:val="0"/>
        <w:pageBreakBefore w:val="0"/>
        <w:kinsoku/>
        <w:wordWrap/>
        <w:overflowPunct/>
        <w:topLinePunct w:val="0"/>
        <w:bidi w:val="0"/>
        <w:adjustRightInd/>
        <w:snapToGrid w:val="0"/>
        <w:spacing w:line="360" w:lineRule="auto"/>
        <w:ind w:firstLine="48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在执行本合同中发生的或与本合同有关的争端，双方应通过友好协商解决，经协商在</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天内不能达成协议时，则采取：向甲方所在地有管辖权的人民法院提起诉讼；</w:t>
      </w:r>
    </w:p>
    <w:p w14:paraId="5CB06336">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bookmarkStart w:id="99" w:name="_Toc212019600"/>
      <w:bookmarkStart w:id="100" w:name="_Toc238984981"/>
      <w:bookmarkStart w:id="101" w:name="_Toc282696231"/>
      <w:bookmarkStart w:id="102" w:name="_Toc225670757"/>
      <w:bookmarkStart w:id="103" w:name="_Toc211911354"/>
      <w:bookmarkStart w:id="104" w:name="_Toc225244858"/>
      <w:bookmarkStart w:id="105" w:name="_Toc241833909"/>
      <w:bookmarkStart w:id="106" w:name="_Toc225654650"/>
      <w:bookmarkStart w:id="107" w:name="_Toc247334847"/>
      <w:bookmarkStart w:id="108" w:name="_Toc232492934"/>
      <w:bookmarkStart w:id="109" w:name="_Toc237145412"/>
      <w:bookmarkStart w:id="110" w:name="_Toc283019219"/>
      <w:bookmarkStart w:id="111" w:name="_Toc239568424"/>
      <w:bookmarkStart w:id="112" w:name="_Toc211854455"/>
      <w:bookmarkStart w:id="113" w:name="_Toc185395255"/>
      <w:bookmarkStart w:id="114" w:name="_Toc239233920"/>
      <w:bookmarkStart w:id="115" w:name="_Toc286993793"/>
      <w:bookmarkStart w:id="116" w:name="_Toc251768868"/>
      <w:bookmarkStart w:id="117" w:name="_Toc233"/>
      <w:bookmarkStart w:id="118" w:name="_Toc29298"/>
      <w:bookmarkStart w:id="119" w:name="_Toc3997"/>
      <w:bookmarkStart w:id="120" w:name="_Toc29426"/>
      <w:bookmarkStart w:id="121" w:name="_Toc24825"/>
      <w:r>
        <w:rPr>
          <w:rFonts w:hint="eastAsia" w:ascii="仿宋" w:hAnsi="仿宋" w:eastAsia="仿宋" w:cs="仿宋"/>
          <w:b/>
          <w:bCs w:val="0"/>
          <w:color w:val="auto"/>
          <w:sz w:val="28"/>
          <w:szCs w:val="28"/>
          <w:highlight w:val="none"/>
        </w:rPr>
        <w:t>第十四条  合同</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eastAsia" w:ascii="仿宋" w:hAnsi="仿宋" w:eastAsia="仿宋" w:cs="仿宋"/>
          <w:b/>
          <w:bCs w:val="0"/>
          <w:color w:val="auto"/>
          <w:sz w:val="28"/>
          <w:szCs w:val="28"/>
          <w:highlight w:val="none"/>
        </w:rPr>
        <w:t>生效及其他</w:t>
      </w:r>
      <w:bookmarkEnd w:id="117"/>
      <w:bookmarkEnd w:id="118"/>
      <w:bookmarkEnd w:id="119"/>
      <w:bookmarkEnd w:id="120"/>
      <w:bookmarkEnd w:id="121"/>
    </w:p>
    <w:p w14:paraId="20A44E28">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1.合同经双方法定代表人或授权委托代理人签字并加盖单位公章后生效。</w:t>
      </w:r>
    </w:p>
    <w:p w14:paraId="70643161">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2.合同执行中涉及采购资金和采购内容修改或补充的，须经政府采购监管部门审批，并</w:t>
      </w:r>
      <w:r>
        <w:rPr>
          <w:rFonts w:hint="eastAsia" w:ascii="仿宋" w:hAnsi="仿宋" w:eastAsia="仿宋" w:cs="仿宋"/>
          <w:color w:val="auto"/>
          <w:sz w:val="28"/>
          <w:szCs w:val="28"/>
          <w:highlight w:val="none"/>
          <w:lang w:eastAsia="zh-CN"/>
        </w:rPr>
        <w:t>签订</w:t>
      </w:r>
      <w:r>
        <w:rPr>
          <w:rFonts w:hint="eastAsia" w:ascii="仿宋" w:hAnsi="仿宋" w:eastAsia="仿宋" w:cs="仿宋"/>
          <w:color w:val="auto"/>
          <w:sz w:val="28"/>
          <w:szCs w:val="28"/>
          <w:highlight w:val="none"/>
        </w:rPr>
        <w:t>书面补充协议报政府采购监督管理部门备案，方可作为主合同不可分割的一部分。</w:t>
      </w:r>
    </w:p>
    <w:p w14:paraId="57DEB431">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3.本合同一式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份，自双方签章之日起起效。甲方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份，乙方</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具有同等法律效力。</w:t>
      </w:r>
    </w:p>
    <w:p w14:paraId="4D410531">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9"/>
        <w:rPr>
          <w:rFonts w:hint="eastAsia" w:ascii="仿宋" w:hAnsi="仿宋" w:eastAsia="仿宋" w:cs="仿宋"/>
          <w:b/>
          <w:bCs w:val="0"/>
          <w:color w:val="auto"/>
          <w:sz w:val="28"/>
          <w:szCs w:val="28"/>
          <w:highlight w:val="none"/>
        </w:rPr>
      </w:pPr>
      <w:bookmarkStart w:id="122" w:name="_Toc2235"/>
      <w:bookmarkStart w:id="123" w:name="_Toc11151"/>
      <w:bookmarkStart w:id="124" w:name="_Toc15608"/>
      <w:bookmarkStart w:id="125" w:name="_Toc8611"/>
      <w:bookmarkStart w:id="126" w:name="_Toc12138"/>
      <w:r>
        <w:rPr>
          <w:rFonts w:hint="eastAsia" w:ascii="仿宋" w:hAnsi="仿宋" w:eastAsia="仿宋" w:cs="仿宋"/>
          <w:b/>
          <w:bCs w:val="0"/>
          <w:color w:val="auto"/>
          <w:sz w:val="28"/>
          <w:szCs w:val="28"/>
          <w:highlight w:val="none"/>
        </w:rPr>
        <w:t>第十五条  附件</w:t>
      </w:r>
      <w:bookmarkEnd w:id="122"/>
      <w:bookmarkEnd w:id="123"/>
      <w:bookmarkEnd w:id="124"/>
      <w:bookmarkEnd w:id="125"/>
      <w:bookmarkEnd w:id="126"/>
    </w:p>
    <w:p w14:paraId="73E6A638">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文件</w:t>
      </w:r>
    </w:p>
    <w:p w14:paraId="577D9E08">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2.项目修改澄清文件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若有</w:t>
      </w:r>
      <w:r>
        <w:rPr>
          <w:rFonts w:hint="eastAsia" w:ascii="仿宋" w:hAnsi="仿宋" w:eastAsia="仿宋" w:cs="仿宋"/>
          <w:color w:val="auto"/>
          <w:sz w:val="28"/>
          <w:szCs w:val="28"/>
          <w:highlight w:val="none"/>
          <w:lang w:eastAsia="zh-CN"/>
        </w:rPr>
        <w:t>）</w:t>
      </w:r>
    </w:p>
    <w:p w14:paraId="3AF9AE9E">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w:t>
      </w:r>
      <w:r>
        <w:rPr>
          <w:rFonts w:hint="eastAsia" w:ascii="仿宋" w:hAnsi="仿宋" w:eastAsia="仿宋" w:cs="仿宋"/>
          <w:color w:val="auto"/>
          <w:sz w:val="28"/>
          <w:szCs w:val="28"/>
          <w:highlight w:val="none"/>
          <w:lang w:val="en-US" w:eastAsia="zh-CN"/>
        </w:rPr>
        <w:t>磋商响应</w:t>
      </w:r>
      <w:r>
        <w:rPr>
          <w:rFonts w:hint="eastAsia" w:ascii="仿宋" w:hAnsi="仿宋" w:eastAsia="仿宋" w:cs="仿宋"/>
          <w:color w:val="auto"/>
          <w:sz w:val="28"/>
          <w:szCs w:val="28"/>
          <w:highlight w:val="none"/>
        </w:rPr>
        <w:t>文件</w:t>
      </w:r>
    </w:p>
    <w:p w14:paraId="15C9DDD4">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通知书</w:t>
      </w:r>
    </w:p>
    <w:p w14:paraId="23E2456B">
      <w:pPr>
        <w:pStyle w:val="10"/>
        <w:keepNext w:val="0"/>
        <w:keepLines w:val="0"/>
        <w:pageBreakBefore w:val="0"/>
        <w:kinsoku/>
        <w:wordWrap/>
        <w:overflowPunct/>
        <w:topLinePunct w:val="0"/>
        <w:bidi w:val="0"/>
        <w:adjustRightInd/>
        <w:snapToGrid w:val="0"/>
        <w:spacing w:line="360" w:lineRule="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w:t>
      </w:r>
    </w:p>
    <w:p w14:paraId="63CFF018">
      <w:pPr>
        <w:spacing w:line="360" w:lineRule="auto"/>
        <w:ind w:firstLine="560" w:firstLineChars="200"/>
        <w:outlineLvl w:val="9"/>
        <w:rPr>
          <w:rFonts w:hint="eastAsia" w:ascii="仿宋" w:hAnsi="仿宋" w:eastAsia="仿宋" w:cs="仿宋"/>
          <w:color w:val="auto"/>
          <w:sz w:val="28"/>
          <w:szCs w:val="28"/>
          <w:highlight w:val="none"/>
        </w:rPr>
      </w:pPr>
    </w:p>
    <w:p w14:paraId="1A6E1057">
      <w:pPr>
        <w:spacing w:line="360" w:lineRule="auto"/>
        <w:ind w:firstLine="560" w:firstLineChars="200"/>
        <w:outlineLvl w:val="9"/>
        <w:rPr>
          <w:rFonts w:hint="eastAsia" w:ascii="仿宋" w:hAnsi="仿宋" w:eastAsia="仿宋" w:cs="仿宋"/>
          <w:color w:val="auto"/>
          <w:sz w:val="28"/>
          <w:szCs w:val="28"/>
          <w:highlight w:val="none"/>
        </w:rPr>
      </w:pPr>
    </w:p>
    <w:p w14:paraId="6939E2E3">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 xml:space="preserve">章）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乙    方：   （</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570F4124">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法定代表人（委托代理人）：      法定代表人（委托代理人）：</w:t>
      </w:r>
    </w:p>
    <w:p w14:paraId="027F00A2">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地    址：</w:t>
      </w:r>
    </w:p>
    <w:p w14:paraId="4E557F95">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                      开户银行：</w:t>
      </w:r>
    </w:p>
    <w:p w14:paraId="2B5C982E">
      <w:pPr>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账    号：</w:t>
      </w:r>
    </w:p>
    <w:p w14:paraId="58AC0535">
      <w:pPr>
        <w:spacing w:line="360" w:lineRule="auto"/>
        <w:ind w:firstLine="560" w:firstLineChars="20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纳税人识别号：</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纳税人识别号：</w:t>
      </w:r>
    </w:p>
    <w:p w14:paraId="236653AB">
      <w:pPr>
        <w:spacing w:line="360" w:lineRule="auto"/>
        <w:ind w:firstLine="280" w:firstLineChars="1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电    话：                      电    话：</w:t>
      </w:r>
    </w:p>
    <w:p w14:paraId="03B39830">
      <w:pPr>
        <w:pStyle w:val="5"/>
        <w:spacing w:line="360" w:lineRule="auto"/>
        <w:ind w:firstLine="560" w:firstLineChars="200"/>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39FEE0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B1C19"/>
    <w:rsid w:val="087B1C19"/>
    <w:rsid w:val="2CFC1D9E"/>
    <w:rsid w:val="48043633"/>
    <w:rsid w:val="4B497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300" w:after="150" w:line="17" w:lineRule="atLeast"/>
      <w:jc w:val="left"/>
      <w:outlineLvl w:val="0"/>
    </w:pPr>
    <w:rPr>
      <w:rFonts w:hint="eastAsia" w:ascii="宋体" w:hAnsi="宋体"/>
      <w:b/>
      <w:kern w:val="44"/>
      <w:sz w:val="54"/>
      <w:szCs w:val="5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next w:val="1"/>
    <w:qFormat/>
    <w:uiPriority w:val="0"/>
    <w:rPr>
      <w:rFonts w:ascii="宋体" w:hAnsi="宋体"/>
      <w:szCs w:val="21"/>
    </w:rPr>
  </w:style>
  <w:style w:type="paragraph" w:styleId="5">
    <w:name w:val="Body Text"/>
    <w:basedOn w:val="1"/>
    <w:next w:val="1"/>
    <w:unhideWhenUsed/>
    <w:qFormat/>
    <w:uiPriority w:val="99"/>
    <w:pPr>
      <w:spacing w:after="120"/>
    </w:pPr>
  </w:style>
  <w:style w:type="paragraph" w:customStyle="1" w:styleId="8">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9">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0">
    <w:name w:val="列出段落1"/>
    <w:basedOn w:val="1"/>
    <w:autoRedefine/>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2026-06-03T00:53:00Z</dcterms:created>
  <dc:creator>XXIA</dc:creator>
  <cp:lastModifiedBy>XXIA</cp:lastModifiedBy>
  <dcterms:modified xsi:type="dcterms:W3CDTF">2026-06-03T00:56:02Z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FB3CFDBC2E09490A93767C9BE8D429A2_11</vt:lpwstr>
  </property>
  <property fmtid="{D5CDD505-2E9C-101B-9397-08002B2CF9AE}" pid="4" name="KSOTemplateDocerSaveRecord">
    <vt:lpwstr>eyJoZGlkIjoiNzRkODU0NWM1NTRlNTZjMDFhNjAyNDM3ZDE1ZjE0YTMiLCJ1c2VySWQiOiIzMTQzODkxMTYifQ==</vt:lpwstr>
  </property>
</Properties>
</file>