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8CAB0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00"/>
        <w:jc w:val="both"/>
        <w:rPr>
          <w:rFonts w:ascii="微软雅黑" w:hAnsi="微软雅黑" w:eastAsia="微软雅黑" w:cs="微软雅黑"/>
          <w:i w:val="0"/>
          <w:iCs w:val="0"/>
          <w:caps w:val="0"/>
          <w:color w:val="0A82E5"/>
          <w:spacing w:val="0"/>
          <w:sz w:val="24"/>
          <w:szCs w:val="24"/>
        </w:rPr>
      </w:pPr>
      <w:r>
        <w:rPr>
          <w:rStyle w:val="5"/>
          <w:rFonts w:ascii="仿宋" w:hAnsi="仿宋" w:eastAsia="仿宋" w:cs="仿宋"/>
          <w:i w:val="0"/>
          <w:iCs w:val="0"/>
          <w:caps w:val="0"/>
          <w:color w:val="000000"/>
          <w:spacing w:val="0"/>
          <w:sz w:val="24"/>
          <w:szCs w:val="24"/>
          <w:bdr w:val="none" w:color="auto" w:sz="0" w:space="0"/>
          <w:shd w:val="clear" w:fill="FFFFFF"/>
        </w:rPr>
        <w:t>一</w:t>
      </w:r>
      <w:r>
        <w:rPr>
          <w:rStyle w:val="5"/>
          <w:rFonts w:hint="eastAsia" w:ascii="仿宋" w:hAnsi="仿宋" w:eastAsia="仿宋" w:cs="仿宋"/>
          <w:i w:val="0"/>
          <w:iCs w:val="0"/>
          <w:caps w:val="0"/>
          <w:color w:val="000000"/>
          <w:spacing w:val="0"/>
          <w:sz w:val="24"/>
          <w:szCs w:val="24"/>
          <w:bdr w:val="none" w:color="auto" w:sz="0" w:space="0"/>
          <w:shd w:val="clear" w:fill="FFFFFF"/>
        </w:rPr>
        <w:t>、项目概况</w:t>
      </w:r>
    </w:p>
    <w:p w14:paraId="75A5E6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firstLineChars="20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为保障西安市不动产档案管理中心计算机（含外设）及应用软件正常运行，保障对内、对外信息网络通信畅通，推动各项业务工作安全平稳开展，计划采取招投标方式选定具备专业技术实力与同类服务经验的运维服务供应商，负责中心硬件设备、软件支撑系统的运维保障相关工作。</w:t>
      </w:r>
    </w:p>
    <w:p w14:paraId="273745A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00"/>
        <w:jc w:val="both"/>
        <w:rPr>
          <w:rFonts w:hint="eastAsia" w:ascii="微软雅黑" w:hAnsi="微软雅黑" w:eastAsia="微软雅黑" w:cs="微软雅黑"/>
          <w:i w:val="0"/>
          <w:iCs w:val="0"/>
          <w:caps w:val="0"/>
          <w:color w:val="0A82E5"/>
          <w:spacing w:val="0"/>
          <w:sz w:val="24"/>
          <w:szCs w:val="24"/>
        </w:rPr>
      </w:pPr>
      <w:r>
        <w:rPr>
          <w:rStyle w:val="5"/>
          <w:rFonts w:hint="eastAsia" w:ascii="仿宋" w:hAnsi="仿宋" w:eastAsia="仿宋" w:cs="仿宋"/>
          <w:i w:val="0"/>
          <w:iCs w:val="0"/>
          <w:caps w:val="0"/>
          <w:color w:val="000000"/>
          <w:spacing w:val="0"/>
          <w:sz w:val="24"/>
          <w:szCs w:val="24"/>
          <w:bdr w:val="none" w:color="auto" w:sz="0" w:space="0"/>
          <w:shd w:val="clear" w:fill="FFFFFF"/>
        </w:rPr>
        <w:t>二、服务内容（包括工作区域、工作内容等）</w:t>
      </w:r>
      <w:bookmarkStart w:id="0" w:name="_GoBack"/>
      <w:bookmarkEnd w:id="0"/>
    </w:p>
    <w:p w14:paraId="08D2C5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99"/>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服务内容包括浐灞大厅所有不动产终端、外设、大厅设备运行维护服务和数据处理、信息采集、硬件设备质保维修服务。</w:t>
      </w:r>
    </w:p>
    <w:p w14:paraId="73567DF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2828"/>
        <w:jc w:val="both"/>
        <w:rPr>
          <w:rFonts w:hint="eastAsia" w:ascii="微软雅黑" w:hAnsi="微软雅黑" w:eastAsia="微软雅黑" w:cs="微软雅黑"/>
          <w:i w:val="0"/>
          <w:iCs w:val="0"/>
          <w:caps w:val="0"/>
          <w:color w:val="0A82E5"/>
          <w:spacing w:val="0"/>
          <w:sz w:val="24"/>
          <w:szCs w:val="24"/>
        </w:rPr>
      </w:pPr>
      <w:r>
        <w:rPr>
          <w:rStyle w:val="5"/>
          <w:rFonts w:hint="eastAsia" w:ascii="宋体" w:hAnsi="宋体" w:eastAsia="宋体" w:cs="宋体"/>
          <w:i w:val="0"/>
          <w:iCs w:val="0"/>
          <w:caps w:val="0"/>
          <w:color w:val="000000"/>
          <w:spacing w:val="0"/>
          <w:sz w:val="24"/>
          <w:szCs w:val="24"/>
          <w:bdr w:val="none" w:color="auto" w:sz="0" w:space="0"/>
          <w:shd w:val="clear" w:fill="FFFFFF"/>
        </w:rPr>
        <w:t>服务大厅设备统计表</w:t>
      </w:r>
    </w:p>
    <w:tbl>
      <w:tblP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453"/>
        <w:gridCol w:w="2338"/>
        <w:gridCol w:w="1315"/>
        <w:gridCol w:w="1162"/>
        <w:gridCol w:w="2248"/>
      </w:tblGrid>
      <w:tr w14:paraId="4A111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5000" w:type="pct"/>
            <w:gridSpan w:val="5"/>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607806B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Style w:val="5"/>
                <w:rFonts w:hint="eastAsia" w:ascii="仿宋" w:hAnsi="仿宋" w:eastAsia="仿宋" w:cs="仿宋"/>
                <w:i w:val="0"/>
                <w:iCs w:val="0"/>
                <w:caps w:val="0"/>
                <w:color w:val="000000"/>
                <w:spacing w:val="0"/>
                <w:sz w:val="24"/>
                <w:szCs w:val="24"/>
                <w:bdr w:val="none" w:color="auto" w:sz="0" w:space="0"/>
              </w:rPr>
              <w:t>浐灞服务大厅设备统计</w:t>
            </w:r>
          </w:p>
        </w:tc>
      </w:tr>
      <w:tr w14:paraId="641A2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restar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EE4C94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终端设备</w:t>
            </w:r>
          </w:p>
        </w:tc>
        <w:tc>
          <w:tcPr>
            <w:tcW w:w="1373" w:type="pc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245294C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计算机</w:t>
            </w:r>
          </w:p>
        </w:tc>
        <w:tc>
          <w:tcPr>
            <w:tcW w:w="772" w:type="pc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5A1B042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120</w:t>
            </w:r>
          </w:p>
        </w:tc>
        <w:tc>
          <w:tcPr>
            <w:tcW w:w="682" w:type="pc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0E294B1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single" w:color="000000" w:sz="6" w:space="0"/>
              <w:left w:val="single" w:color="000000" w:sz="6" w:space="0"/>
              <w:bottom w:val="single" w:color="000000" w:sz="6" w:space="0"/>
              <w:right w:val="single" w:color="000000" w:sz="6" w:space="0"/>
            </w:tcBorders>
            <w:shd w:val="clear" w:color="auto" w:fill="FFFFFF"/>
            <w:tcMar>
              <w:left w:w="105" w:type="dxa"/>
              <w:right w:w="105" w:type="dxa"/>
            </w:tcMar>
            <w:vAlign w:val="center"/>
          </w:tcPr>
          <w:p w14:paraId="24B6B00A">
            <w:pPr>
              <w:jc w:val="left"/>
              <w:rPr>
                <w:rFonts w:hint="eastAsia" w:ascii="仿宋" w:hAnsi="仿宋" w:eastAsia="仿宋" w:cs="仿宋"/>
                <w:i w:val="0"/>
                <w:iCs w:val="0"/>
                <w:caps w:val="0"/>
                <w:color w:val="0A82E5"/>
                <w:spacing w:val="0"/>
                <w:sz w:val="24"/>
                <w:szCs w:val="24"/>
              </w:rPr>
            </w:pPr>
          </w:p>
        </w:tc>
      </w:tr>
      <w:tr w14:paraId="00DFB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1A164CD">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DEAF4F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打印机</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DFAB8E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66</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FFE4DF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E402938">
            <w:pPr>
              <w:jc w:val="left"/>
              <w:rPr>
                <w:rFonts w:hint="eastAsia" w:ascii="仿宋" w:hAnsi="仿宋" w:eastAsia="仿宋" w:cs="仿宋"/>
                <w:i w:val="0"/>
                <w:iCs w:val="0"/>
                <w:caps w:val="0"/>
                <w:color w:val="0A82E5"/>
                <w:spacing w:val="0"/>
                <w:sz w:val="24"/>
                <w:szCs w:val="24"/>
              </w:rPr>
            </w:pPr>
          </w:p>
        </w:tc>
      </w:tr>
      <w:tr w14:paraId="75518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21718E44">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C8E86D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复印机</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3C1AFB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4</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131453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4686517F">
            <w:pPr>
              <w:jc w:val="left"/>
              <w:rPr>
                <w:rFonts w:hint="eastAsia" w:ascii="仿宋" w:hAnsi="仿宋" w:eastAsia="仿宋" w:cs="仿宋"/>
                <w:i w:val="0"/>
                <w:iCs w:val="0"/>
                <w:caps w:val="0"/>
                <w:color w:val="0A82E5"/>
                <w:spacing w:val="0"/>
                <w:sz w:val="24"/>
                <w:szCs w:val="24"/>
              </w:rPr>
            </w:pPr>
          </w:p>
        </w:tc>
      </w:tr>
      <w:tr w14:paraId="73180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7A413222">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EE302A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扫描仪</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9E186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10</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7654648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C9E0337">
            <w:pPr>
              <w:jc w:val="left"/>
              <w:rPr>
                <w:rFonts w:hint="eastAsia" w:ascii="仿宋" w:hAnsi="仿宋" w:eastAsia="仿宋" w:cs="仿宋"/>
                <w:i w:val="0"/>
                <w:iCs w:val="0"/>
                <w:caps w:val="0"/>
                <w:color w:val="0A82E5"/>
                <w:spacing w:val="0"/>
                <w:sz w:val="24"/>
                <w:szCs w:val="24"/>
              </w:rPr>
            </w:pPr>
          </w:p>
        </w:tc>
      </w:tr>
      <w:tr w14:paraId="2E0E5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41C7833D">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2D9FAB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高拍仪</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007343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7</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E31952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0B0EF99E">
            <w:pPr>
              <w:jc w:val="left"/>
              <w:rPr>
                <w:rFonts w:hint="eastAsia" w:ascii="仿宋" w:hAnsi="仿宋" w:eastAsia="仿宋" w:cs="仿宋"/>
                <w:i w:val="0"/>
                <w:iCs w:val="0"/>
                <w:caps w:val="0"/>
                <w:color w:val="0A82E5"/>
                <w:spacing w:val="0"/>
                <w:sz w:val="24"/>
                <w:szCs w:val="24"/>
              </w:rPr>
            </w:pPr>
          </w:p>
        </w:tc>
      </w:tr>
      <w:tr w14:paraId="0DB1D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restar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A54B27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大厅设备</w:t>
            </w: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795AEE2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排队叫号设备</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2AA3C5E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1</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0C6468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项</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DB6D00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包含取号机1台、LED控制卡14个、无线AP 1个，无线喇叭3个等</w:t>
            </w:r>
          </w:p>
        </w:tc>
      </w:tr>
      <w:tr w14:paraId="7EFEE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9AB17CA">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B581CA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显示终端维保</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9964C8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3</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878248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块</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46A61603">
            <w:pPr>
              <w:jc w:val="left"/>
              <w:rPr>
                <w:rFonts w:hint="eastAsia" w:ascii="仿宋" w:hAnsi="仿宋" w:eastAsia="仿宋" w:cs="仿宋"/>
                <w:i w:val="0"/>
                <w:iCs w:val="0"/>
                <w:caps w:val="0"/>
                <w:color w:val="0A82E5"/>
                <w:spacing w:val="0"/>
                <w:sz w:val="24"/>
                <w:szCs w:val="24"/>
              </w:rPr>
            </w:pPr>
          </w:p>
        </w:tc>
      </w:tr>
      <w:tr w14:paraId="0C630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BB5AD6E">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244E546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信息屏</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618CED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3</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DAD52C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个</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D14AD64">
            <w:pPr>
              <w:jc w:val="left"/>
              <w:rPr>
                <w:rFonts w:hint="eastAsia" w:ascii="仿宋" w:hAnsi="仿宋" w:eastAsia="仿宋" w:cs="仿宋"/>
                <w:i w:val="0"/>
                <w:iCs w:val="0"/>
                <w:caps w:val="0"/>
                <w:color w:val="0A82E5"/>
                <w:spacing w:val="0"/>
                <w:sz w:val="24"/>
                <w:szCs w:val="24"/>
              </w:rPr>
            </w:pPr>
          </w:p>
        </w:tc>
      </w:tr>
      <w:tr w14:paraId="27CB8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0CCC4689">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7E5FF39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触摸屏</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71253F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1</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A00C9C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7A92C291">
            <w:pPr>
              <w:jc w:val="left"/>
              <w:rPr>
                <w:rFonts w:hint="eastAsia" w:ascii="仿宋" w:hAnsi="仿宋" w:eastAsia="仿宋" w:cs="仿宋"/>
                <w:i w:val="0"/>
                <w:iCs w:val="0"/>
                <w:caps w:val="0"/>
                <w:color w:val="0A82E5"/>
                <w:spacing w:val="0"/>
                <w:sz w:val="24"/>
                <w:szCs w:val="24"/>
              </w:rPr>
            </w:pPr>
          </w:p>
        </w:tc>
      </w:tr>
      <w:tr w14:paraId="4B8E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D1AEFE1">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ACA5B3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广告屏</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07CE9D5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2</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2F2103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D7C0C8E">
            <w:pPr>
              <w:jc w:val="left"/>
              <w:rPr>
                <w:rFonts w:hint="eastAsia" w:ascii="仿宋" w:hAnsi="仿宋" w:eastAsia="仿宋" w:cs="仿宋"/>
                <w:i w:val="0"/>
                <w:iCs w:val="0"/>
                <w:caps w:val="0"/>
                <w:color w:val="0A82E5"/>
                <w:spacing w:val="0"/>
                <w:sz w:val="24"/>
                <w:szCs w:val="24"/>
              </w:rPr>
            </w:pPr>
          </w:p>
        </w:tc>
      </w:tr>
      <w:tr w14:paraId="69A8A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F1A38EF">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53B9CC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窗口电子屏</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0FBD351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12</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2E2403B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块</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76B9474B">
            <w:pPr>
              <w:jc w:val="left"/>
              <w:rPr>
                <w:rFonts w:hint="eastAsia" w:ascii="仿宋" w:hAnsi="仿宋" w:eastAsia="仿宋" w:cs="仿宋"/>
                <w:i w:val="0"/>
                <w:iCs w:val="0"/>
                <w:caps w:val="0"/>
                <w:color w:val="0A82E5"/>
                <w:spacing w:val="0"/>
                <w:sz w:val="24"/>
                <w:szCs w:val="24"/>
              </w:rPr>
            </w:pPr>
          </w:p>
        </w:tc>
      </w:tr>
      <w:tr w14:paraId="463A3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458C2205">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2A2E88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呼叫器维保及服务</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4976114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12</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2DAE14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个</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05BD7332">
            <w:pPr>
              <w:jc w:val="left"/>
              <w:rPr>
                <w:rFonts w:hint="eastAsia" w:ascii="仿宋" w:hAnsi="仿宋" w:eastAsia="仿宋" w:cs="仿宋"/>
                <w:i w:val="0"/>
                <w:iCs w:val="0"/>
                <w:caps w:val="0"/>
                <w:color w:val="0A82E5"/>
                <w:spacing w:val="0"/>
                <w:sz w:val="24"/>
                <w:szCs w:val="24"/>
              </w:rPr>
            </w:pPr>
          </w:p>
        </w:tc>
      </w:tr>
      <w:tr w14:paraId="4EF7C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765967B8">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623C2FB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自助查询机</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4E19703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8</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B89141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台</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F41A394">
            <w:pPr>
              <w:jc w:val="left"/>
              <w:rPr>
                <w:rFonts w:hint="eastAsia" w:ascii="仿宋" w:hAnsi="仿宋" w:eastAsia="仿宋" w:cs="仿宋"/>
                <w:i w:val="0"/>
                <w:iCs w:val="0"/>
                <w:caps w:val="0"/>
                <w:color w:val="0A82E5"/>
                <w:spacing w:val="0"/>
                <w:sz w:val="24"/>
                <w:szCs w:val="24"/>
              </w:rPr>
            </w:pPr>
          </w:p>
        </w:tc>
      </w:tr>
      <w:tr w14:paraId="5D5D6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53" w:type="pct"/>
            <w:vMerge w:val="continue"/>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1501A0CB">
            <w:pPr>
              <w:jc w:val="left"/>
              <w:rPr>
                <w:rFonts w:hint="eastAsia" w:ascii="仿宋" w:hAnsi="仿宋" w:eastAsia="仿宋" w:cs="仿宋"/>
                <w:i w:val="0"/>
                <w:iCs w:val="0"/>
                <w:caps w:val="0"/>
                <w:color w:val="0A82E5"/>
                <w:spacing w:val="0"/>
                <w:sz w:val="24"/>
                <w:szCs w:val="24"/>
              </w:rPr>
            </w:pPr>
          </w:p>
        </w:tc>
        <w:tc>
          <w:tcPr>
            <w:tcW w:w="1373"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3DBB1B8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评价器维保及服务</w:t>
            </w:r>
          </w:p>
        </w:tc>
        <w:tc>
          <w:tcPr>
            <w:tcW w:w="77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2C85F29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6</w:t>
            </w:r>
          </w:p>
        </w:tc>
        <w:tc>
          <w:tcPr>
            <w:tcW w:w="682"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5731F88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bdr w:val="none" w:color="auto" w:sz="0" w:space="0"/>
              </w:rPr>
              <w:t>个</w:t>
            </w:r>
          </w:p>
        </w:tc>
        <w:tc>
          <w:tcPr>
            <w:tcW w:w="1318" w:type="pct"/>
            <w:tcBorders>
              <w:top w:val="nil"/>
              <w:left w:val="single" w:color="000000" w:sz="6" w:space="0"/>
              <w:bottom w:val="single" w:color="000000" w:sz="6" w:space="0"/>
              <w:right w:val="single" w:color="000000" w:sz="6" w:space="0"/>
            </w:tcBorders>
            <w:shd w:val="clear" w:color="auto" w:fill="FFFFFF"/>
            <w:tcMar>
              <w:left w:w="105" w:type="dxa"/>
              <w:right w:w="105" w:type="dxa"/>
            </w:tcMar>
            <w:vAlign w:val="center"/>
          </w:tcPr>
          <w:p w14:paraId="2734436D">
            <w:pPr>
              <w:jc w:val="left"/>
              <w:rPr>
                <w:rFonts w:hint="eastAsia" w:ascii="仿宋" w:hAnsi="仿宋" w:eastAsia="仿宋" w:cs="仿宋"/>
                <w:i w:val="0"/>
                <w:iCs w:val="0"/>
                <w:caps w:val="0"/>
                <w:color w:val="0A82E5"/>
                <w:spacing w:val="0"/>
                <w:sz w:val="24"/>
                <w:szCs w:val="24"/>
              </w:rPr>
            </w:pPr>
          </w:p>
        </w:tc>
      </w:tr>
    </w:tbl>
    <w:p w14:paraId="1B2240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0A82E5"/>
          <w:spacing w:val="0"/>
          <w:sz w:val="24"/>
          <w:szCs w:val="24"/>
        </w:rPr>
      </w:pPr>
      <w:r>
        <w:rPr>
          <w:rStyle w:val="5"/>
          <w:rFonts w:hint="eastAsia" w:ascii="宋体" w:hAnsi="宋体" w:eastAsia="宋体" w:cs="宋体"/>
          <w:i w:val="0"/>
          <w:iCs w:val="0"/>
          <w:caps w:val="0"/>
          <w:color w:val="000000"/>
          <w:spacing w:val="0"/>
          <w:sz w:val="24"/>
          <w:szCs w:val="24"/>
          <w:bdr w:val="none" w:color="auto" w:sz="0" w:space="0"/>
          <w:shd w:val="clear" w:fill="FFFFFF"/>
        </w:rPr>
        <w:t>三、技术要求</w:t>
      </w:r>
    </w:p>
    <w:p w14:paraId="2DCB39A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1、管理制度</w:t>
      </w:r>
    </w:p>
    <w:p w14:paraId="7B8E81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商应主动与采购人开展对接沟通，技术人员进场前需针对各业务系统编制专项管理计划及配套管理制度。管理计划实施分阶段动态优化，结合历次定期工作汇报沟通情况迭代修订，形成下一阶段工作方案，确保管理计划贴合系统实际运行现状，适配业务工作需求。</w:t>
      </w:r>
    </w:p>
    <w:p w14:paraId="40FA5D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2、设备维护服务</w:t>
      </w:r>
    </w:p>
    <w:p w14:paraId="3F777D9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商须向甲方报送完整的硬件系统维护资料及过程运维服务档案，档案应包含设备维护处置数量、维护全过程记录等相关内容。同时结合甲方实际业务需求，编制详实的服务支持计划，并对软硬件系统信息实行动态更新维护。</w:t>
      </w:r>
    </w:p>
    <w:p w14:paraId="114AE8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3、定期巡检</w:t>
      </w:r>
    </w:p>
    <w:p w14:paraId="5B607BF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商须派驻驻场运维工程师，工作日每日对大厅设备运行状态开展巡检，对大厅工作人员提出的业务需求做到及时响应。每月组织开展大厅设备例行巡检及预防性维护工作，梳理汇总故障处置情况，向采购人报送月度运维服务报告，并同步提出优化改进意见。运维工程师须定期对服务范围内硬件设备、操作系统开展检测，重点核查系统性能、终端杀毒状态、终端补丁安装情况，依据检测结果及时优化调整，保障系统持续稳定良好运行。针对潜在风险隐患开展预判分析，制定科学可行的预防及整改措施，在获得采购人授权前提下，落实必要的预防与处置手段，实现风险前置防范。</w:t>
      </w:r>
    </w:p>
    <w:p w14:paraId="42CDFC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4、运维服务</w:t>
      </w:r>
    </w:p>
    <w:p w14:paraId="568D28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服务内容主要包括：</w:t>
      </w:r>
    </w:p>
    <w:p w14:paraId="162259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1、硬件设备检测维护</w:t>
      </w:r>
    </w:p>
    <w:p w14:paraId="77F5D03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2、业务系统故障的初步分析与协调</w:t>
      </w:r>
    </w:p>
    <w:p w14:paraId="0BB5D9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3、病毒防范和消除</w:t>
      </w:r>
    </w:p>
    <w:p w14:paraId="3B2868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4、硬盘垃圾清理</w:t>
      </w:r>
    </w:p>
    <w:p w14:paraId="330DC4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5、软件故障排除和恢复</w:t>
      </w:r>
    </w:p>
    <w:p w14:paraId="2401CA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6、电脑系统软件升级</w:t>
      </w:r>
    </w:p>
    <w:p w14:paraId="161ABCD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7、电脑数据备份恢复</w:t>
      </w:r>
    </w:p>
    <w:p w14:paraId="361270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8、电脑安装调试</w:t>
      </w:r>
    </w:p>
    <w:p w14:paraId="4BA3DB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9、系统安装调试</w:t>
      </w:r>
    </w:p>
    <w:p w14:paraId="451E0C5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10、综合布线维护</w:t>
      </w:r>
    </w:p>
    <w:p w14:paraId="6B10628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11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11、保障业务正常运行的其他问题</w:t>
      </w:r>
    </w:p>
    <w:p w14:paraId="1C1859A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95" w:afterAutospacing="0" w:line="480" w:lineRule="atLeast"/>
        <w:ind w:left="0" w:right="0" w:firstLine="480"/>
        <w:jc w:val="left"/>
        <w:rPr>
          <w:rFonts w:hint="eastAsia" w:ascii="微软雅黑" w:hAnsi="微软雅黑" w:eastAsia="微软雅黑" w:cs="微软雅黑"/>
          <w:i w:val="0"/>
          <w:iCs w:val="0"/>
          <w:caps w:val="0"/>
          <w:color w:val="0A82E5"/>
          <w:spacing w:val="0"/>
          <w:sz w:val="24"/>
          <w:szCs w:val="24"/>
        </w:rPr>
      </w:pPr>
      <w:r>
        <w:rPr>
          <w:rStyle w:val="5"/>
          <w:rFonts w:hint="eastAsia" w:ascii="仿宋" w:hAnsi="仿宋" w:eastAsia="仿宋" w:cs="仿宋"/>
          <w:i w:val="0"/>
          <w:iCs w:val="0"/>
          <w:caps w:val="0"/>
          <w:color w:val="000000"/>
          <w:spacing w:val="0"/>
          <w:sz w:val="24"/>
          <w:szCs w:val="24"/>
          <w:bdr w:val="none" w:color="auto" w:sz="0" w:space="0"/>
          <w:shd w:val="clear" w:fill="FFFFFF"/>
        </w:rPr>
        <w:t>四、</w:t>
      </w:r>
      <w:r>
        <w:rPr>
          <w:rStyle w:val="5"/>
          <w:rFonts w:hint="eastAsia" w:ascii="宋体" w:hAnsi="宋体" w:eastAsia="宋体" w:cs="宋体"/>
          <w:i w:val="0"/>
          <w:iCs w:val="0"/>
          <w:caps w:val="0"/>
          <w:color w:val="000000"/>
          <w:spacing w:val="0"/>
          <w:sz w:val="24"/>
          <w:szCs w:val="24"/>
          <w:bdr w:val="none" w:color="auto" w:sz="0" w:space="0"/>
          <w:shd w:val="clear" w:fill="FFFFFF"/>
        </w:rPr>
        <w:t>服务要求</w:t>
      </w:r>
    </w:p>
    <w:p w14:paraId="36F73F3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服务人数：服务商服务期间需提供常驻服务人员不少于2人作为一线工程师5×8小时（工作日）驻场服务，完成不动产浐灞大厅日常维护和故障解决。</w:t>
      </w:r>
    </w:p>
    <w:p w14:paraId="297D7F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备用服务工程师一人，作为临时顶替人员及负责处理临时性的突发任务。</w:t>
      </w:r>
    </w:p>
    <w:p w14:paraId="1E759B3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项目经理一人（项目经理可由驻场运维工程师兼任），负责大厅运维的总体管理、问题处理进度跟进、疑难问题处理等。</w:t>
      </w:r>
    </w:p>
    <w:p w14:paraId="0E2B3F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运维过程中出现现场工程师无法解决的问题时，服务商需提供二线工程师现场协助解决，保证大厅终端设备的运行稳定。</w:t>
      </w:r>
    </w:p>
    <w:p w14:paraId="464F79C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服务商签订合同同时，需与采购人签订该项目保密协议，服务商需向采购人提供驻场人员及项目经理在公安机关开具的无犯罪记录的证明文件。</w:t>
      </w:r>
    </w:p>
    <w:p w14:paraId="091D2FE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成交单位不得对运维服务业务分包或转包。否则采购人有权终止合同，成交单位要承担由此造成的一切经济损失。</w:t>
      </w:r>
    </w:p>
    <w:p w14:paraId="13F097A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成交单位不得在服务期间对项目管理人员进行更换，如遇特殊情况须经采购人同意；采购人发现项目管理人员工作不力时，有权提出更换人员，更换的人员必须及时到场。</w:t>
      </w:r>
    </w:p>
    <w:p w14:paraId="1DA11B0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120" w:afterAutospacing="0" w:line="480" w:lineRule="atLeast"/>
        <w:ind w:left="0" w:right="0" w:firstLine="480"/>
        <w:jc w:val="left"/>
        <w:rPr>
          <w:rFonts w:hint="eastAsia" w:ascii="微软雅黑" w:hAnsi="微软雅黑" w:eastAsia="微软雅黑" w:cs="微软雅黑"/>
          <w:i w:val="0"/>
          <w:iCs w:val="0"/>
          <w:caps w:val="0"/>
          <w:color w:val="0A82E5"/>
          <w:spacing w:val="0"/>
          <w:sz w:val="24"/>
          <w:szCs w:val="24"/>
        </w:rPr>
      </w:pPr>
      <w:r>
        <w:rPr>
          <w:rStyle w:val="5"/>
          <w:rFonts w:hint="eastAsia" w:ascii="仿宋" w:hAnsi="仿宋" w:eastAsia="仿宋" w:cs="仿宋"/>
          <w:i w:val="0"/>
          <w:iCs w:val="0"/>
          <w:caps w:val="0"/>
          <w:color w:val="000000"/>
          <w:spacing w:val="0"/>
          <w:sz w:val="24"/>
          <w:szCs w:val="24"/>
          <w:bdr w:val="none" w:color="auto" w:sz="0" w:space="0"/>
          <w:shd w:val="clear" w:fill="FFFFFF"/>
        </w:rPr>
        <w:t>五、其他</w:t>
      </w:r>
    </w:p>
    <w:p w14:paraId="69649B1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（一）对服务商的其他服务要求</w:t>
      </w:r>
    </w:p>
    <w:p w14:paraId="565877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服务商须按合同约定保质保量完成不动产采购服务，确保采购效率、质量与合规性达标；按时提交成果、响应需求，配合验收与整改；年度履约率、满意度、合规率须达约定标准，未达标将影响考核与续约。</w:t>
      </w:r>
    </w:p>
    <w:p w14:paraId="5745239E">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sz w:val="24"/>
          <w:szCs w:val="24"/>
        </w:rPr>
      </w:pPr>
      <w:r>
        <w:rPr>
          <w:rFonts w:hint="eastAsia" w:ascii="仿宋" w:hAnsi="仿宋" w:eastAsia="仿宋" w:cs="仿宋"/>
          <w:i w:val="0"/>
          <w:iCs w:val="0"/>
          <w:caps w:val="0"/>
          <w:color w:val="000000"/>
          <w:spacing w:val="0"/>
          <w:sz w:val="24"/>
          <w:szCs w:val="24"/>
          <w:bdr w:val="none" w:color="auto" w:sz="0" w:space="0"/>
          <w:shd w:val="clear" w:fill="FFFFFF"/>
        </w:rPr>
        <w:t>进度要求</w:t>
      </w:r>
    </w:p>
    <w:p w14:paraId="09EB174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1.每日及时记录大厅运维事项并将结果进行汇总成运维日报上传禅道指派给甲方进行审查。</w:t>
      </w:r>
    </w:p>
    <w:p w14:paraId="4F3E1F0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2.每周五下班前，运维人员对本周的运维文档进行整理和归档，包括《运维每日监测日志》《运维每日汇总表》《运维问题周统计表》、故障处理记录、巡检记录等，确保文档完整、规范。</w:t>
      </w:r>
    </w:p>
    <w:p w14:paraId="3CDC93C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定期将《运维工作周报》建立禅道任务，同时上报至运维负责人。</w:t>
      </w:r>
    </w:p>
    <w:p w14:paraId="348E123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720"/>
        <w:jc w:val="left"/>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3.每月深度巡检、认真排查安全隐患强化安全生产：硬件状态巡检、软件合规巡检、安全防护巡检。根据巡检情况，将本月大厅运维情况汇制成月报上传禅道指派甲方进行检阅。</w:t>
      </w:r>
      <w:r>
        <w:rPr>
          <w:rFonts w:ascii="华文仿宋" w:hAnsi="华文仿宋" w:eastAsia="华文仿宋" w:cs="华文仿宋"/>
          <w:i w:val="0"/>
          <w:iCs w:val="0"/>
          <w:caps w:val="0"/>
          <w:color w:val="000000"/>
          <w:spacing w:val="0"/>
          <w:sz w:val="24"/>
          <w:szCs w:val="24"/>
          <w:bdr w:val="none" w:color="auto" w:sz="0" w:space="0"/>
          <w:shd w:val="clear" w:fill="FFFFFF"/>
        </w:rPr>
        <w:t> </w:t>
      </w:r>
    </w:p>
    <w:p w14:paraId="207266B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（三）质量验收标准或规范</w:t>
      </w:r>
    </w:p>
    <w:p w14:paraId="232C91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1. 服务内容、成果、交付时间与合同约定一致，流程合规、资料完整；</w:t>
      </w:r>
    </w:p>
    <w:p w14:paraId="67B782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2. 服务响应及时、沟通高效，问题处理闭环，满足采购方实际需求；</w:t>
      </w:r>
    </w:p>
    <w:p w14:paraId="24DD14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3. 服务质量、专业度达标，无违规操作与安全隐患；</w:t>
      </w:r>
    </w:p>
    <w:p w14:paraId="6E70D9E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4. 验收合格签署确认，不合格限期整改后复验。</w:t>
      </w:r>
    </w:p>
    <w:p w14:paraId="60EBCC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（四）违约责任</w:t>
      </w:r>
    </w:p>
    <w:p w14:paraId="5C1740A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560"/>
        <w:jc w:val="both"/>
        <w:rPr>
          <w:rFonts w:hint="eastAsia" w:ascii="微软雅黑" w:hAnsi="微软雅黑" w:eastAsia="微软雅黑" w:cs="微软雅黑"/>
          <w:i w:val="0"/>
          <w:iCs w:val="0"/>
          <w:caps w:val="0"/>
          <w:color w:val="0A82E5"/>
          <w:spacing w:val="0"/>
          <w:sz w:val="24"/>
          <w:szCs w:val="24"/>
        </w:rPr>
      </w:pPr>
      <w:r>
        <w:rPr>
          <w:rFonts w:hint="eastAsia" w:ascii="仿宋" w:hAnsi="仿宋" w:eastAsia="仿宋" w:cs="仿宋"/>
          <w:i w:val="0"/>
          <w:iCs w:val="0"/>
          <w:caps w:val="0"/>
          <w:color w:val="000000"/>
          <w:spacing w:val="0"/>
          <w:sz w:val="24"/>
          <w:szCs w:val="24"/>
          <w:bdr w:val="none" w:color="auto" w:sz="0" w:space="0"/>
          <w:shd w:val="clear" w:fill="FFFFFF"/>
        </w:rPr>
        <w:t>乙方未按合同约定时限交付成果，或运维服务质量达不到合同及信息化运维相关规范要求的，每逾期一日，应按合同总金额的 0.05% 向甲方支付违约金；违约金累计总额不超过合同总金额。服务质量不符合约定标准的，甲方有权要求乙方限期完成整改，乙方应当采取补救措施，并承担由此给甲方造成的全部经济损失。经甲方催告后，乙方在约定期限内仍未整改到位，或发生严重违约情形，影响不动产相关业务正常运行的，甲方有权单方解除合同，并就全部实际损失向乙方进行追偿。</w:t>
      </w:r>
    </w:p>
    <w:p w14:paraId="4CBD42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C19635"/>
    <w:multiLevelType w:val="multilevel"/>
    <w:tmpl w:val="C8C1963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E46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2026-10-21T09:08:53Z</dcterms:created>
  <dc:creator>Administrator</dc:creator>
  <cp:lastModifiedBy>爱悦儿</cp:lastModifiedBy>
  <dcterms:modified xsi:type="dcterms:W3CDTF">2026-10-21T09:10:24Z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eyJoZGlkIjoiNjJjMjE4MGY0MjEyNTNmNTEyMDhlMTk3ZWY5NmY2OTciLCJ1c2VySWQiOiI3MDgzMzI2ODgifQ==</vt:lpwstr>
  </property>
  <property fmtid="{D5CDD505-2E9C-101B-9397-08002B2CF9AE}" pid="4" name="ICV">
    <vt:lpwstr>2AD45D5EDDD7487BBBD202383A971093_12</vt:lpwstr>
  </property>
</Properties>
</file>