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版本号：0617-2621HZ070520260528001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血检科国产艾滋丙肝检测试剂耗材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0617-2621HZ0705</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血检科国产艾滋丙肝检测试剂耗材</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0617-2621HZ0705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血检科国产艾滋丙肝检测试剂耗材</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血检科国产艾滋丙肝检测试剂耗材，1批。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产品经营资格：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p>
      <w:pPr>
        <w:pStyle w:val="null3"/>
      </w:pPr>
      <w:r>
        <w:rPr>
          <w:rFonts w:ascii="仿宋_GB2312" w:hAnsi="仿宋_GB2312" w:cs="仿宋_GB2312" w:eastAsia="仿宋_GB2312"/>
        </w:rPr>
        <w:t>2、承诺书：按格式要求提供关联关系与廉洁承诺书。供应商需在项目电子化交易系统中按要求上传相应证明文件并进行电子签章。</w:t>
      </w:r>
    </w:p>
    <w:p>
      <w:pPr>
        <w:pStyle w:val="null3"/>
      </w:pPr>
      <w:r>
        <w:rPr>
          <w:rFonts w:ascii="仿宋_GB2312" w:hAnsi="仿宋_GB2312" w:cs="仿宋_GB2312" w:eastAsia="仿宋_GB2312"/>
        </w:rPr>
        <w:t>3、质量保证承诺书：按格式要求提供质量保证承诺书。供应商需在项目电子化交易系统中按要求上传相应证明文件并进行电子签章。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产品经营资格：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p>
      <w:pPr>
        <w:pStyle w:val="null3"/>
      </w:pPr>
      <w:r>
        <w:rPr>
          <w:rFonts w:ascii="仿宋_GB2312" w:hAnsi="仿宋_GB2312" w:cs="仿宋_GB2312" w:eastAsia="仿宋_GB2312"/>
        </w:rPr>
        <w:t>2、承诺书：按格式要求提供关联关系与廉洁承诺书。供应商需在项目电子化交易系统中按要求上传相应证明文件并进行电子签章。</w:t>
      </w:r>
    </w:p>
    <w:p>
      <w:pPr>
        <w:pStyle w:val="null3"/>
      </w:pPr>
      <w:r>
        <w:rPr>
          <w:rFonts w:ascii="仿宋_GB2312" w:hAnsi="仿宋_GB2312" w:cs="仿宋_GB2312" w:eastAsia="仿宋_GB2312"/>
        </w:rPr>
        <w:t>3、质量保证承诺书：按格式要求提供质量保证承诺书。供应商需在项目电子化交易系统中按要求上传相应证明文件并进行电子签章。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产品经营资格：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p>
      <w:pPr>
        <w:pStyle w:val="null3"/>
      </w:pPr>
      <w:r>
        <w:rPr>
          <w:rFonts w:ascii="仿宋_GB2312" w:hAnsi="仿宋_GB2312" w:cs="仿宋_GB2312" w:eastAsia="仿宋_GB2312"/>
        </w:rPr>
        <w:t>2、承诺书：按格式要求提供关联关系与廉洁承诺书。供应商需在项目电子化交易系统中按要求上传相应证明文件并进行电子签章。</w:t>
      </w:r>
    </w:p>
    <w:p>
      <w:pPr>
        <w:pStyle w:val="null3"/>
      </w:pPr>
      <w:r>
        <w:rPr>
          <w:rFonts w:ascii="仿宋_GB2312" w:hAnsi="仿宋_GB2312" w:cs="仿宋_GB2312" w:eastAsia="仿宋_GB2312"/>
        </w:rPr>
        <w:t>3、质量保证承诺书：按格式要求提供质量保证承诺书。供应商需在项目电子化交易系统中按要求上传相应证明文件并进行电子签章。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产品经营资格：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p>
      <w:pPr>
        <w:pStyle w:val="null3"/>
      </w:pPr>
      <w:r>
        <w:rPr>
          <w:rFonts w:ascii="仿宋_GB2312" w:hAnsi="仿宋_GB2312" w:cs="仿宋_GB2312" w:eastAsia="仿宋_GB2312"/>
        </w:rPr>
        <w:t>2、承诺书：按格式要求提供关联关系与廉洁承诺书。供应商需在项目电子化交易系统中按要求上传相应证明文件并进行电子签章。</w:t>
      </w:r>
    </w:p>
    <w:p>
      <w:pPr>
        <w:pStyle w:val="null3"/>
      </w:pPr>
      <w:r>
        <w:rPr>
          <w:rFonts w:ascii="仿宋_GB2312" w:hAnsi="仿宋_GB2312" w:cs="仿宋_GB2312" w:eastAsia="仿宋_GB2312"/>
        </w:rPr>
        <w:t>3、质量保证承诺书：按格式要求提供质量保证承诺书。供应商需在项目电子化交易系统中按要求上传相应证明文件并进行电子签章。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029-85236579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029-85239900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采购包1：1,046,800.00元</w:t>
            </w:r>
          </w:p>
          <w:p>
            <w:pPr>
              <w:pStyle w:val="null3"/>
            </w:pPr>
            <w:r>
              <w:rPr>
                <w:rFonts w:ascii="仿宋_GB2312" w:hAnsi="仿宋_GB2312" w:cs="仿宋_GB2312" w:eastAsia="仿宋_GB2312"/>
              </w:rPr>
              <w:t>采购包2：1,330,000.00元</w:t>
            </w:r>
          </w:p>
          <w:p>
            <w:pPr>
              <w:pStyle w:val="null3"/>
            </w:pPr>
            <w:r>
              <w:rPr>
                <w:rFonts w:ascii="仿宋_GB2312" w:hAnsi="仿宋_GB2312" w:cs="仿宋_GB2312" w:eastAsia="仿宋_GB2312"/>
              </w:rPr>
              <w:t>采购包3：144,960.00元</w:t>
            </w:r>
          </w:p>
          <w:p>
            <w:pPr>
              <w:pStyle w:val="null3"/>
            </w:pPr>
            <w:r>
              <w:rPr>
                <w:rFonts w:ascii="仿宋_GB2312" w:hAnsi="仿宋_GB2312" w:cs="仿宋_GB2312" w:eastAsia="仿宋_GB2312"/>
              </w:rPr>
              <w:t>采购包4：125,000.00元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2.缴费时间：确定中标人后3日内，由中标人向招标代理机构一次付清招标代理服务费。3.银行信息:户名：西北（陕西）国际招标有限公司开户银行：交通银行西安长安大学支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血检科国产艾滋丙肝检测试剂耗材，1批。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1,046,800.00</w:t>
      </w:r>
    </w:p>
    <w:p>
      <w:pPr>
        <w:pStyle w:val="null3"/>
      </w:pPr>
      <w:r>
        <w:rPr>
          <w:rFonts w:ascii="仿宋_GB2312" w:hAnsi="仿宋_GB2312" w:cs="仿宋_GB2312" w:eastAsia="仿宋_GB2312"/>
        </w:rPr>
        <w:t>采购包最高限价（元）: 1,046,800.00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人类免疫缺陷病毒抗原抗体诊断试剂（酶联免疫法）（四代）A 人类免疫缺陷病毒抗体诊断试剂盒（酶联免疫法）（三代）三代A</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1,046,800.00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1,330,000.00</w:t>
      </w:r>
    </w:p>
    <w:p>
      <w:pPr>
        <w:pStyle w:val="null3"/>
      </w:pPr>
      <w:r>
        <w:rPr>
          <w:rFonts w:ascii="仿宋_GB2312" w:hAnsi="仿宋_GB2312" w:cs="仿宋_GB2312" w:eastAsia="仿宋_GB2312"/>
        </w:rPr>
        <w:t>采购包最高限价（元）: 1,330,000.00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丙型肝炎病毒抗体检测试剂盒（酶联免疫法）B</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144,960.00</w:t>
      </w:r>
    </w:p>
    <w:p>
      <w:pPr>
        <w:pStyle w:val="null3"/>
      </w:pPr>
      <w:r>
        <w:rPr>
          <w:rFonts w:ascii="仿宋_GB2312" w:hAnsi="仿宋_GB2312" w:cs="仿宋_GB2312" w:eastAsia="仿宋_GB2312"/>
        </w:rPr>
        <w:t>采购包最高限价（元）: 144,960.00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★ALT检测试剂盒 全自动生化分析仪系统清洗液 全自动生化分析仪维护液 ALT质控血清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144,960.00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125,000.00</w:t>
      </w:r>
    </w:p>
    <w:p>
      <w:pPr>
        <w:pStyle w:val="null3"/>
      </w:pPr>
      <w:r>
        <w:rPr>
          <w:rFonts w:ascii="仿宋_GB2312" w:hAnsi="仿宋_GB2312" w:cs="仿宋_GB2312" w:eastAsia="仿宋_GB2312"/>
        </w:rPr>
        <w:t>采购包最高限价（元）: 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抗A抗B血型定型试剂（单克隆抗体）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标的名称：人类免疫缺陷病毒抗原抗体诊断试剂（酶联免疫法）（四代）A 人类免疫缺陷病毒抗体诊断试剂盒（酶联免疫法）（三代）三代A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33"/>
              <w:gridCol w:w="1166"/>
              <w:gridCol w:w="337"/>
              <w:gridCol w:w="233"/>
              <w:gridCol w:w="570"/>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最高限价（元）</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人类免疫缺陷病毒抗原抗体诊断试剂（酶联免疫法）四代</w:t>
                  </w:r>
                  <w:r>
                    <w:rPr>
                      <w:rFonts w:ascii="仿宋_GB2312" w:hAnsi="仿宋_GB2312" w:cs="仿宋_GB2312" w:eastAsia="仿宋_GB2312"/>
                      <w:sz w:val="20"/>
                    </w:rPr>
                    <w:t>A</w:t>
                  </w:r>
                  <w:r>
                    <w:rPr>
                      <w:rFonts w:ascii="仿宋_GB2312" w:hAnsi="仿宋_GB2312" w:cs="仿宋_GB2312" w:eastAsia="仿宋_GB2312"/>
                      <w:sz w:val="20"/>
                    </w:rPr>
                    <w:t>（核心产品）</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3500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1032500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人类免疫缺陷病毒抗体诊断试剂盒（酶联免疫法）三代</w:t>
                  </w:r>
                  <w:r>
                    <w:rPr>
                      <w:rFonts w:ascii="仿宋_GB2312" w:hAnsi="仿宋_GB2312" w:cs="仿宋_GB2312" w:eastAsia="仿宋_GB2312"/>
                      <w:sz w:val="20"/>
                    </w:rPr>
                    <w:t>A</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14300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二、人类免疫缺陷病毒抗原抗体诊断试剂（酶联免疫法）四代A</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1.酶联免疫（EIA）的实验原理，二步法，同时能够检测抗原和抗体；</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2.试剂必须具备国家要求的资质，每批有批批检报告；</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3.敏感性：100％；特异性：≥99％。批间差（CV）≤20%，批内差（CV）≤15%；</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4.试剂盒包装规格96人份/ 盒（8*12）；</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5.酶标板的规格标准，适合在各种型号全自动酶免系统、酶标仪、洗板机上使用。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二、人类免疫缺陷病毒抗体诊断试剂盒（酶联免疫法）三代A</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1.酶联免疫（EIA）的实验原理，二步法，检测HIV1/2抗体；</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2.国产试剂，试剂必须具备国家要求的资质，每批有批批检报告；</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3.敏感性：100％；特异性：≥99％。批间差（CV）≤20%，批内差（CV）≤15%；</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 试剂盒包装规格96人份/ 盒（8*12）；</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5.酶标板的规格标准，适合在全自动酶免系统、酶标仪、洗板机上使用。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单位必须提供以下资料存档：《药品生产许可证》和《药品经营许可证》及营业执照复印件；《药品生产质量管理规范》和《药品经营质量管理规范》认证证书复印件；药品的批准证明文件复印件；销售人员有效身份证明复印件；血源筛查体外诊断试剂的批签发文件；出厂质量检验报告等。</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五、商务要求</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1.供货期：自合同签订之日起一年，按需配送。交货时间：按照采购人要求分批供货接到甲方供货通知七日内交货。</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2.保质期：收货后有效期≥6个月。在使用期间如出现质量问题，供货方应随时予以更换，保证血液检测工作的正常进行。</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3.交货地点：西安市中心血站指定地点；</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款项结算：合同签订后每满三个月后30个工作日内根据各中标供应商所供试剂的实际数量据实结算一次（若乙方提供的产品制造商属于中小企业，结算方式为根据甲方工作实际需求对产品进行分批采购，分批付款。每三个月结算，第一个月支付三个月预计用量的金额40%，第三个月结束后30个工作日内根据三个月内实际数量据实结算）。</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5.验收：详见合同文本。</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6.违约责任：详见合同文本。</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7.提供投标产品合法来源渠道证明。包括但不限于销售协议、代理协议、原厂授权或承诺书等；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标的名称：丙型肝炎病毒抗体检测试剂盒（酶联免疫法）B</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33"/>
              <w:gridCol w:w="1165"/>
              <w:gridCol w:w="337"/>
              <w:gridCol w:w="233"/>
              <w:gridCol w:w="570"/>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最高限价（元）</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丙型肝炎病毒抗体检测试剂盒（酶联免疫法）</w:t>
                  </w:r>
                  <w:r>
                    <w:rPr>
                      <w:rFonts w:ascii="仿宋_GB2312" w:hAnsi="仿宋_GB2312" w:cs="仿宋_GB2312" w:eastAsia="仿宋_GB2312"/>
                      <w:sz w:val="20"/>
                    </w:rPr>
                    <w:t>B</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3500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1330000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二、技术要求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1.酶联免疫法（EIA）的实验原理，双抗原夹心法，两步法；</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2.国产试剂，试剂必须具备国家要求的资质，每批有批批检报告；</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3.试剂至少包被核心区、NS3区、NS4区、 NS5区的特异性抗原片段；</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4.敏感性：100％；特异性：≥99％以上。批间差（CV）≤20%，批内差（CV）≤15%；</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5.试剂盒包装规格96人份/ 盒（8*12）；</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6.酶标板的规格标准，适合在全自动酶免系统、酶标仪、洗板机上使用。</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单位必须提供以下资料存档：《药品生产许可证》和《药品经营许可证》及营业执照复印件；《药品生产质量管理规范》和《药品经营质量管理规范》认证证书复印件；药品的批准证明文件复印件；销售人员有效身份证明复印件；血源筛查体外诊断试剂的批签发文件；出厂质量检验报告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五、商务要求</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1.供货期：自合同签订之日起一年，按需配送。交货时间：按照采购人要求分批供货接到甲方供货通知七日内交货。</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2.保质期：收货后有效期≥6个月。在使用期间如出现质量问题，供货方应随时予以更换，保证血液检测工作的正常进行。</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3.交货地点：西安市中心血站指定地点；</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款项结算：合同签订后每满三个月后30个工作日内根据各中标供应商所供试剂的实际数量据实结算一次（若乙方提供的产品制造商属于中小企业，结算方式为根据甲方工作实际需求对产品进行分批采购，分批付款。每三个月结算，第一个月支付三个月预计用量的金额40%，第三个月结束后30个工作日内根据三个月内实际数量据实结算）。</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5.验收：详见合同文本。</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6.违约责任：详见合同文本。</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7.提供投标产品合法来源渠道证明。包括但不限于销售协议、代理协议、原厂授权或承诺书等；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标的名称：★ALT检测试剂盒 全自动生化分析仪系统清洗液 全自动生化分析仪维护液 ALT质控血清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33"/>
              <w:gridCol w:w="1166"/>
              <w:gridCol w:w="337"/>
              <w:gridCol w:w="233"/>
              <w:gridCol w:w="570"/>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最高限价（元）</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ALT</w:t>
                  </w:r>
                  <w:r>
                    <w:rPr>
                      <w:rFonts w:ascii="仿宋_GB2312" w:hAnsi="仿宋_GB2312" w:cs="仿宋_GB2312" w:eastAsia="仿宋_GB2312"/>
                      <w:sz w:val="21"/>
                    </w:rPr>
                    <w:t>检测试剂盒（核心产品）</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109760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全自动生化分析仪系统清洗液</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9600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全自动生化分析仪维护液</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19600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ALT</w:t>
                  </w:r>
                  <w:r>
                    <w:rPr>
                      <w:rFonts w:ascii="仿宋_GB2312" w:hAnsi="仿宋_GB2312" w:cs="仿宋_GB2312" w:eastAsia="仿宋_GB2312"/>
                      <w:sz w:val="21"/>
                    </w:rPr>
                    <w:t>质控血清</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二、血检科ALT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1.速率法实验原理，双试剂；</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2.试剂即开即用，适用于贝克曼-库尔特 AU680系列生化分析仪，并提供上机参数，试剂包装可直接放入生化分析仪试剂仓中使用；</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3.试剂必须具备国家要求的资质，试剂及标准物标定液的值具有溯源性，能提供溯源性文件；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4.试剂开瓶后在2-8℃，可稳定储存≥7天；</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5.ALT检测线性范围3-500U。</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三、血检科生化清洗液</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1.容量：2L/瓶；</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2.原厂生产，能够满足贝克曼-库尔特全自动生化分析仪系统清洗维护工作；</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3.保质期≥2年。</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四、血检科生化维护液</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1.容量：70ml；</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2.酸性或碱性清洗液，能够满足贝克曼-库尔特全自动生化分析仪系统周维护清洗工作；</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3.保质期≥2年。</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五、血检科ALT质控血清</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1.浓度：正常值和异常值,瓶内为冻干粉；</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2.容量：复溶后为5ml/支；</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3.具有溯源性，能提供溯源性文件；</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4.储存温度：2-8°C；</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5.储存有效时间：≥12个月</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五、服务要求</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单位必须提供以下资料存档：《药品生产许可证》和《药品经营许可证》及营业执照复印件；《药品生产质量管理规范》和《药品经营质量管理规范》认证证书复印件；药品的批准证明文件复印件；销售人员有效身份证明复印件；血源筛查体外诊断试剂的批签发文件；出厂质量检验报告等。</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六、商务要求</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1.供货期：自合同签订之日起一年，按需配送。交货时间：按照采购人要求分批供货接到甲方供货通知七日内交货。</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2.保质期：收货后有效期≥6个月（若技术参数条款对保质期有规定，从其规定）。在使用期间如出现质量问题，供货方应随时予以更换，保证血液检测工作的正常进行。</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3.交货地点：西安市中心血站指定地点；</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款项结算：合同签订后每满三个月后30个工作日内根据各中标供应商所供试剂的实际数量据实结算一次（若乙方提供的产品制造商属于中小企业，结算方式为根据甲方工作实际需求对产品进行分批采购，分批付款。每三个月结算，第一个月支付三个月预计用量的金额40%，第三个月结束后30个工作日内根据三个月内实际数量据实结算）。</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5.验收：详见合同文本。</w:t>
            </w: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6.违约责任：详见合同文本。</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7.提供投标产品合法来源渠道证明。包括但不限于销售协议、代理协议、原厂授权或承诺书等；</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标的名称：抗A抗B血型定型试剂（单克隆抗体）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33"/>
              <w:gridCol w:w="1165"/>
              <w:gridCol w:w="337"/>
              <w:gridCol w:w="233"/>
              <w:gridCol w:w="570"/>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物品名称</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最高限价（元）</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抗</w:t>
                  </w:r>
                  <w:r>
                    <w:rPr>
                      <w:rFonts w:ascii="仿宋_GB2312" w:hAnsi="仿宋_GB2312" w:cs="仿宋_GB2312" w:eastAsia="仿宋_GB2312"/>
                      <w:sz w:val="20"/>
                    </w:rPr>
                    <w:t>A</w:t>
                  </w:r>
                  <w:r>
                    <w:rPr>
                      <w:rFonts w:ascii="仿宋_GB2312" w:hAnsi="仿宋_GB2312" w:cs="仿宋_GB2312" w:eastAsia="仿宋_GB2312"/>
                      <w:sz w:val="20"/>
                    </w:rPr>
                    <w:t>抗</w:t>
                  </w:r>
                  <w:r>
                    <w:rPr>
                      <w:rFonts w:ascii="仿宋_GB2312" w:hAnsi="仿宋_GB2312" w:cs="仿宋_GB2312" w:eastAsia="仿宋_GB2312"/>
                      <w:sz w:val="20"/>
                    </w:rPr>
                    <w:t>B</w:t>
                  </w:r>
                  <w:r>
                    <w:rPr>
                      <w:rFonts w:ascii="仿宋_GB2312" w:hAnsi="仿宋_GB2312" w:cs="仿宋_GB2312" w:eastAsia="仿宋_GB2312"/>
                      <w:sz w:val="20"/>
                    </w:rPr>
                    <w:t>血型定型试剂（单克隆抗体）</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2500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125000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二、抗A抗B血型定型试剂（单克隆抗体）</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1.试剂必须具备国家要求的资质（三证一报告等）；</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2.试剂适合在自动化血型检测仪上使用，包装规格≥10ml/瓶；</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3.抗A、抗B效价≥128。</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单位必须提供以下资料存档：《药品生产许可证》和《药品经营许可证》及营业执照复印件；《药品生产质量管理规范》和《药品经营质量管理规范》认证证书复印件；药品的批准证明文件复印件；销售人员有效身份证明复印件；血源筛查体外诊断试剂的批签发文件；出厂质量检验报告等。</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四、商务要求</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1.供货期：自合同签订之日起一年，按需配送。交货时间：按照采购人要求分批供货接到甲方供货通知七日内交货。</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2.保质期：收货后有效期≥6个月。在使用期间如出现质量问题，供货方应随时予以更换，保证血液检测工作的正常进行。</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3.交货地点：西安市中心血站指定地点；</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款项结算：合同签订后每满三个月后30个工作日内根据各中标供应商所供试剂的实际数量据实结算一次（若乙方提供的产品制造商属于中小企业，结算方式为根据甲方工作实际需求对产品进行分批采购，分批付款。每三个月结算，第一个月支付三个月预计用量的金额40%，第三个月结束后30个工作日内根据三个月内实际数量据实结算）。</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5.验收：详见合同文本。</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6.违约责任：详见合同文本。</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7.提供投标产品合法来源渠道证明。包括但不限于销售协议、代理协议、原厂授权或承诺书等；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供货期：自合同签订之日起一年，按需配送。交货时间：按照采购人要求分批供货接到甲方供货通知七日内交货。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供货期：自合同签订之日起一年，按需配送。交货时间：按照采购人要求分批供货接到甲方供货通知七日内交货。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供货期：自合同签订之日起一年，按需配送。交货时间：按照采购人要求分批供货接到甲方供货通知七日内交货。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供货期：自合同签订之日起一年，按需配送。交货时间：按照采购人要求分批供货接到甲方供货通知七日内交货。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收货量据实支付（本条后续“支付合同总金额100%”实为“支付该批次的合同金额100%”），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收货量据实支付（本条后续“支付合同总金额100%”实为“支付该批次的合同金额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收货后有效期≥6个月。在使用期间如出现质量问题，供货方应随时予以更换，保证血液检测工作的正常进行。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收货后有效期≥6个月。在使用期间如出现质量问题，供货方应随时予以更换，保证血液检测工作的正常进行。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收货后有效期≥6个月（若技术参数条款对保质期有规定，从其规定）。在使用期间如出现质量问题，供货方应随时予以更换，保证血液检测工作的正常进行。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收货后有效期≥6个月。在使用期间如出现质量问题，供货方应随时予以更换，保证血液检测工作的正常进行。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1.付款方式：因系统设置原因，本章3.4.4支付约定描述不全之处，以本章3.3技术要求中四、商务要求，4.款项结算为准。 2.残疾人福利性单位及监狱企业视同为小型、微型企业。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提供合法有效的统一社会信用代码营业执照（事业单位提供事业单位法人证书，自然人应提供身份证）； 2、财务状况证明：供应商提供2024年度或2025年度经审计且具有注册会计师行业统一监管平台出具赋码完整的财务审计报告（成立时间至提交投标文件截止时间不足一年的可提供成立后任意时段的资产负债表）/或其开标前三个月内供应商开户银行基本账户银行出具的资信证明/或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或具有依法缴纳税收的诚信声明；依法免税或无须缴纳税收的供应商应提供相应证明文件； 4、社会保障资金缴纳证明：提供投标截止时间前3个月内任意一个月份(投标截止时间当月不计入)的社会保障资金缴存单据或社保机构开具的社会保险参保缴费情况证明/或具有依法缴纳税收的诚信声明；依法不需要缴纳社会保障资金的供应商应提供相关文件证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并加盖供应商公章。 8、非法定代表人参加投标的，须提供法定代表人委托授权书、授权代表身份证、授权代表提供在投标单位缴纳的社保记录（近3个月内任意一个月）；法定代表人参加投标时,只需提供法定代表人身份证。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非联合体声明函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提供合法有效的统一社会信用代码营业执照（事业单位提供事业单位法人证书，自然人应提供身份证）； 2、财务状况证明：供应商提供2024年度或2025年度经审计且具有注册会计师行业统一监管平台出具赋码完整的财务审计报告（成立时间至提交投标文件截止时间不足一年的可提供成立后任意时段的资产负债表）/或其开标前三个月内供应商开户银行基本账户银行出具的资信证明/或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或具有依法缴纳税收的诚信声明；依法免税或无须缴纳税收的供应商应提供相应证明文件； 4、社会保障资金缴纳证明：提供投标截止时间前3个月内任意一个月份(投标截止时间当月不计入)的社会保障资金缴存单据或社保机构开具的社会保险参保缴费情况证明/或具有依法缴纳税收的诚信声明；依法不需要缴纳社会保障资金的供应商应提供相关文件证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并加盖供应商公章。 8、非法定代表人参加投标的，须提供法定代表人委托授权书、授权代表身份证、授权代表提供在投标单位缴纳的社保记录（近3个月内任意一个月）；法定代表人参加投标时,只需提供法定代表人身份证。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非联合体声明函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提供合法有效的统一社会信用代码营业执照（事业单位提供事业单位法人证书，自然人应提供身份证）； 2、财务状况证明：供应商提供2024年度或2025年度经审计且具有注册会计师行业统一监管平台出具赋码完整的财务审计报告（成立时间至提交投标文件截止时间不足一年的可提供成立后任意时段的资产负债表）/或其开标前三个月内供应商开户银行基本账户银行出具的资信证明/或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或具有依法缴纳税收的诚信声明；依法免税或无须缴纳税收的供应商应提供相应证明文件； 4、社会保障资金缴纳证明：提供投标截止时间前3个月内任意一个月份(投标截止时间当月不计入)的社会保障资金缴存单据或社保机构开具的社会保险参保缴费情况证明/或具有依法缴纳税收的诚信声明；依法不需要缴纳社会保障资金的供应商应提供相关文件证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并加盖供应商公章。 8、非法定代表人参加投标的，须提供法定代表人委托授权书、授权代表身份证、授权代表提供在投标单位缴纳的社保记录（近3个月内任意一个月）；法定代表人参加投标时,只需提供法定代表人身份证。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非联合体声明函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提供合法有效的统一社会信用代码营业执照（事业单位提供事业单位法人证书，自然人应提供身份证）； 2、财务状况证明：供应商提供2024年度或2025年度经审计且具有注册会计师行业统一监管平台出具赋码完整的财务审计报告（成立时间至提交投标文件截止时间不足一年的可提供成立后任意时段的资产负债表）/或其开标前三个月内供应商开户银行基本账户银行出具的资信证明/或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或具有依法缴纳税收的诚信声明；依法免税或无须缴纳税收的供应商应提供相应证明文件； 4、社会保障资金缴纳证明：提供投标截止时间前3个月内任意一个月份(投标截止时间当月不计入)的社会保障资金缴存单据或社保机构开具的社会保险参保缴费情况证明/或具有依法缴纳税收的诚信声明；依法不需要缴纳社会保障资金的供应商应提供相关文件证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并加盖供应商公章。 8、非法定代表人参加投标的，须提供法定代表人委托授权书、授权代表身份证、授权代表提供在投标单位缴纳的社保记录（近3个月内任意一个月）；法定代表人参加投标时,只需提供法定代表人身份证。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非联合体声明函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投标产品经营资格</w:t>
            </w:r>
          </w:p>
        </w:tc>
        <w:tc>
          <w:tcPr>
            <w:tcW w:type="dxa" w:w="3322"/>
          </w:tcPr>
          <w:p>
            <w:pPr>
              <w:pStyle w:val="null3"/>
            </w:pPr>
            <w:r>
              <w:rPr>
                <w:rFonts w:ascii="仿宋_GB2312" w:hAnsi="仿宋_GB2312" w:cs="仿宋_GB2312" w:eastAsia="仿宋_GB2312"/>
              </w:rPr>
              <w:t>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按格式要求提供关联关系与廉洁承诺书。供应商需在项目电子化交易系统中按要求上传相应证明文件并进行电子签章。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按格式要求提供质量保证承诺书。供应商需在项目电子化交易系统中按要求上传相应证明文件并进行电子签章。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投标产品经营资格</w:t>
            </w:r>
          </w:p>
        </w:tc>
        <w:tc>
          <w:tcPr>
            <w:tcW w:type="dxa" w:w="3322"/>
          </w:tcPr>
          <w:p>
            <w:pPr>
              <w:pStyle w:val="null3"/>
            </w:pPr>
            <w:r>
              <w:rPr>
                <w:rFonts w:ascii="仿宋_GB2312" w:hAnsi="仿宋_GB2312" w:cs="仿宋_GB2312" w:eastAsia="仿宋_GB2312"/>
              </w:rPr>
              <w:t>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按格式要求提供关联关系与廉洁承诺书。供应商需在项目电子化交易系统中按要求上传相应证明文件并进行电子签章。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按格式要求提供质量保证承诺书。供应商需在项目电子化交易系统中按要求上传相应证明文件并进行电子签章。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投标产品经营资格</w:t>
            </w:r>
          </w:p>
        </w:tc>
        <w:tc>
          <w:tcPr>
            <w:tcW w:type="dxa" w:w="3322"/>
          </w:tcPr>
          <w:p>
            <w:pPr>
              <w:pStyle w:val="null3"/>
            </w:pPr>
            <w:r>
              <w:rPr>
                <w:rFonts w:ascii="仿宋_GB2312" w:hAnsi="仿宋_GB2312" w:cs="仿宋_GB2312" w:eastAsia="仿宋_GB2312"/>
              </w:rPr>
              <w:t>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按格式要求提供关联关系与廉洁承诺书。供应商需在项目电子化交易系统中按要求上传相应证明文件并进行电子签章。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按格式要求提供质量保证承诺书。供应商需在项目电子化交易系统中按要求上传相应证明文件并进行电子签章。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投标产品经营资格</w:t>
            </w:r>
          </w:p>
        </w:tc>
        <w:tc>
          <w:tcPr>
            <w:tcW w:type="dxa" w:w="3322"/>
          </w:tcPr>
          <w:p>
            <w:pPr>
              <w:pStyle w:val="null3"/>
            </w:pPr>
            <w:r>
              <w:rPr>
                <w:rFonts w:ascii="仿宋_GB2312" w:hAnsi="仿宋_GB2312" w:cs="仿宋_GB2312" w:eastAsia="仿宋_GB2312"/>
              </w:rPr>
              <w:t>1、所投产品纳入医疗器械管理的，投标人的投标产品经营资格应符合国家相关规定并提供相关证明文件（①投标人为经销商的，提供“医疗器械经营许可证”或“医疗器械经营备案证”。②投标人为生产商的，提供“医疗器械生产许可证”或“医疗器械生产备案凭证”。③提供所投产品（医疗器械）的“医疗器械注册证”或“医疗器械备案证”）；2、所投产品纳入属于药品管理的，投标人的投标产品经营资格应符合国家相关规定并提供相关证明文件（①投标人为经销商的，提供“药品经营许可证”。②投标人为生产商的，提供“药品生产许可证”。③提供所投标产品（药品）的“注册证”或“再注册批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按格式要求提供关联关系与廉洁承诺书。供应商需在项目电子化交易系统中按要求上传相应证明文件并进行电子签章。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按格式要求提供质量保证承诺书。供应商需在项目电子化交易系统中按要求上传相应证明文件并进行电子签章。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投标文件是否按照谈判文件要求的格式编写；投标文件内容是否有重大缺漏项。</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①投标报价是否超过采购预算；②投标报价有效期是否符合招标文件的要求；③投标文件内容是否符合国家法律法规，没有重大偏离；④对招标文件中规定的要求是否做出了实质性响应。</w:t>
            </w:r>
          </w:p>
        </w:tc>
        <w:tc>
          <w:tcPr>
            <w:tcW w:type="dxa" w:w="1661"/>
          </w:tcPr>
          <w:p>
            <w:pPr>
              <w:pStyle w:val="null3"/>
            </w:pPr>
            <w:r>
              <w:rPr>
                <w:rFonts w:ascii="仿宋_GB2312" w:hAnsi="仿宋_GB2312" w:cs="仿宋_GB2312" w:eastAsia="仿宋_GB2312"/>
              </w:rPr>
              <w:t>投标方案说明书 投标函 商务应答表 投标分项报价表 技术规格响应表 标的清单 投标文件封面 供货一览表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投标文件是否按照谈判文件要求的格式编写；投标文件内容是否有重大缺漏项。</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①投标报价是否超过采购预算；②投标报价有效期是否符合招标文件的要求；③投标文件内容是否符合国家法律法规，没有重大偏离；④对招标文件中规定的要求是否做出了实质性响应。</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投标文件是否按照谈判文件要求的格式编写；投标文件内容是否有重大缺漏项。</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①投标报价是否超过采购预算；②投标报价有效期是否符合招标文件的要求；③投标文件内容是否符合国家法律法规，没有重大偏离；④对招标文件中规定的要求是否做出了实质性响应。</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投标文件是否按照谈判文件要求的格式编写；投标文件内容是否有重大缺漏项。</w:t>
            </w:r>
          </w:p>
        </w:tc>
        <w:tc>
          <w:tcPr>
            <w:tcW w:type="dxa" w:w="1661"/>
          </w:tcPr>
          <w:p>
            <w:pPr>
              <w:pStyle w:val="null3"/>
            </w:pPr>
            <w:r>
              <w:rPr>
                <w:rFonts w:ascii="仿宋_GB2312" w:hAnsi="仿宋_GB2312" w:cs="仿宋_GB2312" w:eastAsia="仿宋_GB2312"/>
              </w:rPr>
              <w:t>开标一览表 投标方案说明书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①投标报价是否超过采购预算；②投标报价有效期是否符合招标文件的要求；③投标文件内容是否符合国家法律法规，没有重大偏离；④对招标文件中规定的要求是否做出了实质性响应。</w:t>
            </w:r>
          </w:p>
        </w:tc>
        <w:tc>
          <w:tcPr>
            <w:tcW w:type="dxa" w:w="1661"/>
          </w:tcPr>
          <w:p>
            <w:pPr>
              <w:pStyle w:val="null3"/>
            </w:pPr>
            <w:r>
              <w:rPr>
                <w:rFonts w:ascii="仿宋_GB2312" w:hAnsi="仿宋_GB2312" w:cs="仿宋_GB2312" w:eastAsia="仿宋_GB2312"/>
              </w:rPr>
              <w:t>开标一览表 投标方案说明书 投标函 商务应答表 技术规格响应表 投标分项报价表 标的清单 投标文件封面 供货一览表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40分；负偏离一条扣4分；扣完为止。评审依据：提供生产厂家确认的具有相应的功能证明材料（投标产品彩页（如有）、（产品）说明书、认证证书、检测/检验报告等，官网截图等），技术偏离表中的投标响应，在技术资料中未出现，视为偏离（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服务、实施方案详尽，科学，合理，项目团队人员配备充足（提供专职人员名单及联系方式、有效身份证复印件），技术能力出众（提供相关资格证书），人员分工合理，得5-3分（不含3分）；服务、实施方案较为合理，项目团队人员分工基本合理，得3-1分（不含1分）；投标人对服务、实施方案进行了响应，但缺少详细方案，得1-0分；缺少服务、实施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（1）提供库房（符合投标产品储存）证明材料，证明材料完善得1分，证明材料不完善或未提供证明材料得0分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（2）提供试剂供应及运输方案。方案科学合理得4-2分（不含2分），方案一般2-0分，未提供方案者得0分。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投标人提供产品合法来源渠道证明，包括但不限于销售协议、代理协议、原厂授权或承诺书等，提供得2分，未提供的不得分。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至少包括①售后服务承诺②售后服务体系及人员配置③服务内容④响应时间⑤退换货。根据售后方案的详略程度、针对性、实施性综合评价。方案详细具体、针对性强、具有切实可行的可实施性，得8-6分（不含6分）；方案较为详细、针对性一般，具有一定的实施性，得6-4分（不含4分）；方案内容简单、针对性较差、可实施性较差，得4-2分（不含2分）。方案无针对性、可实施性差，得2-1分。未提供售后服务方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投标产品业绩</w:t>
            </w:r>
          </w:p>
        </w:tc>
        <w:tc>
          <w:tcPr>
            <w:tcW w:type="dxa" w:w="2492"/>
          </w:tcPr>
          <w:p>
            <w:pPr>
              <w:pStyle w:val="null3"/>
            </w:pPr>
            <w:r>
              <w:rPr>
                <w:rFonts w:ascii="仿宋_GB2312" w:hAnsi="仿宋_GB2312" w:cs="仿宋_GB2312" w:eastAsia="仿宋_GB2312"/>
              </w:rPr>
              <w:t>提供2023年1月1日至今（以合同签订日期为准），投标产品业绩合同，一份有效业绩合同计2分，最高10分。评审依据：完整合同复印件加盖公章。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40分；负偏离一条扣4分；扣完为止。评审依据：提供生产厂家确认的具有相应的功能证明材料（投标产品彩页（如有）、（产品）说明书、认证证书、检测/检验报告等，官网截图等），技术偏离表中的投标响应，在技术资料中未出现，视为偏离（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p>
            <w:pPr>
              <w:pStyle w:val="null3"/>
            </w:pPr>
            <w:r>
              <w:rPr>
                <w:rFonts w:ascii="仿宋_GB2312" w:hAnsi="仿宋_GB2312" w:cs="仿宋_GB2312" w:eastAsia="仿宋_GB2312"/>
              </w:rPr>
              <w:t>技术规格响应表</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服务、实施方案详尽，科学，合理，项目团队人员配备充足（提供专职人员名单及联系方式、有效身份证复印件），技术能力出众（提供相关资格证书），人员分工合理，得5-3分（不含3分）；服务、实施方案较为合理，项目团队人员分工基本合理，得3-1分（不含1分）；投标人对服务、实施方案进行了响应，但缺少详细方案，得1-0分；缺少服务、实施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（1）提供库房（符合投标产品储存）证明材料，证明材料完善得1分，证明材料不完善或未提供证明材料得0分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（2）提供试剂供应及运输方案。方案科学合理得4-2分（不含2分），方案一般2-0分，未提供方案者得0分。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投标人提供产品合法来源渠道证明，包括但不限于销售协议、代理协议、原厂授权或承诺书等，提供得2分，未提供的不得分。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至少包括①售后服务承诺②售后服务体系及人员配置③服务内容④响应时间⑤退换货。根据售后方案的详略程度、针对性、实施性综合评价。方案详细具体、针对性强、具有切实可行的可实施性，得8-6分（不含6分）；方案较为详细、针对性一般，具有一定的实施性，得6-4分（不含4分）；方案内容简单、针对性较差、可实施性较差，得4-2分（不含2分）。方案无针对性、可实施性差，得2-1分。未提供售后服务方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投标产品业绩</w:t>
            </w:r>
          </w:p>
        </w:tc>
        <w:tc>
          <w:tcPr>
            <w:tcW w:type="dxa" w:w="2492"/>
          </w:tcPr>
          <w:p>
            <w:pPr>
              <w:pStyle w:val="null3"/>
            </w:pPr>
            <w:r>
              <w:rPr>
                <w:rFonts w:ascii="仿宋_GB2312" w:hAnsi="仿宋_GB2312" w:cs="仿宋_GB2312" w:eastAsia="仿宋_GB2312"/>
              </w:rPr>
              <w:t>提供2023年1月1日至今（以合同签订日期为准），投标产品业绩合同，一份有效业绩合同计2分，最高10分。评审依据：完整合同复印件加盖公章。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40分；负偏离一条扣4分；扣完为止。评审依据：提供生产厂家确认的具有相应的功能证明材料（投标产品彩页（如有）、（产品）说明书、认证证书、检测/检验报告等，官网截图等），技术偏离表中的投标响应，在技术资料中未出现，视为偏离（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p>
            <w:pPr>
              <w:pStyle w:val="null3"/>
            </w:pPr>
            <w:r>
              <w:rPr>
                <w:rFonts w:ascii="仿宋_GB2312" w:hAnsi="仿宋_GB2312" w:cs="仿宋_GB2312" w:eastAsia="仿宋_GB2312"/>
              </w:rPr>
              <w:t>技术规格响应表</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服务、实施方案详尽，科学，合理，项目团队人员配备充足（提供专职人员名单及联系方式、有效身份证复印件），技术能力出众（提供相关资格证书），人员分工合理，得5-3分（不含3分）；服务、实施方案较为合理，项目团队人员分工基本合理，得3-1分（不含1分）；投标人对服务、实施方案进行了响应，但缺少详细方案，得1-0分；缺少服务、实施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（1）提供库房（符合投标产品储存）证明材料，证明材料完善得1分，证明材料不完善或未提供证明材料得0分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（2）提供试剂供应及运输方案。方案科学合理得4-2分（不含2分），方案一般2-0分，未提供方案者得0分。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投标人提供产品合法来源渠道证明，包括但不限于销售协议、代理协议、原厂授权或承诺书等，提供得2分，未提供的不得分。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至少包括①售后服务承诺②售后服务体系及人员配置③服务内容④响应时间⑤退换货。根据售后方案的详略程度、针对性、实施性综合评价。方案详细具体、针对性强、具有切实可行的可实施性，得8-6分（不含6分）；方案较为详细、针对性一般，具有一定的实施性，得6-4分（不含4分）；方案内容简单、针对性较差、可实施性较差，得4-2分（不含2分）。方案无针对性、可实施性差，得2-1分。未提供售后服务方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投标产品业绩</w:t>
            </w:r>
          </w:p>
        </w:tc>
        <w:tc>
          <w:tcPr>
            <w:tcW w:type="dxa" w:w="2492"/>
          </w:tcPr>
          <w:p>
            <w:pPr>
              <w:pStyle w:val="null3"/>
            </w:pPr>
            <w:r>
              <w:rPr>
                <w:rFonts w:ascii="仿宋_GB2312" w:hAnsi="仿宋_GB2312" w:cs="仿宋_GB2312" w:eastAsia="仿宋_GB2312"/>
              </w:rPr>
              <w:t>提供2023年1月1日至今（以合同签订日期为准），投标产品业绩合同，一份有效业绩合同计2分，最高10分。评审依据：完整合同复印件加盖公章。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40分；负偏离一条扣4分；扣完为止。评审依据：提供生产厂家确认的具有相应的功能证明材料（投标产品彩页（如有）、（产品）说明书、认证证书、检测/检验报告等，官网截图等），技术偏离表中的投标响应，在技术资料中未出现，视为偏离（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p>
            <w:pPr>
              <w:pStyle w:val="null3"/>
            </w:pPr>
            <w:r>
              <w:rPr>
                <w:rFonts w:ascii="仿宋_GB2312" w:hAnsi="仿宋_GB2312" w:cs="仿宋_GB2312" w:eastAsia="仿宋_GB2312"/>
              </w:rPr>
              <w:t>技术规格响应表</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服务、实施方案详尽，科学，合理，项目团队人员配备充足（提供专职人员名单及联系方式、有效身份证复印件），技术能力出众（提供相关资格证书），人员分工合理，得5-3分（不含3分）；服务、实施方案较为合理，项目团队人员分工基本合理，得3-1分（不含1分）；投标人对服务、实施方案进行了响应，但缺少详细方案，得1-0分；缺少服务、实施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（1）提供库房（符合投标产品储存）证明材料，证明材料完善得1分，证明材料不完善或未提供证明材料得0分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仓储、设施设备及配送方案（与投标产品（试剂）相适应的仓储及设施设备，具有完整的储运系统。）</w:t>
            </w:r>
          </w:p>
        </w:tc>
        <w:tc>
          <w:tcPr>
            <w:tcW w:type="dxa" w:w="2492"/>
          </w:tcPr>
          <w:p>
            <w:pPr>
              <w:pStyle w:val="null3"/>
            </w:pPr>
            <w:r>
              <w:rPr>
                <w:rFonts w:ascii="仿宋_GB2312" w:hAnsi="仿宋_GB2312" w:cs="仿宋_GB2312" w:eastAsia="仿宋_GB2312"/>
              </w:rPr>
              <w:t>（2）提供试剂供应及运输方案。方案科学合理得4-2分（不含2分），方案一般2-0分，未提供方案者得0分。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投标人提供产品合法来源渠道证明，包括但不限于销售协议、代理协议、原厂授权或承诺书等，提供得2分，未提供的不得分。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至少包括①售后服务承诺②售后服务体系及人员配置③服务内容④响应时间⑤退换货。根据售后方案的详略程度、针对性、实施性综合评价。方案详细具体、针对性强、具有切实可行的可实施性，得8-6分（不含6分）；方案较为详细、针对性一般，具有一定的实施性，得6-4分（不含4分）；方案内容简单、针对性较差、可实施性较差，得4-2分（不含2分）。方案无针对性、可实施性差，得2-1分。未提供售后服务方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投标产品业绩</w:t>
            </w:r>
          </w:p>
        </w:tc>
        <w:tc>
          <w:tcPr>
            <w:tcW w:type="dxa" w:w="2492"/>
          </w:tcPr>
          <w:p>
            <w:pPr>
              <w:pStyle w:val="null3"/>
            </w:pPr>
            <w:r>
              <w:rPr>
                <w:rFonts w:ascii="仿宋_GB2312" w:hAnsi="仿宋_GB2312" w:cs="仿宋_GB2312" w:eastAsia="仿宋_GB2312"/>
              </w:rPr>
              <w:t>提供2023年1月1日至今（以合同签订日期为准），投标产品业绩合同，一份有效业绩合同计2分，最高10分。评审依据：完整合同复印件加盖公章。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详见附件：非联合体声明函</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详见附件：供货一览表</w:t>
      </w:r>
    </w:p>
    <w:p>
      <w:pPr>
        <w:pStyle w:val="null3"/>
        <w:ind w:firstLine="960"/>
      </w:pPr>
      <w:r>
        <w:rPr>
          <w:rFonts w:ascii="仿宋_GB2312" w:hAnsi="仿宋_GB2312" w:cs="仿宋_GB2312" w:eastAsia="仿宋_GB2312"/>
        </w:rPr>
        <w:t>详见附件：技术规格响应表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详见附件：投标产品业绩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详见附件：非联合体声明函</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详见附件：供货一览表</w:t>
      </w:r>
    </w:p>
    <w:p>
      <w:pPr>
        <w:pStyle w:val="null3"/>
        <w:ind w:firstLine="960"/>
      </w:pPr>
      <w:r>
        <w:rPr>
          <w:rFonts w:ascii="仿宋_GB2312" w:hAnsi="仿宋_GB2312" w:cs="仿宋_GB2312" w:eastAsia="仿宋_GB2312"/>
        </w:rPr>
        <w:t>详见附件：技术规格响应表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详见附件：投标产品业绩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详见附件：非联合体声明函</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详见附件：供货一览表</w:t>
      </w:r>
    </w:p>
    <w:p>
      <w:pPr>
        <w:pStyle w:val="null3"/>
        <w:ind w:firstLine="960"/>
      </w:pPr>
      <w:r>
        <w:rPr>
          <w:rFonts w:ascii="仿宋_GB2312" w:hAnsi="仿宋_GB2312" w:cs="仿宋_GB2312" w:eastAsia="仿宋_GB2312"/>
        </w:rPr>
        <w:t>详见附件：技术规格响应表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详见附件：投标产品业绩</w:t>
      </w:r>
    </w:p>
    <w:p>
      <w:pPr>
        <w:pStyle w:val="null3"/>
        <w:ind w:firstLine="960"/>
      </w:pPr>
      <w:r>
        <w:rPr>
          <w:rFonts w:ascii="仿宋_GB2312" w:hAnsi="仿宋_GB2312" w:cs="仿宋_GB2312" w:eastAsia="仿宋_GB2312"/>
        </w:rPr>
        <w:t>详见附件：投标方案说明书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详见附件：非联合体声明函</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详见附件：供货一览表</w:t>
      </w:r>
    </w:p>
    <w:p>
      <w:pPr>
        <w:pStyle w:val="null3"/>
        <w:ind w:firstLine="960"/>
      </w:pPr>
      <w:r>
        <w:rPr>
          <w:rFonts w:ascii="仿宋_GB2312" w:hAnsi="仿宋_GB2312" w:cs="仿宋_GB2312" w:eastAsia="仿宋_GB2312"/>
        </w:rPr>
        <w:t>详见附件：技术规格响应表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详见附件：投标产品业绩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