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版本号：DQB-2026070-CS.1B120260831001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12351热线工作人员服务及法律专席人员服务项目(二次)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DQB-2026070-CS.1B1</w:t>
      </w:r>
      <w:r>
        <w:br/>
      </w:r>
      <w:r>
        <w:br/>
      </w:r>
      <w:r>
        <w:br/>
      </w:r>
    </w:p>
    <w:p>
      <w:pPr>
        <w:pStyle w:val="null3"/>
        <w:jc w:val="center"/>
        <w:outlineLvl w:val="2"/>
      </w:pPr>
      <w:r>
        <w:rPr>
          <w:rFonts w:ascii="仿宋_GB2312" w:hAnsi="仿宋_GB2312" w:cs="仿宋_GB2312" w:eastAsia="仿宋_GB2312"/>
          <w:sz w:val="28"/>
          <w:b/>
        </w:rPr>
        <w:t>省总工会本级</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省总工会本级</w:t>
      </w:r>
      <w:r>
        <w:rPr>
          <w:rFonts w:ascii="仿宋_GB2312" w:hAnsi="仿宋_GB2312" w:cs="仿宋_GB2312" w:eastAsia="仿宋_GB2312"/>
        </w:rPr>
        <w:t>委托，拟对</w:t>
      </w:r>
      <w:r>
        <w:rPr>
          <w:rFonts w:ascii="仿宋_GB2312" w:hAnsi="仿宋_GB2312" w:cs="仿宋_GB2312" w:eastAsia="仿宋_GB2312"/>
        </w:rPr>
        <w:t>12351热线工作人员服务及法律专席人员服务项目(二次)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DQB-2026070-CS.1B1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12351热线工作人员服务及法律专席人员服务项目(二次)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12351热线工作人员服务及法律专席人员服务项目。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采购包1（12351热线工作人员服务及法律专席人员服务项目）：属于专门面向中小企业采购。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1、营业执照等主体资格证明文件：提供企业营业执照。</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供应商提供资信证明出具银行为基本户开户银行的承诺函或开户许可证等证明材料），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省总工会本级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西安市莲湖路389号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陕西省总工会经办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029-87333924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代理服务费收费标准：采购代理服务费按以下标准计取（核算代理服务费低于5000元时按5000元收取）：成交金额在100万元以下按照费率的1.5%计取。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省总工会本级</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省总工会本级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省总工会本级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12351热线工作人员服务及法律专席人员服务项目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970,000.00</w:t>
      </w:r>
    </w:p>
    <w:p>
      <w:pPr>
        <w:pStyle w:val="null3"/>
      </w:pPr>
      <w:r>
        <w:rPr>
          <w:rFonts w:ascii="仿宋_GB2312" w:hAnsi="仿宋_GB2312" w:cs="仿宋_GB2312" w:eastAsia="仿宋_GB2312"/>
        </w:rPr>
        <w:t>采购包最高限价（元）: 970,000.00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12351热线工作人员服务及法律专席人员服务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标的名称：12351热线工作人员服务及法律专席人员服务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项目需求</w:t>
            </w:r>
          </w:p>
          <w:p>
            <w:pPr>
              <w:pStyle w:val="null3"/>
              <w:ind w:firstLine="420"/>
              <w:jc w:val="both"/>
            </w:pPr>
            <w:r>
              <w:rPr>
                <w:rFonts w:ascii="仿宋_GB2312" w:hAnsi="仿宋_GB2312" w:cs="仿宋_GB2312" w:eastAsia="仿宋_GB2312"/>
                <w:sz w:val="21"/>
              </w:rPr>
              <w:t>1.热线中心的日常管理运营。</w:t>
            </w:r>
          </w:p>
          <w:p>
            <w:pPr>
              <w:pStyle w:val="null3"/>
              <w:ind w:firstLine="420"/>
              <w:jc w:val="left"/>
            </w:pPr>
            <w:r>
              <w:rPr>
                <w:rFonts w:ascii="仿宋_GB2312" w:hAnsi="仿宋_GB2312" w:cs="仿宋_GB2312" w:eastAsia="仿宋_GB2312"/>
                <w:sz w:val="21"/>
                <w:shd w:fill="FFFFFF" w:val="clear"/>
              </w:rPr>
              <w:t>2.至少提供</w:t>
            </w:r>
            <w:r>
              <w:rPr>
                <w:rFonts w:ascii="仿宋_GB2312" w:hAnsi="仿宋_GB2312" w:cs="仿宋_GB2312" w:eastAsia="仿宋_GB2312"/>
                <w:sz w:val="21"/>
                <w:shd w:fill="FFFFFF" w:val="clear"/>
              </w:rPr>
              <w:t>1名运维经理、1名工单专员、5名话务人员、1名安保人员的招聘、培训、管理及服务工作。</w:t>
            </w:r>
            <w:r>
              <w:rPr>
                <w:rFonts w:ascii="仿宋_GB2312" w:hAnsi="仿宋_GB2312" w:cs="仿宋_GB2312" w:eastAsia="仿宋_GB2312"/>
                <w:sz w:val="21"/>
                <w:shd w:fill="FFFFFF" w:val="clear"/>
              </w:rPr>
              <w:t>运维经理实发不低于</w:t>
            </w:r>
            <w:r>
              <w:rPr>
                <w:rFonts w:ascii="仿宋_GB2312" w:hAnsi="仿宋_GB2312" w:cs="仿宋_GB2312" w:eastAsia="仿宋_GB2312"/>
                <w:sz w:val="21"/>
                <w:shd w:fill="FFFFFF" w:val="clear"/>
              </w:rPr>
              <w:t>5000元每月，</w:t>
            </w:r>
            <w:r>
              <w:rPr>
                <w:rFonts w:ascii="仿宋_GB2312" w:hAnsi="仿宋_GB2312" w:cs="仿宋_GB2312" w:eastAsia="仿宋_GB2312"/>
                <w:sz w:val="21"/>
                <w:shd w:fill="FFFFFF" w:val="clear"/>
              </w:rPr>
              <w:t>工单专员不低于</w:t>
            </w:r>
            <w:r>
              <w:rPr>
                <w:rFonts w:ascii="仿宋_GB2312" w:hAnsi="仿宋_GB2312" w:cs="仿宋_GB2312" w:eastAsia="仿宋_GB2312"/>
                <w:sz w:val="21"/>
                <w:shd w:fill="FFFFFF" w:val="clear"/>
              </w:rPr>
              <w:t>2000元每月，</w:t>
            </w:r>
            <w:r>
              <w:rPr>
                <w:rFonts w:ascii="仿宋_GB2312" w:hAnsi="仿宋_GB2312" w:cs="仿宋_GB2312" w:eastAsia="仿宋_GB2312"/>
                <w:sz w:val="21"/>
                <w:shd w:fill="FFFFFF" w:val="clear"/>
              </w:rPr>
              <w:t>安保人员不低于</w:t>
            </w:r>
            <w:r>
              <w:rPr>
                <w:rFonts w:ascii="仿宋_GB2312" w:hAnsi="仿宋_GB2312" w:cs="仿宋_GB2312" w:eastAsia="仿宋_GB2312"/>
                <w:sz w:val="21"/>
                <w:shd w:fill="FFFFFF" w:val="clear"/>
              </w:rPr>
              <w:t>4500元每月，话务人员实发不低于4000元每月，以上为对应岗位单人每月扣缴社保等相关费用之后实发工资最低标准。要求供应商按照国家规定为上述人员缴纳社保，包括基本养老保险、基本医疗保险、失业保险、工伤保险、生育保险</w:t>
            </w:r>
            <w:r>
              <w:rPr>
                <w:rFonts w:ascii="仿宋_GB2312" w:hAnsi="仿宋_GB2312" w:cs="仿宋_GB2312" w:eastAsia="仿宋_GB2312"/>
                <w:sz w:val="21"/>
                <w:shd w:fill="FFFFFF" w:val="clear"/>
              </w:rPr>
              <w:t>、住房公积金</w:t>
            </w:r>
            <w:r>
              <w:rPr>
                <w:rFonts w:ascii="仿宋_GB2312" w:hAnsi="仿宋_GB2312" w:cs="仿宋_GB2312" w:eastAsia="仿宋_GB2312"/>
                <w:sz w:val="21"/>
                <w:shd w:fill="FFFFFF" w:val="clear"/>
              </w:rPr>
              <w:t>，同时购买意外伤害保险。为上述人员提供节日福利，其中端午节、中秋节、春节每人发放不低于</w:t>
            </w:r>
            <w:r>
              <w:rPr>
                <w:rFonts w:ascii="仿宋_GB2312" w:hAnsi="仿宋_GB2312" w:cs="仿宋_GB2312" w:eastAsia="仿宋_GB2312"/>
                <w:sz w:val="21"/>
                <w:shd w:fill="FFFFFF" w:val="clear"/>
              </w:rPr>
              <w:t>300元福利。提供夏季和冬季工装。</w:t>
            </w:r>
          </w:p>
          <w:p>
            <w:pPr>
              <w:pStyle w:val="null3"/>
              <w:ind w:firstLine="420"/>
              <w:jc w:val="both"/>
            </w:pPr>
            <w:r>
              <w:rPr>
                <w:rFonts w:ascii="仿宋_GB2312" w:hAnsi="仿宋_GB2312" w:cs="仿宋_GB2312" w:eastAsia="仿宋_GB2312"/>
                <w:sz w:val="21"/>
              </w:rPr>
              <w:t>3.律师专席招聘、管理、培训等（可采用购买服务方式）。</w:t>
            </w:r>
          </w:p>
          <w:p>
            <w:pPr>
              <w:pStyle w:val="null3"/>
              <w:ind w:firstLine="420"/>
              <w:jc w:val="both"/>
            </w:pPr>
            <w:r>
              <w:rPr>
                <w:rFonts w:ascii="仿宋_GB2312" w:hAnsi="仿宋_GB2312" w:cs="仿宋_GB2312" w:eastAsia="仿宋_GB2312"/>
                <w:sz w:val="21"/>
              </w:rPr>
              <w:t>4.负责接听12351陕西省总工会服务职工热线来电，按照标准工作流程为职工提供专业的咨询解答、法律援助、电话转接、回访、追踪问效等服务。</w:t>
            </w:r>
          </w:p>
          <w:p>
            <w:pPr>
              <w:pStyle w:val="null3"/>
              <w:ind w:firstLine="420"/>
              <w:jc w:val="both"/>
            </w:pPr>
            <w:r>
              <w:rPr>
                <w:rFonts w:ascii="仿宋_GB2312" w:hAnsi="仿宋_GB2312" w:cs="仿宋_GB2312" w:eastAsia="仿宋_GB2312"/>
                <w:sz w:val="21"/>
              </w:rPr>
              <w:t>5.保障12351热线良好稳定运营，</w:t>
            </w:r>
            <w:r>
              <w:rPr>
                <w:rFonts w:ascii="仿宋_GB2312" w:hAnsi="仿宋_GB2312" w:cs="仿宋_GB2312" w:eastAsia="仿宋_GB2312"/>
                <w:sz w:val="21"/>
              </w:rPr>
              <w:t>保证热线</w:t>
            </w:r>
            <w:r>
              <w:rPr>
                <w:rFonts w:ascii="仿宋_GB2312" w:hAnsi="仿宋_GB2312" w:cs="仿宋_GB2312" w:eastAsia="仿宋_GB2312"/>
                <w:sz w:val="21"/>
              </w:rPr>
              <w:t>7X24小时正常服务，</w:t>
            </w:r>
            <w:r>
              <w:rPr>
                <w:rFonts w:ascii="仿宋_GB2312" w:hAnsi="仿宋_GB2312" w:cs="仿宋_GB2312" w:eastAsia="仿宋_GB2312"/>
                <w:sz w:val="21"/>
              </w:rPr>
              <w:t>热线接通率和职工满意率均达</w:t>
            </w:r>
            <w:r>
              <w:rPr>
                <w:rFonts w:ascii="仿宋_GB2312" w:hAnsi="仿宋_GB2312" w:cs="仿宋_GB2312" w:eastAsia="仿宋_GB2312"/>
                <w:sz w:val="21"/>
              </w:rPr>
              <w:t>95%以上。</w:t>
            </w:r>
          </w:p>
          <w:p>
            <w:pPr>
              <w:pStyle w:val="null3"/>
              <w:ind w:firstLine="420"/>
              <w:jc w:val="both"/>
            </w:pPr>
            <w:r>
              <w:rPr>
                <w:rFonts w:ascii="仿宋_GB2312" w:hAnsi="仿宋_GB2312" w:cs="仿宋_GB2312" w:eastAsia="仿宋_GB2312"/>
                <w:sz w:val="21"/>
              </w:rPr>
              <w:t>6.协助完善知识库，包括法律法规、政策文件、案例、常见问题解答等。</w:t>
            </w:r>
          </w:p>
          <w:p>
            <w:pPr>
              <w:pStyle w:val="null3"/>
            </w:pPr>
            <w:r>
              <w:rPr>
                <w:rFonts w:ascii="仿宋_GB2312" w:hAnsi="仿宋_GB2312" w:cs="仿宋_GB2312" w:eastAsia="仿宋_GB2312"/>
                <w:sz w:val="21"/>
              </w:rPr>
              <w:t>7.热线中心保洁及办公用品的采购、更新和维护等内容。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供应商根据服务要求自行响应，满足采购人服务要求。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供应商根据服务要求自行响应，满足采购人服务要求。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自合同签订之日起一年，需完成所有服务内容。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按照采购人要求、合同约定及要求进行验收，须符合国家和行业标准。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预付款，合同签订，在乙方提供等额正式增值税发票后，达到付款条件起，达到付款条件起10个工作日内，支付合同总金额的40.0%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进度款，服务期第四个月开始，，在乙方提供等额正式增值税发票后，达到付款条件起，达到付款条件起10个工作日内，支付合同总金额的25.0%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进度款，服务期第七个月开始，，在乙方提供等额正式增值税发票后，达到付款条件起，达到付款条件起10个工作日内，支付合同总金额的25.0%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进度款，服务期第十个月开始，，在乙方提供等额正式增值税发票后，达到付款条件起，达到付款条件起10个工作日内，支付合同总金额的10.0%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违约责任依据《中华人民共和国民法典》、《中华人民共和国政府采购法》、《中华人民共和国政府采购法实施条例》等相关条款执行。 合同执行中发生争议的，当事人双方应协商解决。协商达不成一致时，可向甲方（采购人）所在地人民法院提起诉讼。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贰份；若电子响应文件与纸质响应文件不一致的，以电子响应文件为准；响应文件装订成册密封（在书脊处标明项目名称、供应商名称（机打或手写均可），逐页标注连续页码），在封口处加盖供应商公章；纸质响应文件递交截止时间与线上开评标时间一致；纸质响应文件可邮寄递交，应于递交响应文件截止时间前邮寄到代理机构（地点：西安市高新区丈八一路1号汇鑫中心D座2206陕西德勤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提供企业营业执照。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供应商提供资信证明出具银行为基本户开户银行的承诺函或开户许可证等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非联合体不分包响应声明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提供针对本项目采购需求的理解，至少应包括：1.工作重点；2.关键点分析；3.工作难点；4.服务优势；5.合理化建议；6.履约保障与落地实施思路。评审标准：项目服务方案各部分内容全面详细、阐述条理清晰详尽、符合本项目采购需求，能全面保障项目服务高效落地得12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提供针对本项目的项目服务方案，包括1、服务总体规划；2、服务实施安排；3、服务流程规范；4、服务内容细化；5、服务频次及标；6、服务衔接机制。 评审标准：项目服务方案各部分内容全面详细、阐述条理清晰详尽、符合本项目采购需求，能全面保障项目服务高效落地得12分；评审内容每缺一项扣2分，评审内容每有一处缺陷未完全响应评审标准的扣1分。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提供针对本项目的保障措施，包括1、服务实施保障；2、流程执行保障；3、资源调配保障；4、合规性保障。 评审标准：保障措施各部分内容全面详细、阐述条理清晰详尽、符合本项目采购需求，能全面支撑项目顺利实施、保障服务有序推进得8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提供针对本项目的应急方案，包括1、常见突发事件预判（含技术故障、其他风险等）；2、各类突发事件应急处置流程；3、应急保障措施（人员、设备、物资等）；4、应急复盘及改进机制。方案各部分内容全面详细、阐述条理清晰详尽、符合本项目采购需求，能有效应对项目实施过程中各类突发事件、保障项目顺利推进得8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1.提供详细的人员配置方案及针对本项目拟投入的工作人员配备的情况，团队人员具备相应的实施经验，并提供相关的实施经验证明材料，得10分。 2.有专门的项目负责人，提供供应商的组织结构、针对本项目的人员岗位分工，职责范围说明以及人员任务清单，得10分。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服务承诺1</w:t>
            </w:r>
          </w:p>
        </w:tc>
        <w:tc>
          <w:tcPr>
            <w:tcW w:type="dxa" w:w="2492"/>
          </w:tcPr>
          <w:p>
            <w:pPr>
              <w:pStyle w:val="null3"/>
            </w:pPr>
            <w:r>
              <w:rPr>
                <w:rFonts w:ascii="仿宋_GB2312" w:hAnsi="仿宋_GB2312" w:cs="仿宋_GB2312" w:eastAsia="仿宋_GB2312"/>
              </w:rPr>
              <w:t>针对本项目的热线接通率和职工满意率采购人基本需求为均达95%，供应商承诺在此基础上，热线接通率和职工满意率每均高1%得2分，本项最多得10分。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服务承诺2</w:t>
            </w:r>
          </w:p>
        </w:tc>
        <w:tc>
          <w:tcPr>
            <w:tcW w:type="dxa" w:w="2492"/>
          </w:tcPr>
          <w:p>
            <w:pPr>
              <w:pStyle w:val="null3"/>
            </w:pPr>
            <w:r>
              <w:rPr>
                <w:rFonts w:ascii="仿宋_GB2312" w:hAnsi="仿宋_GB2312" w:cs="仿宋_GB2312" w:eastAsia="仿宋_GB2312"/>
              </w:rPr>
              <w:t>供应商须出具单位保密承诺函（格式自拟），得5分，未提供不得分。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供应商提供2023年1月1日至响应截止日期承接的类似项目业绩，每份合格业绩计3分，满分15分； 备注：供应商需提供业绩合同证明材料（至少应包含内容关键页、签订日期与签章页），提供不全或无法辨识的不得分。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满足磋商文件要求且最后报价最低的供应商的价格为磋商基准价，其价格分为满分10分。其他供应商的价格分统一按照下列公式计算：磋商报价得分=（磋商基准价/最后磋商报价）×10 注：磋商小组发现供应商的报价或最终报价明显低于其他供应商的报价有可能影响履约服务质量的，供应商须应磋商小组要求提供说明及相关证明材料。供应商不能在规定的时间内提供出相关证明材料的，若其说明和证明不能被接受的，其响应文件作无效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