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078"/>
        <w:gridCol w:w="6739"/>
      </w:tblGrid>
      <w:tr w14:paraId="082BBD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01F1F8BC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 xml:space="preserve"> 序号</w:t>
            </w:r>
          </w:p>
        </w:tc>
        <w:tc>
          <w:tcPr>
            <w:tcW w:w="1200" w:type="dxa"/>
          </w:tcPr>
          <w:p w14:paraId="350E7CC8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 xml:space="preserve"> 参数性质</w:t>
            </w:r>
          </w:p>
        </w:tc>
        <w:tc>
          <w:tcPr>
            <w:tcW w:w="7795" w:type="dxa"/>
          </w:tcPr>
          <w:p w14:paraId="31FD3242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 xml:space="preserve"> 技术参数与性能指标</w:t>
            </w:r>
          </w:p>
        </w:tc>
      </w:tr>
      <w:tr w14:paraId="1AF453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74BEAC1E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1200" w:type="dxa"/>
          </w:tcPr>
          <w:p w14:paraId="408A3A6C"/>
        </w:tc>
        <w:tc>
          <w:tcPr>
            <w:tcW w:w="7795" w:type="dxa"/>
          </w:tcPr>
          <w:p w14:paraId="6B436901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标段一：零星修缮</w:t>
            </w:r>
          </w:p>
        </w:tc>
      </w:tr>
      <w:tr w14:paraId="14F65E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0435BEAF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2</w:t>
            </w:r>
          </w:p>
        </w:tc>
        <w:tc>
          <w:tcPr>
            <w:tcW w:w="1200" w:type="dxa"/>
          </w:tcPr>
          <w:p w14:paraId="5EAD7E95"/>
        </w:tc>
        <w:tc>
          <w:tcPr>
            <w:tcW w:w="7795" w:type="dxa"/>
          </w:tcPr>
          <w:p w14:paraId="174B5DA1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一、工程内容</w:t>
            </w:r>
          </w:p>
        </w:tc>
      </w:tr>
      <w:tr w14:paraId="575C20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3213614F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3</w:t>
            </w:r>
          </w:p>
        </w:tc>
        <w:tc>
          <w:tcPr>
            <w:tcW w:w="1200" w:type="dxa"/>
          </w:tcPr>
          <w:p w14:paraId="3B60C4CE"/>
        </w:tc>
        <w:tc>
          <w:tcPr>
            <w:tcW w:w="7795" w:type="dxa"/>
          </w:tcPr>
          <w:p w14:paraId="67913E23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1. 院内零星修缮，包括建筑、装饰装修、园林绿化、市政土建、电气、给排水、采暖工程等工作内容。</w:t>
            </w:r>
          </w:p>
        </w:tc>
      </w:tr>
      <w:tr w14:paraId="004DCB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0235A1D7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4</w:t>
            </w:r>
          </w:p>
        </w:tc>
        <w:tc>
          <w:tcPr>
            <w:tcW w:w="1200" w:type="dxa"/>
          </w:tcPr>
          <w:p w14:paraId="3137B47A"/>
        </w:tc>
        <w:tc>
          <w:tcPr>
            <w:tcW w:w="7795" w:type="dxa"/>
          </w:tcPr>
          <w:p w14:paraId="715EEE73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二、工程量清单和计价依据</w:t>
            </w:r>
          </w:p>
        </w:tc>
      </w:tr>
      <w:tr w14:paraId="3E5E6F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33355C70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5</w:t>
            </w:r>
          </w:p>
        </w:tc>
        <w:tc>
          <w:tcPr>
            <w:tcW w:w="1200" w:type="dxa"/>
          </w:tcPr>
          <w:p w14:paraId="7CA234B4"/>
        </w:tc>
        <w:tc>
          <w:tcPr>
            <w:tcW w:w="7795" w:type="dxa"/>
          </w:tcPr>
          <w:p w14:paraId="327036DA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1、依照《陕西省住房和城乡建设厅关于印发2025陕西省建设工程费用规则等计价依据的通知（陕建管发〔2025〕10号）》及其附件要求制定工程量清单和计价依据。</w:t>
            </w:r>
          </w:p>
        </w:tc>
      </w:tr>
      <w:tr w14:paraId="2618C6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47BC9D35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6</w:t>
            </w:r>
          </w:p>
        </w:tc>
        <w:tc>
          <w:tcPr>
            <w:tcW w:w="1200" w:type="dxa"/>
          </w:tcPr>
          <w:p w14:paraId="2CFBB423"/>
        </w:tc>
        <w:tc>
          <w:tcPr>
            <w:tcW w:w="7795" w:type="dxa"/>
          </w:tcPr>
          <w:p w14:paraId="593CC8EA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2、材料价主要依据《陕西工程造价信息》材料信息价结合现行市场价。</w:t>
            </w:r>
          </w:p>
        </w:tc>
      </w:tr>
      <w:tr w14:paraId="641A22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469988F9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7</w:t>
            </w:r>
          </w:p>
        </w:tc>
        <w:tc>
          <w:tcPr>
            <w:tcW w:w="1200" w:type="dxa"/>
          </w:tcPr>
          <w:p w14:paraId="141952A1"/>
        </w:tc>
        <w:tc>
          <w:tcPr>
            <w:tcW w:w="7795" w:type="dxa"/>
          </w:tcPr>
          <w:p w14:paraId="63C3446E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3、与建设工程项目有关的标准、规范、技术资料等。</w:t>
            </w:r>
          </w:p>
        </w:tc>
      </w:tr>
      <w:tr w14:paraId="30F87E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39B2C156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8</w:t>
            </w:r>
          </w:p>
        </w:tc>
        <w:tc>
          <w:tcPr>
            <w:tcW w:w="1200" w:type="dxa"/>
          </w:tcPr>
          <w:p w14:paraId="5AFCECC4"/>
        </w:tc>
        <w:tc>
          <w:tcPr>
            <w:tcW w:w="7795" w:type="dxa"/>
          </w:tcPr>
          <w:p w14:paraId="0435EF2B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三、施工要求</w:t>
            </w:r>
          </w:p>
        </w:tc>
      </w:tr>
      <w:tr w14:paraId="2C4A0A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227E64F2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9</w:t>
            </w:r>
          </w:p>
        </w:tc>
        <w:tc>
          <w:tcPr>
            <w:tcW w:w="1200" w:type="dxa"/>
          </w:tcPr>
          <w:p w14:paraId="1EC38709"/>
        </w:tc>
        <w:tc>
          <w:tcPr>
            <w:tcW w:w="7795" w:type="dxa"/>
          </w:tcPr>
          <w:p w14:paraId="1CCA1A7E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1、最终价格依照审计结果*（1-投标下浮率）进行支付。</w:t>
            </w:r>
          </w:p>
        </w:tc>
      </w:tr>
      <w:tr w14:paraId="49C5C8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201003DF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10</w:t>
            </w:r>
          </w:p>
        </w:tc>
        <w:tc>
          <w:tcPr>
            <w:tcW w:w="1200" w:type="dxa"/>
          </w:tcPr>
          <w:p w14:paraId="35F2540D"/>
        </w:tc>
        <w:tc>
          <w:tcPr>
            <w:tcW w:w="7795" w:type="dxa"/>
          </w:tcPr>
          <w:p w14:paraId="0D8447A4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2、抢修应急类项目，中标人必须在30分钟内到达现场开始抢修及时采取办法处理完毕，并在8小时内修复。</w:t>
            </w:r>
          </w:p>
        </w:tc>
      </w:tr>
      <w:tr w14:paraId="4AA210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1AE48808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11</w:t>
            </w:r>
          </w:p>
        </w:tc>
        <w:tc>
          <w:tcPr>
            <w:tcW w:w="1200" w:type="dxa"/>
          </w:tcPr>
          <w:p w14:paraId="3CCCB267"/>
        </w:tc>
        <w:tc>
          <w:tcPr>
            <w:tcW w:w="7795" w:type="dxa"/>
          </w:tcPr>
          <w:p w14:paraId="628FD8D4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3、节假日中标人需在采购人派驻≥1名现场负责人（8小时制），日常安排专人供采购人调动使用，发生突发事件时，提供≥2人供采购人调动使用。</w:t>
            </w:r>
          </w:p>
        </w:tc>
      </w:tr>
      <w:tr w14:paraId="5F4B1C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2CF75D5B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12</w:t>
            </w:r>
          </w:p>
        </w:tc>
        <w:tc>
          <w:tcPr>
            <w:tcW w:w="1200" w:type="dxa"/>
          </w:tcPr>
          <w:p w14:paraId="57F7F502"/>
        </w:tc>
        <w:tc>
          <w:tcPr>
            <w:tcW w:w="7795" w:type="dxa"/>
          </w:tcPr>
          <w:p w14:paraId="67721E93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4、小型修缮工程项目（预算≤5万元），应在3天内提交修缮方案（含具体做法，必要项目提供设计图）和编制的工程预算。较大修缮工程项目（预算＞5万元），应在5天内提交修缮方案（含具体做法、设计图、效果图）和编制的工程预算。获批准后才能施工，不得以任何理由推诿、拖延。</w:t>
            </w:r>
          </w:p>
        </w:tc>
      </w:tr>
      <w:tr w14:paraId="6AAA45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5AF11E43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13</w:t>
            </w:r>
          </w:p>
        </w:tc>
        <w:tc>
          <w:tcPr>
            <w:tcW w:w="1200" w:type="dxa"/>
          </w:tcPr>
          <w:p w14:paraId="3694349B"/>
        </w:tc>
        <w:tc>
          <w:tcPr>
            <w:tcW w:w="7795" w:type="dxa"/>
          </w:tcPr>
          <w:p w14:paraId="486BEB16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5、协助配合采购人做好修缮工程的解决办法、施工方案、设计图、效果图、工程造价等工作，不计费用。</w:t>
            </w:r>
          </w:p>
        </w:tc>
      </w:tr>
      <w:tr w14:paraId="041BB8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3EB8C246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14</w:t>
            </w:r>
          </w:p>
        </w:tc>
        <w:tc>
          <w:tcPr>
            <w:tcW w:w="1200" w:type="dxa"/>
          </w:tcPr>
          <w:p w14:paraId="2505EE50"/>
        </w:tc>
        <w:tc>
          <w:tcPr>
            <w:tcW w:w="7795" w:type="dxa"/>
          </w:tcPr>
          <w:p w14:paraId="4D2EFCDF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6、严格按照采购人的指令要求进行施工，做好施工前、施工过程和施工后的照片记录，按要求做好验收、工程量签证，提交工程量清单，及时编制并提交工程结算。</w:t>
            </w:r>
          </w:p>
        </w:tc>
      </w:tr>
      <w:tr w14:paraId="6487E2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7CCA943C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15</w:t>
            </w:r>
          </w:p>
        </w:tc>
        <w:tc>
          <w:tcPr>
            <w:tcW w:w="1200" w:type="dxa"/>
          </w:tcPr>
          <w:p w14:paraId="7957CEF5"/>
        </w:tc>
        <w:tc>
          <w:tcPr>
            <w:tcW w:w="7795" w:type="dxa"/>
          </w:tcPr>
          <w:p w14:paraId="41FBEFEC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7、中标单位应为现场施工人员需自行购买保险，相关用工风险、法律责任等由中标单位自行承担，施工过程要做好工程范围的安全防护措施，发生一切安全事故均由施工单位负责，院方不承担任何责任。</w:t>
            </w:r>
          </w:p>
        </w:tc>
      </w:tr>
      <w:tr w14:paraId="2F18C5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5E126107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16</w:t>
            </w:r>
          </w:p>
        </w:tc>
        <w:tc>
          <w:tcPr>
            <w:tcW w:w="1200" w:type="dxa"/>
          </w:tcPr>
          <w:p w14:paraId="7DF7600E"/>
        </w:tc>
        <w:tc>
          <w:tcPr>
            <w:tcW w:w="7795" w:type="dxa"/>
          </w:tcPr>
          <w:p w14:paraId="09D96EED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8、中标人使用的装饰材料需达到国家绿色环保标准，附相关证明材料（合格证、检测报告等）。</w:t>
            </w:r>
          </w:p>
        </w:tc>
      </w:tr>
      <w:tr w14:paraId="0E9C90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1FE2D422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17</w:t>
            </w:r>
          </w:p>
        </w:tc>
        <w:tc>
          <w:tcPr>
            <w:tcW w:w="1200" w:type="dxa"/>
          </w:tcPr>
          <w:p w14:paraId="54C87B0A"/>
        </w:tc>
        <w:tc>
          <w:tcPr>
            <w:tcW w:w="7795" w:type="dxa"/>
          </w:tcPr>
          <w:p w14:paraId="5C299222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9、施工拆除所产生的垃圾由施工方及时进行外运清理，此类垃圾不包含固定资产。</w:t>
            </w:r>
          </w:p>
        </w:tc>
      </w:tr>
      <w:tr w14:paraId="5DF869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 w14:paraId="623B95B9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18</w:t>
            </w:r>
          </w:p>
        </w:tc>
        <w:tc>
          <w:tcPr>
            <w:tcW w:w="1200" w:type="dxa"/>
          </w:tcPr>
          <w:p w14:paraId="0E14B667"/>
        </w:tc>
        <w:tc>
          <w:tcPr>
            <w:tcW w:w="7795" w:type="dxa"/>
          </w:tcPr>
          <w:p w14:paraId="0B11B9BD">
            <w:pPr>
              <w:pStyle w:val="4"/>
            </w:pPr>
            <w:r>
              <w:rPr>
                <w:rFonts w:ascii="仿宋_GB2312" w:hAnsi="仿宋_GB2312" w:eastAsia="仿宋_GB2312" w:cs="仿宋_GB2312"/>
              </w:rPr>
              <w:t>10、凡需要列入固定资产的，须开具货物类发票（税务系统清单式发票），否则无法付款，造成的法律与经济责任由中标人负责。（注：固定资产是指使用年限超过1年(不含1年)、单位价值在1000元及以上(其中：专业设备单位价值在1500元及以上),并在使用过程中基本保持原有物质形态的资产，包括房屋和构筑物、设备、图书和档案、家具和用具等。单位价值虽未达到规定标准，但是使用年限超过1年(不含1年)的大批同类物资，如图书、家具、用具、装具等，也视为固定资产）。</w:t>
            </w:r>
          </w:p>
        </w:tc>
      </w:tr>
    </w:tbl>
    <w:p w14:paraId="277AE6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DA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2026-05-25T05:53:28Z</dcterms:created>
  <dc:creator>Administrator</dc:creator>
  <cp:lastModifiedBy>周乐</cp:lastModifiedBy>
  <dcterms:modified xsi:type="dcterms:W3CDTF">2026-05-25T05:53:36Z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1E46934110C746CBB5D243C4ED27F8AA_12</vt:lpwstr>
  </property>
</Properties>
</file>