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版本号：SCZD2026-CS-1159-00120260525004</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零星修缮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SCZD2026-CS-1159-001</w:t>
      </w:r>
      <w:r>
        <w:br/>
      </w:r>
      <w:r>
        <w:br/>
      </w:r>
      <w:r>
        <w:br/>
      </w:r>
    </w:p>
    <w:p>
      <w:pPr>
        <w:pStyle w:val="null3"/>
        <w:jc w:val="center"/>
        <w:outlineLvl w:val="2"/>
      </w:pPr>
      <w:r>
        <w:rPr>
          <w:rFonts w:ascii="仿宋_GB2312" w:hAnsi="仿宋_GB2312" w:cs="仿宋_GB2312" w:eastAsia="仿宋_GB2312"/>
          <w:sz w:val="28"/>
          <w:b/>
        </w:rPr>
        <w:t>西安市人民医院（西安市第四医院）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西安市人民医院（西安市第四医院）</w:t>
      </w:r>
      <w:r>
        <w:rPr>
          <w:rFonts w:ascii="仿宋_GB2312" w:hAnsi="仿宋_GB2312" w:cs="仿宋_GB2312" w:eastAsia="仿宋_GB2312"/>
        </w:rPr>
        <w:t>委托，拟对</w:t>
      </w:r>
      <w:r>
        <w:rPr>
          <w:rFonts w:ascii="仿宋_GB2312" w:hAnsi="仿宋_GB2312" w:cs="仿宋_GB2312" w:eastAsia="仿宋_GB2312"/>
        </w:rPr>
        <w:t>零星修缮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SCZD2026-CS-1159-001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零星修缮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西安市人民医院（西安市第四医院）各处基础设施均已投入使用多年，现逐步已出现设备老化损坏等现象，现拟根据实际情况及实际需求逐步对各基础设施实施维修更新，或在使用中出现的损坏进行维修。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采购包1（零星修缮）：属于专门面向中小企业采购。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供应商在递交响应文件截止时间前被“信用中国”网站（www.creditchina.gov.cn）和中国政府采购网（www.ccgp.gov.cn）上被列入失信被执行人、重大税收违法失信主体、政府采购严重违法失信行为信息记录名单的，不得参加磋商。</w:t>
      </w:r>
    </w:p>
    <w:p>
      <w:pPr>
        <w:pStyle w:val="null3"/>
      </w:pPr>
      <w:r>
        <w:rPr>
          <w:rFonts w:ascii="仿宋_GB2312" w:hAnsi="仿宋_GB2312" w:cs="仿宋_GB2312" w:eastAsia="仿宋_GB2312"/>
        </w:rPr>
        <w:t>2、法定代表人/单位负责人身份证明书、授权委托书及授权代表在本单位缴纳养老保险证明：（1）法定代表人或单位负责人参加磋商的，应提供法定代表人或单位负责人身份证明； （2）授权代表参加磋商的，应提供法定代表人或单位负责人身份证明、授权委托书及授权代表在本单位近一年内任意一个月缴纳养老保险证明。</w:t>
      </w:r>
    </w:p>
    <w:p>
      <w:pPr>
        <w:pStyle w:val="null3"/>
      </w:pPr>
      <w:r>
        <w:rPr>
          <w:rFonts w:ascii="仿宋_GB2312" w:hAnsi="仿宋_GB2312" w:cs="仿宋_GB2312" w:eastAsia="仿宋_GB2312"/>
        </w:rPr>
        <w:t>3、供应商须具备建筑工程施工总承包三级及以上或建筑装修装饰工程专业承包二级及以上，并具备合法有效的安全生产许可证：供应商须具备建筑工程施工总承包三级及以上或建筑装修装饰工程专业承包二级及以上，并具备合法有效的安全生产许可证。</w:t>
      </w:r>
    </w:p>
    <w:p>
      <w:pPr>
        <w:pStyle w:val="null3"/>
      </w:pPr>
      <w:r>
        <w:rPr>
          <w:rFonts w:ascii="仿宋_GB2312" w:hAnsi="仿宋_GB2312" w:cs="仿宋_GB2312" w:eastAsia="仿宋_GB2312"/>
        </w:rPr>
        <w:t>4、拟派项目经理须具有建筑工程专业二级及以上注册建造师证书和有效的安全生产考核证书（B证）且无在建工程、无不良记录（提供无在建工程、无不良记录承诺书）：拟派项目经理须具有建筑工程专业二级及以上注册建造师证书和有效的安全生产考核证书（B证）且无在建工程、无不良记录（提供无在建工程、无不良记录承诺书）。</w:t>
      </w:r>
    </w:p>
    <w:p>
      <w:pPr>
        <w:pStyle w:val="null3"/>
      </w:pPr>
      <w:r>
        <w:rPr>
          <w:rFonts w:ascii="仿宋_GB2312" w:hAnsi="仿宋_GB2312" w:cs="仿宋_GB2312" w:eastAsia="仿宋_GB2312"/>
        </w:rPr>
        <w:t>5、供应商基本信息及拟派项目经理基本信息：供应商基本信息及拟派项目经理(建造师)的基本信息在“陕西省住房和城乡建设厅网站(http://js.shaanxi.gov.cn/)”可查询。</w:t>
      </w:r>
    </w:p>
    <w:p>
      <w:pPr>
        <w:pStyle w:val="null3"/>
      </w:pPr>
      <w:r>
        <w:rPr>
          <w:rFonts w:ascii="仿宋_GB2312" w:hAnsi="仿宋_GB2312" w:cs="仿宋_GB2312" w:eastAsia="仿宋_GB2312"/>
        </w:rPr>
        <w:t>6、已向采购代理机构获取采购文件：需向采购代理机构在项目电子化交易系统获取采购文件，未向采购代理机构获取采购文件的供应商均无资格参加磋商。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西安市人民医院（西安市第四医院）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西安市长安区航天新城航天东路155号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029-61220012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周乐、罗琳、雷鹏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15009283469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代理服务费收费标准：参照原国家计委计价格〔2002〕1980号文和国家发改委发改办价格〔2003〕857号文的计算方法按标准下浮25%收取。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踏勘时间：2026-06-03 09:00:00</w:t>
            </w:r>
          </w:p>
          <w:p>
            <w:pPr>
              <w:pStyle w:val="null3"/>
              <w:ind w:firstLine="975"/>
            </w:pPr>
            <w:r>
              <w:rPr>
                <w:rFonts w:ascii="仿宋_GB2312" w:hAnsi="仿宋_GB2312" w:cs="仿宋_GB2312" w:eastAsia="仿宋_GB2312"/>
              </w:rPr>
              <w:t>踏勘地点：2026年06月03日09:00大差市院区门诊门口树下集合，2026年06月03日11:00航天院区门诊门口集合,各参与踏勘的供应商踏勘现场需携带授权人授权委托书。</w:t>
            </w:r>
          </w:p>
          <w:p>
            <w:pPr>
              <w:pStyle w:val="null3"/>
              <w:ind w:firstLine="975"/>
            </w:pPr>
            <w:r>
              <w:rPr>
                <w:rFonts w:ascii="仿宋_GB2312" w:hAnsi="仿宋_GB2312" w:cs="仿宋_GB2312" w:eastAsia="仿宋_GB2312"/>
              </w:rPr>
              <w:t>联系人：周乐</w:t>
            </w:r>
          </w:p>
          <w:p>
            <w:pPr>
              <w:pStyle w:val="null3"/>
              <w:ind w:firstLine="975"/>
            </w:pPr>
            <w:r>
              <w:rPr>
                <w:rFonts w:ascii="仿宋_GB2312" w:hAnsi="仿宋_GB2312" w:cs="仿宋_GB2312" w:eastAsia="仿宋_GB2312"/>
              </w:rPr>
              <w:t>联系电话号码：15009283469</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西安市人民医院（西安市第四医院）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西安市人民医院（西安市第四医院）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西安市人民医院（西安市第四医院）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2,000,000.00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零星修缮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2,000,000.00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标的名称：零星修缮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标段一：零星修缮</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一、工程内容</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1. 院内零星修缮，包括建筑、装饰装修、园林绿化、市政土建、电气、给排水、采暖工程等工作内容。</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二、工程量清单和计价依据</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1、依照《陕西省住房和城乡建设厅关于印发2025陕西省建设工程费用规则等计价依据的通知（陕建管发〔2025〕10号）》及其附件要求制定工程量清单和计价依据。</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2、材料价主要依据《陕西工程造价信息》材料信息价结合现行市场价。</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3、与建设工程项目有关的标准、规范、技术资料等。</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三、施工要求</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1、最终价格依照审计结果*（1-投标下浮率）进行支付。</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2、抢修应急类项目，中标人必须在30分钟内到达现场开始抢修及时采取办法处理完毕，并在8小时内修复。</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3、节假日中标人需在采购人派驻≥1名现场负责人（8小时制），日常安排专人供采购人调动使用，发生突发事件时，提供≥2人供采购人调动使用。</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4、小型修缮工程项目（预算≤5万元），应在3天内提交修缮方案（含具体做法，必要项目提供设计图）和编制的工程预算。较大修缮工程项目（预算＞5万元），应在5天内提交修缮方案（含具体做法、设计图、效果图）和编制的工程预算。获批准后才能施工，不得以任何理由推诿、拖延。</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5、协助配合采购人做好修缮工程的解决办法、施工方案、设计图、效果图、工程造价等工作，不计费用。</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6、严格按照采购人的指令要求进行施工，做好施工前、施工过程和施工后的照片记录，按要求做好验收、工程量签证，提交工程量清单，及时编制并提交工程结算。</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7、中标单位应为现场施工人员需自行购买保险，相关用工风险、法律责任等由中标单位自行承担，施工过程要做好工程范围的安全防护措施，发生一切安全事故均由施工单位负责，院方不承担任何责任。</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8、中标人使用的装饰材料需达到国家绿色环保标准，附相关证明材料（合格证、检测报告等）。</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9、施工拆除所产生的垃圾由施工方及时进行外运清理，此类垃圾不包含固定资产。</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10、凡需要列入固定资产的，须开具货物类发票（税务系统清单式发票），否则无法付款，造成的法律与经济责任由中标人负责。（注：固定资产是指使用年限超过1年(不含1年)、单位价值在1000元及以上(其中：专业设备单位价值在1500元及以上),并在使用过程中基本保持原有物质形态的资产，包括房屋和构筑物、设备、图书和档案、家具和用具等。单位价值虽未达到规定标准，但是使用年限超过1年(不含1年)的大批同类物资，如图书、家具、用具、装具等，也视为固定资产）。</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在施工期间，中标供应商必须遵守医院各项规章制度，加强安全措施，并对施工人员进行安全教育。为确保施工安全，在施工过程中对施工区域要进行必要的围挡。及时清理施工中产生的建筑垃圾，保证医院环境卫生。</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1、本项目报价是优惠率，工程量清单由中标供应商在项目实施过程中编制，因此响应文件中的工程量清单不需要响应。2、本项目报价函和分项报价表中的报价金额填写200万元。</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（1）供应商是企业（包括合伙企业）的，应提供其在市场监督管理部门注册的有效“营业执照 ”的复印件； （2）供应商是事业单位的，应提供其有效的“事业单位法人证书”复印件； （3）供应商是非企业专业服务机构的，应提供其有效的“执业许可证”复印件； （4）供应商是民办非企业单位的，应提供其有效的登记证书复印件； （5）供应商是个体工商户的，应提供其有效的“营业执照”复印件； （6）供应商是自然人的，应提供其有效的自然人身份证明复印件。 2.依法缴纳税收的相关材料 （1）供应商应提供投标截止时间前近六个月中任何一个月缴税凭证，时间以税款所属时期为准（银行出具的缴税凭证或税务机关出具的证明的复印件，并加盖本单位公章）。 （2）缴纳凭证复印件须清晰可辨，并能显示出供应商名称和所缴纳税种种类，单位代扣代缴的个人所得税不能作为单位纳税的凭证。 （3）依法免税或无须缴纳税收的供应商，应提供相应文件证明。 3.依法缴纳社会保障资金的相关材料 （1）供应商应提供响应截止时间前近六个月中至少一个月的缴纳社会保险的凭据（专用收据或社会保险缴纳清单），并加盖本单位公章。 （2）凭证复印件须清晰可辨，并能显示出供应商名称和所缴纳的社保的种类。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（1）提供2024或2025年度经审计的财务报告，应满足以下要求：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①资信证明须为递交响应文件截止时间前三个月内由供应商基本账户开户银行出具。 ②无论开具银行是否标明“复印无效”，供应商提供的复印件在本次投标中予以认可（即不因“复印无效”字样而认定资信证明复印件无效）。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上被列入失信被执行人、重大税收违法失信主体、政府采购严重违法失信行为信息记录名单的，不得参加磋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法定代表人/单位负责人身份证明书、授权委托书及授权代表在本单位缴纳养老保险证明</w:t>
            </w:r>
          </w:p>
        </w:tc>
        <w:tc>
          <w:tcPr>
            <w:tcW w:type="dxa" w:w="3322"/>
          </w:tcPr>
          <w:p>
            <w:pPr>
              <w:pStyle w:val="null3"/>
            </w:pPr>
            <w:r>
              <w:rPr>
                <w:rFonts w:ascii="仿宋_GB2312" w:hAnsi="仿宋_GB2312" w:cs="仿宋_GB2312" w:eastAsia="仿宋_GB2312"/>
              </w:rPr>
              <w:t>（1）法定代表人或单位负责人参加磋商的，应提供法定代表人或单位负责人身份证明； （2）授权代表参加磋商的，应提供法定代表人或单位负责人身份证明、授权委托书及授权代表在本单位近一年内任意一个月缴纳养老保险证明。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供应商须具备建筑工程施工总承包三级及以上或建筑装修装饰工程专业承包二级及以上，并具备合法有效的安全生产许可证</w:t>
            </w:r>
          </w:p>
        </w:tc>
        <w:tc>
          <w:tcPr>
            <w:tcW w:type="dxa" w:w="3322"/>
          </w:tcPr>
          <w:p>
            <w:pPr>
              <w:pStyle w:val="null3"/>
            </w:pPr>
            <w:r>
              <w:rPr>
                <w:rFonts w:ascii="仿宋_GB2312" w:hAnsi="仿宋_GB2312" w:cs="仿宋_GB2312" w:eastAsia="仿宋_GB2312"/>
              </w:rPr>
              <w:t>供应商须具备建筑工程施工总承包三级及以上或建筑装修装饰工程专业承包二级及以上，并具备合法有效的安全生产许可证。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拟派项目经理须具有建筑工程专业二级及以上注册建造师证书和有效的安全生产考核证书（B证）且无在建工程、无不良记录（提供无在建工程、无不良记录承诺书）</w:t>
            </w:r>
          </w:p>
        </w:tc>
        <w:tc>
          <w:tcPr>
            <w:tcW w:type="dxa" w:w="3322"/>
          </w:tcPr>
          <w:p>
            <w:pPr>
              <w:pStyle w:val="null3"/>
            </w:pPr>
            <w:r>
              <w:rPr>
                <w:rFonts w:ascii="仿宋_GB2312" w:hAnsi="仿宋_GB2312" w:cs="仿宋_GB2312" w:eastAsia="仿宋_GB2312"/>
              </w:rPr>
              <w:t>拟派项目经理须具有建筑工程专业二级及以上注册建造师证书和有效的安全生产考核证书（B证）且无在建工程、无不良记录（提供无在建工程、无不良记录承诺书）。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供应商基本信息及拟派项目经理基本信息</w:t>
            </w:r>
          </w:p>
        </w:tc>
        <w:tc>
          <w:tcPr>
            <w:tcW w:type="dxa" w:w="3322"/>
          </w:tcPr>
          <w:p>
            <w:pPr>
              <w:pStyle w:val="null3"/>
            </w:pPr>
            <w:r>
              <w:rPr>
                <w:rFonts w:ascii="仿宋_GB2312" w:hAnsi="仿宋_GB2312" w:cs="仿宋_GB2312" w:eastAsia="仿宋_GB2312"/>
              </w:rPr>
              <w:t>供应商基本信息及拟派项目经理(建造师)的基本信息在“陕西省住房和城乡建设厅网站(http://js.shaanxi.gov.cn/)”可查询。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已向采购代理机构获取采购文件</w:t>
            </w:r>
          </w:p>
        </w:tc>
        <w:tc>
          <w:tcPr>
            <w:tcW w:type="dxa" w:w="3322"/>
          </w:tcPr>
          <w:p>
            <w:pPr>
              <w:pStyle w:val="null3"/>
            </w:pPr>
            <w:r>
              <w:rPr>
                <w:rFonts w:ascii="仿宋_GB2312" w:hAnsi="仿宋_GB2312" w:cs="仿宋_GB2312" w:eastAsia="仿宋_GB2312"/>
              </w:rPr>
              <w:t>需向采购代理机构在项目电子化交易系统获取采购文件，未向采购代理机构获取采购文件的供应商均无资格参加磋商。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报价（优惠率）唯一，且报价函中的总报价为200万元，分项报价表中的单价和总价均为200万元</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业绩.docx 已标价工程量清单 报价函 偏离表.docx 标的清单 响应函 供应商承诺书.docx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满足磋商文件承诺书格式要求</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响应内容不存在漏项或数量与要求不符合竞争性磋商文件规定情形，响应内容满足竞争性磋商文件的技术实质性要求，不存在采购档次降低或影响采购性能、功能的情形。</w:t>
            </w:r>
          </w:p>
        </w:tc>
        <w:tc>
          <w:tcPr>
            <w:tcW w:type="dxa" w:w="1661"/>
          </w:tcPr>
          <w:p>
            <w:pPr>
              <w:pStyle w:val="null3"/>
            </w:pPr>
            <w:r>
              <w:rPr>
                <w:rFonts w:ascii="仿宋_GB2312" w:hAnsi="仿宋_GB2312" w:cs="仿宋_GB2312" w:eastAsia="仿宋_GB2312"/>
              </w:rPr>
              <w:t>实施方案.docx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项目部组成方案</w:t>
            </w:r>
          </w:p>
        </w:tc>
        <w:tc>
          <w:tcPr>
            <w:tcW w:type="dxa" w:w="2492"/>
          </w:tcPr>
          <w:p>
            <w:pPr>
              <w:pStyle w:val="null3"/>
            </w:pPr>
            <w:r>
              <w:rPr>
                <w:rFonts w:ascii="仿宋_GB2312" w:hAnsi="仿宋_GB2312" w:cs="仿宋_GB2312" w:eastAsia="仿宋_GB2312"/>
              </w:rPr>
              <w:t>一、评审内容：根据供应商针对本项目编写的项目部组成方案：包含但不限于①人员组织架构②分配计划③人员岗前职责④人员名单及相关证书（包含但不限于身份证、资格证）等进行计分： 二、评审标准： 项目部组成方案科学合理、人员表配置充足，有详细的人员配置清单，针对性强，能够很好的满足项目需求，得10分；项目部组成方案基本合理、人员表配置基本齐全，具有人员配置清单，有一定的针对性，能够满足项目需求，得8分；提供项目部组成方案情况，配置基本合理但组成不全面得6分；项目部组成人员缺乏科学合理性，无人员配置清单，无法满足项目需求，得4分； 项目部组成内容简单笼统得2分。未提供项目部组成不得0分。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整体施工方案</w:t>
            </w:r>
          </w:p>
        </w:tc>
        <w:tc>
          <w:tcPr>
            <w:tcW w:type="dxa" w:w="2492"/>
          </w:tcPr>
          <w:p>
            <w:pPr>
              <w:pStyle w:val="null3"/>
            </w:pPr>
            <w:r>
              <w:rPr>
                <w:rFonts w:ascii="仿宋_GB2312" w:hAnsi="仿宋_GB2312" w:cs="仿宋_GB2312" w:eastAsia="仿宋_GB2312"/>
              </w:rPr>
              <w:t>一、评审内容：根据供应商针对本项目编写的整体施工方案：包含但不限于①服务管理流程及组织架构描述②操作规程描述③施工部署、技术重点、难点描述④维修维护方案等进行计分： 二、评审标准： 整体施工方案专门针对本项目编制，符合项目实际情况及实施要求，内容详尽且涵盖角度全面，合理性和可行性强，能够保障项目顺利实施的，得10分; 整体施工方案能够针对本项目编制，符合项目实际情况及实施要求，内容详尽且涵盖角度基本全面，有一定的合理性和可行性的，得8分; 方案基本能够针对本项目编制，基本符合项目实际情况及实施要求，内容较宽泛，涵盖角度不够全面，内容基本合理可行的，得6分; 具有方案内容但内容未贴合本项目，内容涵盖角度不够全面且实施有难度的，得4分; 具有方案内容但内容未针对本项目，内容空洞宽泛，基本不具有可实施性，得2分;未提供方案内容得0分。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安全生产、文明施工技术组织措施</w:t>
            </w:r>
          </w:p>
        </w:tc>
        <w:tc>
          <w:tcPr>
            <w:tcW w:type="dxa" w:w="2492"/>
          </w:tcPr>
          <w:p>
            <w:pPr>
              <w:pStyle w:val="null3"/>
            </w:pPr>
            <w:r>
              <w:rPr>
                <w:rFonts w:ascii="仿宋_GB2312" w:hAnsi="仿宋_GB2312" w:cs="仿宋_GB2312" w:eastAsia="仿宋_GB2312"/>
              </w:rPr>
              <w:t>一、评审内容：根据供应商针对本项目编写的安全生产、文明施工技术组织措施：包含但不限于①安全生产组织方案②环境保护措施③文明施工的技术组织措施④季节性施工安全措施⑤安全管理制度等进行计分： 二、评审标准： 措施内容专门针对本项目编制，符合项目实际情况及实施要求，内容详尽且涵盖角度全面，合理性和可行性强，能够保障项目顺利实施的，得10分; 措施内容能够针对本项目编制，符合项目实际情况及实施要求，内容详尽且涵盖角度基本全面，有一定的合理性和可行性的，得8分; 措施内容基本能够针对本项目编制，基本符合项目实际情况及实施要求，内容较详细，涵盖角度较全面，基本合理可行的，得6分; 具有措施内容但措施内容未贴合本项目，措施内容涵盖角度不全面且实施有难度的，得4分; 具有措施内容但内容未针对本项目，内容空洞宽泛，可实施性不强，得2分;未提供措施内容得0分。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施工机械及材料方案</w:t>
            </w:r>
          </w:p>
        </w:tc>
        <w:tc>
          <w:tcPr>
            <w:tcW w:type="dxa" w:w="2492"/>
          </w:tcPr>
          <w:p>
            <w:pPr>
              <w:pStyle w:val="null3"/>
            </w:pPr>
            <w:r>
              <w:rPr>
                <w:rFonts w:ascii="仿宋_GB2312" w:hAnsi="仿宋_GB2312" w:cs="仿宋_GB2312" w:eastAsia="仿宋_GB2312"/>
              </w:rPr>
              <w:t>一、评审内容：根据供应商针对本项目编写的施工机械及材料方案：包含但不限于①施工机械方案②拟用材料明细③到场离场计划④质量控制措施⑤安全管理等进行计分： 二、评审标准： 投入计划专门针对本项目编制，符合项目实际情况及实施要求，内容详尽且涵盖角度全面，合理性和可行性强，能够保障项目顺利实施的，得5分; 投入计划基本针对本项目编制，符合项目实际情况及实施要求，内容详尽且涵盖角度基本全面，有一定的合理性和可行性的，得4分; 投入计划能够针对本项目编制，基本符合项目实际情况及实施要求，内容较详细，涵盖角度较全面但略有不完善，基本合理可行的，得3分;提供投入计划，但内容涵盖角度不够全面且实施具有一定难度，得2分; 投入计划内容简单笼统，实施难度大的，得1分;未提供投入计划内容得0分。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一、评审内容：根据供应商针对本项目编写的确保工期的技术组织措施：包含但不限于①接到委托后施工进度安排②工期及施工效率保证措施进行计分： 二、评审标准： 措施内容专门针对本项目编制，符合项目实际情况及实施要求，内容详尽且涵盖角度全面，合理性和可行性强，能够保障项目顺利实施的，得5分; 措施内容能够针对本项目编制，符合项目实际情况及实施要求，内容详尽且涵盖角度基本全面，有一定的合理性和可行性的，得4分; 措施内容基本能够针对本项目编制，基本符合项目实际情况及实施要求，内容较详细，涵盖角度较全面，基本合理可行的，得3分; 具有措施内容但措施内容未贴合本项目，措施内容涵盖角度不全面且实施有难度的，得2分; 具有措施内容但内容未针对本项目，内容空洞宽泛，可实施性不强，得1分;未提供措施内容得0分。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工程质量技术组织措施</w:t>
            </w:r>
          </w:p>
        </w:tc>
        <w:tc>
          <w:tcPr>
            <w:tcW w:type="dxa" w:w="2492"/>
          </w:tcPr>
          <w:p>
            <w:pPr>
              <w:pStyle w:val="null3"/>
            </w:pPr>
            <w:r>
              <w:rPr>
                <w:rFonts w:ascii="仿宋_GB2312" w:hAnsi="仿宋_GB2312" w:cs="仿宋_GB2312" w:eastAsia="仿宋_GB2312"/>
              </w:rPr>
              <w:t>一、评审内容：根据供应商针对本项目编写的工程质量技术组织措施：包含但不限于①保证质量，降低成本，防止环境污染措施②季节性施工质量保证措施等进行计分： 二、评审标准： 措施内容专门针对本项目编制，符合项目实际情况及实施要求，内容详尽且涵盖角度全面，合理性和可行性强，能够保障项目顺利实施的，得5分; 措施内容能够针对本项目编制，符合项目实际情况及实施要求，内容详尽且涵盖角度基本全面，有一定的合理性和可行性的，得4分; 措施内容基本能够针对本项目编制，基本符合项目实际情况及实施要求，内容较详细，涵盖角度较全面，基本合理可行的，得3分; 具有措施内容但措施内容未贴合本项目，措施内容涵盖角度不全面且实施有难度的，得2分; 具有措施内容但内容未针对本项目，内容空洞宽泛，可实施性不强，得1分;未提供措施内容得0分。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施工现场保护及扬尘污染防治措施措施</w:t>
            </w:r>
          </w:p>
        </w:tc>
        <w:tc>
          <w:tcPr>
            <w:tcW w:type="dxa" w:w="2492"/>
          </w:tcPr>
          <w:p>
            <w:pPr>
              <w:pStyle w:val="null3"/>
            </w:pPr>
            <w:r>
              <w:rPr>
                <w:rFonts w:ascii="仿宋_GB2312" w:hAnsi="仿宋_GB2312" w:cs="仿宋_GB2312" w:eastAsia="仿宋_GB2312"/>
              </w:rPr>
              <w:t>一、评审内容：根据供应商针对本项目编写的现场保护措施：①原有设施保护措施②已完工保护措施③扬尘污染防治措施措施等进行计分： 二、评审标准： 措施内容专门针对本项目编制，符合项目实际情况及实施要求，内容详尽且涵盖角度全面，合理性和可行性强，能够保障项目顺利实施的，得5分; 措施内容能够针对本项目编制，符合项目实际情况及实施要求，内容详尽且涵盖角度基本全面，有一定的合理性和可行性的，得4分; 措施内容基本能够针对本项目编制，基本符合项目实际情况及实施要求，内容较详细，涵盖角度较全面，基本合理可行的，得3分; 具有措施内容但措施内容未贴合本项目，措施内容涵盖角度不全面且实施有难度的，得2分; 具有措施内容但内容未针对本项目，内容空洞宽泛，可实施性不强，得1分;未提供措施内容得0分。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应用的技术、产品、工艺、材料等先进科学、可行性高得5分； 应用的技术、产品、工艺、材料等先进科学、可行性较高得4分； 应用的技术、产品、工艺、材料等科学性、可行性缺乏得3分； 应用的技术、产品、工艺、材料等科学性描述脱离实际得2分； 应用的技术、产品、工艺、材料等科学性不可行的得1分，未提供新技术、新产品、新工艺、新材料应用内容得0分。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一、评审内容：根据供应商针对本项目编写的突发事件应急预案：①安全事故应急预案②设施损坏预案③极端天气应急预案④医院重大活动应急预案等进行计分： 应急预案专门针对本项目编制，符合项目实际情况及实施要求，内容详尽且涵盖角度全面，合理性和可行性强，能够保障项目顺利实施的，得5分; 应急预案能够针对本项目编制，符合项目实际情况及实施要求，内容详尽且涵盖角度基本全面，有一定的合理性和可行性的，得4分; 预案基本能够针对本项目编制，基本符合项目实际情况及实施要求，内容较宽泛，涵盖角度不够全面，内容基本合理可行的，得3分; 具有方案内容但内容未贴合本项目，内容涵盖角度不够全面且实施有难度的，得2分; 具有方案内容但内容未针对本项目，内容空洞宽泛，基本不具有可实施性，得1分;未提供方案内容得0分。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供应商2023年4月1日至今类似项目业绩，每提供1份得2.5 分，最高得10分。 注：以供应商加盖公章的业绩合同或中标通知书复印件或扫描件为准，时间以合同签订时间或中标通知书日期为准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满足采购文件要求且有效响应文件的最后报价优惠率最高的为评审基准价，其价格分为满分。其他供应商的价格分统一按照下列公式计算：响应报价（优惠率）得分=（最后报价（优惠率）/评审基准价）×30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