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9D64FD">
      <w:pPr>
        <w:keepNext w:val="0"/>
        <w:keepLines w:val="0"/>
        <w:numPr>
          <w:ilvl w:val="0"/>
          <w:numId w:val="0"/>
        </w:numPr>
        <w:rPr>
          <w:rFonts w:hint="eastAsia" w:ascii="楷体" w:hAnsi="楷体" w:eastAsia="楷体" w:cs="楷体"/>
          <w:sz w:val="24"/>
          <w:szCs w:val="24"/>
        </w:rPr>
      </w:pPr>
      <w:r>
        <w:rPr>
          <w:rFonts w:hint="eastAsia" w:ascii="楷体" w:hAnsi="楷体" w:eastAsia="楷体" w:cs="楷体"/>
          <w:b/>
          <w:bCs/>
          <w:kern w:val="2"/>
          <w:sz w:val="24"/>
          <w:szCs w:val="24"/>
          <w:highlight w:val="none"/>
        </w:rPr>
        <w:t>1</w:t>
      </w:r>
      <w:r>
        <w:rPr>
          <w:rFonts w:hint="eastAsia" w:ascii="楷体" w:hAnsi="楷体" w:eastAsia="楷体" w:cs="楷体"/>
          <w:b/>
          <w:bCs/>
          <w:kern w:val="2"/>
          <w:sz w:val="24"/>
          <w:szCs w:val="24"/>
          <w:highlight w:val="none"/>
          <w:lang w:val="en-US" w:eastAsia="zh-CN"/>
        </w:rPr>
        <w:t>.</w:t>
      </w:r>
      <w:r>
        <w:rPr>
          <w:rFonts w:hint="eastAsia" w:ascii="楷体" w:hAnsi="楷体" w:eastAsia="楷体" w:cs="楷体"/>
          <w:b/>
          <w:bCs/>
          <w:kern w:val="2"/>
          <w:sz w:val="24"/>
          <w:szCs w:val="24"/>
          <w:highlight w:val="none"/>
        </w:rPr>
        <w:t>项目基本情况</w:t>
      </w:r>
    </w:p>
    <w:p w14:paraId="02C73F77">
      <w:pPr>
        <w:pStyle w:val="3"/>
        <w:numPr>
          <w:ilvl w:val="2"/>
          <w:numId w:val="0"/>
        </w:numPr>
        <w:tabs>
          <w:tab w:val="left" w:pos="0"/>
          <w:tab w:val="left" w:pos="420"/>
        </w:tabs>
        <w:ind w:leftChars="200"/>
        <w:jc w:val="both"/>
        <w:rPr>
          <w:rFonts w:hint="eastAsia" w:ascii="楷体" w:hAnsi="楷体" w:eastAsia="楷体" w:cs="楷体"/>
          <w:b w:val="0"/>
          <w:bCs w:val="0"/>
          <w:sz w:val="24"/>
          <w:szCs w:val="24"/>
          <w:highlight w:val="none"/>
          <w:u w:val="none"/>
        </w:rPr>
      </w:pPr>
      <w:r>
        <w:rPr>
          <w:rFonts w:hint="eastAsia" w:ascii="楷体" w:hAnsi="楷体" w:eastAsia="楷体" w:cs="楷体"/>
          <w:b w:val="0"/>
          <w:bCs w:val="0"/>
          <w:sz w:val="24"/>
          <w:szCs w:val="24"/>
          <w:highlight w:val="none"/>
          <w:u w:val="none"/>
        </w:rPr>
        <w:t>1.1物业</w:t>
      </w:r>
      <w:r>
        <w:rPr>
          <w:rFonts w:hint="eastAsia" w:ascii="楷体" w:hAnsi="楷体" w:eastAsia="楷体" w:cs="楷体"/>
          <w:b w:val="0"/>
          <w:bCs w:val="0"/>
          <w:sz w:val="24"/>
          <w:szCs w:val="24"/>
          <w:highlight w:val="none"/>
          <w:u w:val="none"/>
          <w:lang w:val="en-US" w:eastAsia="zh-CN"/>
        </w:rPr>
        <w:t>情况</w:t>
      </w:r>
    </w:p>
    <w:tbl>
      <w:tblPr>
        <w:tblStyle w:val="6"/>
        <w:tblW w:w="488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01"/>
        <w:gridCol w:w="4316"/>
      </w:tblGrid>
      <w:tr w14:paraId="63EE3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4002" w:type="dxa"/>
            <w:noWrap w:val="0"/>
            <w:vAlign w:val="center"/>
          </w:tcPr>
          <w:p w14:paraId="0DF4C52E">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sz w:val="24"/>
                <w:szCs w:val="24"/>
                <w:highlight w:val="none"/>
              </w:rPr>
              <w:t>物业名称</w:t>
            </w:r>
          </w:p>
        </w:tc>
        <w:tc>
          <w:tcPr>
            <w:tcW w:w="4317" w:type="dxa"/>
            <w:noWrap w:val="0"/>
            <w:vAlign w:val="center"/>
          </w:tcPr>
          <w:p w14:paraId="2201D981">
            <w:pPr>
              <w:pageBreakBefore w:val="0"/>
              <w:kinsoku/>
              <w:wordWrap/>
              <w:overflowPunct/>
              <w:topLinePunct w:val="0"/>
              <w:bidi w:val="0"/>
              <w:snapToGrid w:val="0"/>
              <w:spacing w:line="300" w:lineRule="auto"/>
              <w:rPr>
                <w:rFonts w:hint="eastAsia" w:ascii="楷体" w:hAnsi="楷体" w:eastAsia="楷体" w:cs="楷体"/>
                <w:sz w:val="24"/>
                <w:szCs w:val="24"/>
                <w:highlight w:val="none"/>
              </w:rPr>
            </w:pPr>
            <w:r>
              <w:rPr>
                <w:rFonts w:hint="eastAsia" w:ascii="楷体" w:hAnsi="楷体" w:eastAsia="楷体" w:cs="楷体"/>
                <w:sz w:val="24"/>
                <w:szCs w:val="24"/>
                <w:highlight w:val="none"/>
              </w:rPr>
              <w:t>物业地址</w:t>
            </w:r>
          </w:p>
        </w:tc>
      </w:tr>
      <w:tr w14:paraId="32800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002" w:type="dxa"/>
            <w:noWrap w:val="0"/>
            <w:vAlign w:val="center"/>
          </w:tcPr>
          <w:p w14:paraId="47103774">
            <w:pPr>
              <w:pageBreakBefore w:val="0"/>
              <w:kinsoku/>
              <w:wordWrap/>
              <w:overflowPunct/>
              <w:topLinePunct w:val="0"/>
              <w:bidi w:val="0"/>
              <w:snapToGrid w:val="0"/>
              <w:spacing w:line="30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神木市麟州街道办事处</w:t>
            </w:r>
          </w:p>
        </w:tc>
        <w:tc>
          <w:tcPr>
            <w:tcW w:w="4317" w:type="dxa"/>
            <w:noWrap w:val="0"/>
            <w:vAlign w:val="center"/>
          </w:tcPr>
          <w:p w14:paraId="3A928E88">
            <w:pPr>
              <w:pageBreakBefore w:val="0"/>
              <w:kinsoku/>
              <w:wordWrap/>
              <w:overflowPunct/>
              <w:topLinePunct w:val="0"/>
              <w:bidi w:val="0"/>
              <w:snapToGrid w:val="0"/>
              <w:spacing w:line="300" w:lineRule="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神木市东兴街中段 100 号及各社区</w:t>
            </w:r>
          </w:p>
        </w:tc>
      </w:tr>
    </w:tbl>
    <w:p w14:paraId="2575D638">
      <w:pPr>
        <w:pStyle w:val="2"/>
        <w:spacing w:line="240" w:lineRule="auto"/>
        <w:ind w:firstLine="480" w:firstLineChars="200"/>
        <w:rPr>
          <w:rFonts w:hint="eastAsia" w:ascii="楷体" w:hAnsi="楷体" w:eastAsia="楷体" w:cs="楷体"/>
          <w:b w:val="0"/>
          <w:bCs w:val="0"/>
          <w:color w:val="auto"/>
          <w:kern w:val="2"/>
          <w:sz w:val="24"/>
          <w:szCs w:val="24"/>
          <w:highlight w:val="none"/>
          <w:u w:val="none"/>
          <w:lang w:val="en-US" w:eastAsia="zh-CN" w:bidi="ar-SA"/>
        </w:rPr>
      </w:pPr>
    </w:p>
    <w:p w14:paraId="69ECFAE2">
      <w:pPr>
        <w:pStyle w:val="2"/>
        <w:spacing w:line="240" w:lineRule="auto"/>
        <w:ind w:firstLine="480" w:firstLineChars="200"/>
        <w:rPr>
          <w:rFonts w:hint="eastAsia" w:ascii="楷体" w:hAnsi="楷体" w:eastAsia="楷体" w:cs="楷体"/>
          <w:b w:val="0"/>
          <w:bCs w:val="0"/>
          <w:sz w:val="24"/>
          <w:szCs w:val="24"/>
          <w:highlight w:val="none"/>
          <w:lang w:val="en-US" w:eastAsia="zh-CN"/>
        </w:rPr>
      </w:pPr>
      <w:r>
        <w:rPr>
          <w:rFonts w:hint="eastAsia" w:ascii="楷体" w:hAnsi="楷体" w:eastAsia="楷体" w:cs="楷体"/>
          <w:b w:val="0"/>
          <w:bCs w:val="0"/>
          <w:color w:val="auto"/>
          <w:kern w:val="2"/>
          <w:sz w:val="24"/>
          <w:szCs w:val="24"/>
          <w:highlight w:val="none"/>
          <w:u w:val="none"/>
          <w:lang w:val="en-US" w:eastAsia="zh-CN" w:bidi="ar-SA"/>
        </w:rPr>
        <w:t>1.2</w:t>
      </w:r>
      <w:r>
        <w:rPr>
          <w:rFonts w:hint="eastAsia" w:ascii="楷体" w:hAnsi="楷体" w:eastAsia="楷体" w:cs="楷体"/>
          <w:b w:val="0"/>
          <w:bCs w:val="0"/>
          <w:sz w:val="24"/>
          <w:szCs w:val="24"/>
          <w:lang w:val="en-US" w:eastAsia="zh-CN"/>
        </w:rPr>
        <w:t>采购人提供员工宿舍、食堂（餐费供应商自理）、保洁用具、低值易耗品、维修材料；</w:t>
      </w:r>
      <w:r>
        <w:rPr>
          <w:rFonts w:hint="eastAsia" w:ascii="楷体" w:hAnsi="楷体" w:eastAsia="楷体" w:cs="楷体"/>
          <w:b w:val="0"/>
          <w:bCs w:val="0"/>
          <w:color w:val="auto"/>
          <w:kern w:val="2"/>
          <w:sz w:val="24"/>
          <w:szCs w:val="24"/>
          <w:highlight w:val="none"/>
          <w:u w:val="none"/>
          <w:lang w:val="en-US" w:eastAsia="zh-CN" w:bidi="ar-SA"/>
        </w:rPr>
        <w:t>采购人可提供的</w:t>
      </w:r>
      <w:r>
        <w:rPr>
          <w:rFonts w:hint="eastAsia" w:ascii="楷体" w:hAnsi="楷体" w:eastAsia="楷体" w:cs="楷体"/>
          <w:b w:val="0"/>
          <w:bCs w:val="0"/>
          <w:sz w:val="24"/>
          <w:szCs w:val="24"/>
          <w:lang w:val="en-US" w:eastAsia="zh-CN"/>
        </w:rPr>
        <w:t>易</w:t>
      </w:r>
      <w:r>
        <w:rPr>
          <w:rFonts w:hint="eastAsia" w:ascii="楷体" w:hAnsi="楷体" w:eastAsia="楷体" w:cs="楷体"/>
          <w:b w:val="0"/>
          <w:bCs w:val="0"/>
          <w:sz w:val="24"/>
          <w:szCs w:val="24"/>
          <w:highlight w:val="none"/>
          <w:lang w:val="en-US" w:eastAsia="zh-CN"/>
        </w:rPr>
        <w:t>耗品</w:t>
      </w:r>
      <w:r>
        <w:rPr>
          <w:rFonts w:hint="eastAsia" w:ascii="楷体" w:hAnsi="楷体" w:eastAsia="楷体" w:cs="楷体"/>
          <w:b w:val="0"/>
          <w:bCs w:val="0"/>
          <w:color w:val="auto"/>
          <w:kern w:val="2"/>
          <w:sz w:val="24"/>
          <w:szCs w:val="24"/>
          <w:highlight w:val="none"/>
          <w:u w:val="none"/>
          <w:lang w:val="en-US" w:eastAsia="zh-CN" w:bidi="ar-SA"/>
        </w:rPr>
        <w:t>（如厕纸、洗手液、擦手纸）</w:t>
      </w:r>
      <w:r>
        <w:rPr>
          <w:rFonts w:hint="eastAsia" w:ascii="楷体" w:hAnsi="楷体" w:eastAsia="楷体" w:cs="楷体"/>
          <w:b w:val="0"/>
          <w:bCs w:val="0"/>
          <w:color w:val="auto"/>
          <w:kern w:val="0"/>
          <w:sz w:val="24"/>
          <w:szCs w:val="24"/>
          <w:highlight w:val="none"/>
          <w:u w:val="none"/>
          <w:lang w:val="en-US" w:eastAsia="zh-CN" w:bidi="ar"/>
        </w:rPr>
        <w:t>。</w:t>
      </w:r>
    </w:p>
    <w:p w14:paraId="4DF7D893">
      <w:pPr>
        <w:pStyle w:val="2"/>
        <w:bidi w:val="0"/>
        <w:spacing w:line="240" w:lineRule="auto"/>
        <w:ind w:firstLine="241" w:firstLineChars="100"/>
        <w:rPr>
          <w:rFonts w:hint="eastAsia" w:ascii="楷体" w:hAnsi="楷体" w:eastAsia="楷体" w:cs="楷体"/>
          <w:sz w:val="24"/>
          <w:szCs w:val="24"/>
          <w:highlight w:val="none"/>
          <w:lang w:val="en-US" w:eastAsia="zh-CN"/>
        </w:rPr>
      </w:pPr>
    </w:p>
    <w:p w14:paraId="58E4DD84">
      <w:pPr>
        <w:pStyle w:val="2"/>
        <w:bidi w:val="0"/>
        <w:spacing w:line="240" w:lineRule="auto"/>
        <w:ind w:firstLine="241" w:firstLineChars="10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2.物业服务范围</w:t>
      </w:r>
    </w:p>
    <w:p w14:paraId="010B05C3">
      <w:pPr>
        <w:pStyle w:val="3"/>
        <w:numPr>
          <w:ilvl w:val="2"/>
          <w:numId w:val="0"/>
        </w:numPr>
        <w:tabs>
          <w:tab w:val="left" w:pos="0"/>
          <w:tab w:val="left" w:pos="420"/>
        </w:tabs>
        <w:ind w:leftChars="0"/>
        <w:rPr>
          <w:rFonts w:hint="eastAsia" w:ascii="楷体" w:hAnsi="楷体" w:eastAsia="楷体" w:cs="楷体"/>
          <w:sz w:val="24"/>
          <w:szCs w:val="24"/>
          <w:highlight w:val="none"/>
          <w:lang w:val="en-US" w:eastAsia="zh-CN"/>
        </w:rPr>
      </w:pPr>
      <w:r>
        <w:rPr>
          <w:rFonts w:hint="eastAsia"/>
          <w:sz w:val="24"/>
          <w:szCs w:val="24"/>
          <w:highlight w:val="none"/>
          <w:lang w:val="en-US" w:eastAsia="zh-CN"/>
        </w:rPr>
        <w:t>【物业名称1】</w:t>
      </w:r>
    </w:p>
    <w:p w14:paraId="6A606497">
      <w:pPr>
        <w:pageBreakBefore w:val="0"/>
        <w:kinsoku/>
        <w:wordWrap/>
        <w:overflowPunct/>
        <w:topLinePunct w:val="0"/>
        <w:bidi w:val="0"/>
        <w:snapToGrid w:val="0"/>
        <w:spacing w:line="300" w:lineRule="auto"/>
        <w:jc w:val="both"/>
        <w:rPr>
          <w:rFonts w:hint="eastAsia" w:ascii="楷体" w:hAnsi="楷体" w:eastAsia="楷体" w:cs="楷体"/>
          <w:b/>
          <w:bCs/>
          <w:color w:val="auto"/>
          <w:sz w:val="24"/>
          <w:szCs w:val="24"/>
          <w:highlight w:val="none"/>
        </w:rPr>
      </w:pPr>
    </w:p>
    <w:tbl>
      <w:tblPr>
        <w:tblStyle w:val="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43943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63" w:type="dxa"/>
            <w:gridSpan w:val="2"/>
            <w:noWrap w:val="0"/>
            <w:vAlign w:val="center"/>
          </w:tcPr>
          <w:p w14:paraId="084CA24D">
            <w:pPr>
              <w:pageBreakBefore w:val="0"/>
              <w:kinsoku/>
              <w:wordWrap/>
              <w:overflowPunct/>
              <w:topLinePunct w:val="0"/>
              <w:bidi w:val="0"/>
              <w:snapToGrid w:val="0"/>
              <w:spacing w:line="300" w:lineRule="auto"/>
              <w:jc w:val="center"/>
              <w:rPr>
                <w:rFonts w:hint="eastAsia" w:ascii="楷体" w:hAnsi="楷体" w:eastAsia="楷体" w:cs="楷体"/>
                <w:b/>
                <w:bCs/>
                <w:color w:val="auto"/>
                <w:sz w:val="24"/>
                <w:szCs w:val="24"/>
                <w:highlight w:val="none"/>
              </w:rPr>
            </w:pPr>
          </w:p>
        </w:tc>
        <w:tc>
          <w:tcPr>
            <w:tcW w:w="4049" w:type="dxa"/>
            <w:noWrap w:val="0"/>
            <w:vAlign w:val="center"/>
          </w:tcPr>
          <w:p w14:paraId="66F8F38D">
            <w:pPr>
              <w:pageBreakBefore w:val="0"/>
              <w:kinsoku/>
              <w:wordWrap/>
              <w:overflowPunct/>
              <w:topLinePunct w:val="0"/>
              <w:bidi w:val="0"/>
              <w:snapToGrid w:val="0"/>
              <w:spacing w:line="300" w:lineRule="auto"/>
              <w:jc w:val="center"/>
              <w:rPr>
                <w:rFonts w:hint="eastAsia" w:ascii="楷体" w:hAnsi="楷体" w:eastAsia="楷体" w:cs="楷体"/>
                <w:b/>
                <w:bCs/>
                <w:color w:val="auto"/>
                <w:sz w:val="24"/>
                <w:szCs w:val="24"/>
                <w:highlight w:val="none"/>
                <w:lang w:eastAsia="zh-CN"/>
              </w:rPr>
            </w:pPr>
            <w:r>
              <w:rPr>
                <w:rFonts w:hint="eastAsia" w:ascii="楷体" w:hAnsi="楷体" w:eastAsia="楷体" w:cs="楷体"/>
                <w:b/>
                <w:bCs/>
                <w:color w:val="auto"/>
                <w:sz w:val="24"/>
                <w:szCs w:val="24"/>
                <w:highlight w:val="none"/>
              </w:rPr>
              <w:t>明细</w:t>
            </w:r>
          </w:p>
        </w:tc>
        <w:tc>
          <w:tcPr>
            <w:tcW w:w="2507" w:type="dxa"/>
            <w:noWrap w:val="0"/>
            <w:vAlign w:val="center"/>
          </w:tcPr>
          <w:p w14:paraId="2AFE18CF">
            <w:pPr>
              <w:pageBreakBefore w:val="0"/>
              <w:kinsoku/>
              <w:wordWrap/>
              <w:overflowPunct/>
              <w:topLinePunct w:val="0"/>
              <w:bidi w:val="0"/>
              <w:snapToGrid w:val="0"/>
              <w:spacing w:line="300" w:lineRule="auto"/>
              <w:jc w:val="center"/>
              <w:rPr>
                <w:rFonts w:hint="eastAsia" w:ascii="楷体" w:hAnsi="楷体" w:eastAsia="楷体" w:cs="楷体"/>
                <w:b/>
                <w:bCs/>
                <w:color w:val="auto"/>
                <w:sz w:val="24"/>
                <w:szCs w:val="24"/>
                <w:highlight w:val="none"/>
                <w:lang w:val="en-US" w:eastAsia="zh-CN"/>
              </w:rPr>
            </w:pPr>
            <w:r>
              <w:rPr>
                <w:rFonts w:hint="eastAsia" w:ascii="楷体" w:hAnsi="楷体" w:eastAsia="楷体" w:cs="楷体"/>
                <w:b/>
                <w:bCs/>
                <w:color w:val="auto"/>
                <w:sz w:val="24"/>
                <w:szCs w:val="24"/>
                <w:highlight w:val="none"/>
                <w:lang w:val="en-US" w:eastAsia="zh-CN"/>
              </w:rPr>
              <w:t>服务内容及标准</w:t>
            </w:r>
          </w:p>
        </w:tc>
      </w:tr>
      <w:tr w14:paraId="5BE9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63" w:type="dxa"/>
            <w:gridSpan w:val="2"/>
            <w:noWrap w:val="0"/>
            <w:vAlign w:val="center"/>
          </w:tcPr>
          <w:p w14:paraId="6F8425D7">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建筑名称</w:t>
            </w:r>
          </w:p>
        </w:tc>
        <w:tc>
          <w:tcPr>
            <w:tcW w:w="4049" w:type="dxa"/>
            <w:noWrap w:val="0"/>
            <w:vAlign w:val="center"/>
          </w:tcPr>
          <w:p w14:paraId="587B49A7">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神木市麟州街道办事处位于神木市东兴街中段 100 号，由神木市麟州街道办事处机关、文化站、钟楼社区、育才路社区、 惠民社区、香山社区、惠泉路社区、大兴社区、阳涯沟工作站、麟悦社区、人民路社区、神华路社区、兴神路社区、果园路社区、继业路社区、宏光社区、康兴社区、黄庄社区、惠安社区等19个单位组成。</w:t>
            </w:r>
          </w:p>
        </w:tc>
        <w:tc>
          <w:tcPr>
            <w:tcW w:w="2507" w:type="dxa"/>
            <w:noWrap w:val="0"/>
            <w:vAlign w:val="center"/>
          </w:tcPr>
          <w:p w14:paraId="727F932D">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p>
        </w:tc>
      </w:tr>
      <w:tr w14:paraId="4059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4582FDB4">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总面积</w:t>
            </w:r>
          </w:p>
        </w:tc>
        <w:tc>
          <w:tcPr>
            <w:tcW w:w="1461" w:type="dxa"/>
            <w:noWrap w:val="0"/>
            <w:vAlign w:val="center"/>
          </w:tcPr>
          <w:p w14:paraId="0825AE47">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建筑面积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356D1FE8">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1、麟州街道办事处机关办公区建筑面积 8755.6 ㎡共 7 层，包含办公 室、会议室、库房；生活区锅炉房 92.4 ㎡、水泵房配电室 8.6 ㎡。供暖方式采用大暖供暖。</w:t>
            </w:r>
          </w:p>
          <w:p w14:paraId="27E35880">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2、文化站1450 ㎡共 3 层，包含图书室、活动室等。供暖方式采用大暖供暖。</w:t>
            </w:r>
          </w:p>
          <w:p w14:paraId="5E2BECB5">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3、钟楼社区办公区建筑面积 3500 ㎡共 5层，包含办公室、会议室。供暖方式采用大暖供暖。</w:t>
            </w:r>
          </w:p>
          <w:p w14:paraId="1C93438D">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4、育才路社区办公区建筑面积 750 ㎡，会议室160㎡， 锅炉房 22.8 ㎡ 。天然气锅炉供暖。</w:t>
            </w:r>
          </w:p>
          <w:p w14:paraId="244600B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5、惠民社区办公区建筑面积 632.61 ㎡共 2 层，包含办公室、会议室，锅炉房 76.82 ㎡ 。天然气锅炉供暖。</w:t>
            </w:r>
          </w:p>
          <w:p w14:paraId="3B5576C3">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6、香山社区办公区建筑面积 428.4 ㎡共 3 层，包含办公室、会议室，办事大厅150㎡， 附属区域建筑面积 17.88 ㎡ 。供暖方式采用大暖供暖。</w:t>
            </w:r>
          </w:p>
          <w:p w14:paraId="4E20769D">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7、惠泉路社区办公区建筑面积 1776 ㎡共 4 层，包含办公室、会议室，库房，窑洞508㎡，锅炉房 222.98 ㎡ 。天然气锅炉供暖。</w:t>
            </w:r>
          </w:p>
          <w:p w14:paraId="48159607">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8、大兴社区办公区建筑面积1306 ㎡共 2 层，包含办公室，供暖方式采用大暖供暖。</w:t>
            </w:r>
          </w:p>
          <w:p w14:paraId="6D17BC95">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9、阳涯沟工作站办公区建筑面积 ,587㎡共 2 层，包含办公室、活动 室，供暖方式采用大暖供暖。</w:t>
            </w:r>
          </w:p>
          <w:p w14:paraId="26885E42">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10、麟悦社区办公区建筑面积 1350 ㎡共 3 层，包含办公室、活动室、会议室，供暖方式采用大暖供暖。</w:t>
            </w:r>
          </w:p>
          <w:p w14:paraId="29F66EDC">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11、人民路社区建筑面积 2340 ㎡共 4 层，包含办公室、活动室、 会议室，供暖方式采用大暖供暖。</w:t>
            </w:r>
          </w:p>
          <w:p w14:paraId="1A390380">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12、神华路社区建筑面积1800 ㎡共 7 层，包含办公室、活动室、会 议室，供暖方式采用大暖供暖。</w:t>
            </w:r>
          </w:p>
          <w:p w14:paraId="54DE120F">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13、兴神路社区建筑面积 830 ㎡共 3 层，包含办公室、活动室、会议室，供暖方式采用大暖供暖。</w:t>
            </w:r>
          </w:p>
          <w:p w14:paraId="6A0C38E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14、果园路社区建筑面积 735 ㎡共 2 层，包含办公室、活动室、会议室，供暖方式采用大暖供暖。</w:t>
            </w:r>
          </w:p>
          <w:p w14:paraId="34181D1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15、继业路社区建筑面积 2418 ㎡共 6 层，包含办公室、活动室、会议室，供暖方式采用大暖供暖。</w:t>
            </w:r>
          </w:p>
          <w:p w14:paraId="441CC4F1">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16、宏光社区建筑面积520㎡，包含办公室、活动室、会议室，供暖方式采用大暖供暖。</w:t>
            </w:r>
          </w:p>
          <w:p w14:paraId="38991ECE">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17、黄庄社区建筑面积2230㎡、附属区域建筑面积600㎡，包含办公室、活动室、会议室，供暖方式采用大暖供暖。</w:t>
            </w:r>
          </w:p>
          <w:p w14:paraId="386EE799">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18、惠安社区建筑面积1430㎡，包含办公室、活动室、会议室，供暖方式采用大暖供暖。</w:t>
            </w:r>
          </w:p>
          <w:p w14:paraId="4CF936F6">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19、康兴社区建筑面积2130㎡，包含办公室、活动室、会议室，供暖方式采用大暖供暖。</w:t>
            </w:r>
          </w:p>
        </w:tc>
        <w:tc>
          <w:tcPr>
            <w:tcW w:w="2507" w:type="dxa"/>
            <w:noWrap w:val="0"/>
            <w:vAlign w:val="center"/>
          </w:tcPr>
          <w:p w14:paraId="6468BDE9">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w:t>
            </w:r>
          </w:p>
        </w:tc>
      </w:tr>
      <w:tr w14:paraId="474B4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6AD6AD6F">
            <w:pPr>
              <w:pageBreakBefore w:val="0"/>
              <w:kinsoku/>
              <w:wordWrap/>
              <w:overflowPunct/>
              <w:topLinePunct w:val="0"/>
              <w:bidi w:val="0"/>
              <w:snapToGrid w:val="0"/>
              <w:spacing w:line="300" w:lineRule="auto"/>
              <w:ind w:left="0" w:firstLine="0" w:firstLineChars="0"/>
              <w:jc w:val="center"/>
              <w:rPr>
                <w:rFonts w:hint="eastAsia" w:ascii="楷体" w:hAnsi="楷体" w:eastAsia="楷体" w:cs="楷体"/>
                <w:color w:val="auto"/>
                <w:sz w:val="24"/>
                <w:szCs w:val="24"/>
                <w:highlight w:val="none"/>
              </w:rPr>
            </w:pPr>
          </w:p>
        </w:tc>
        <w:tc>
          <w:tcPr>
            <w:tcW w:w="1461" w:type="dxa"/>
            <w:noWrap w:val="0"/>
            <w:vAlign w:val="center"/>
          </w:tcPr>
          <w:p w14:paraId="3E03A96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需保洁面积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shd w:val="clear" w:color="auto" w:fill="auto"/>
            <w:noWrap w:val="0"/>
            <w:vAlign w:val="center"/>
          </w:tcPr>
          <w:p w14:paraId="67399045">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1、麟州街道办事处机关办公区建筑面积 8755.6 ㎡共 7 层，包含办公 室、会议室、库房；生活区锅炉房 92.4 ㎡、水泵房配电室 8.6 ㎡。</w:t>
            </w:r>
          </w:p>
          <w:p w14:paraId="344DF16C">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2、文化站1450 ㎡共 3 层，包含图书室、活动室等。</w:t>
            </w:r>
          </w:p>
          <w:p w14:paraId="088A5D30">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3、钟楼社区办公区建筑面积 3500 ㎡共 5层，包含办公室、会议室。</w:t>
            </w:r>
          </w:p>
          <w:p w14:paraId="23B1D578">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4、育才路社区办公区建筑面积 750 ㎡，会议室160㎡， 锅炉房 22.8 ㎡ 。</w:t>
            </w:r>
          </w:p>
          <w:p w14:paraId="4EA0E73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5、惠民社区办公区建筑面积 632.61 ㎡共 2 层，包含办公室、会议室，锅炉房 76.82 ㎡ 。</w:t>
            </w:r>
          </w:p>
          <w:p w14:paraId="007D7CB4">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6、香山社区办公区建筑面积 428.4 ㎡共 3 层，包含办公室、会议室，办事大厅150㎡， 附属区域建筑面积 17.88 ㎡ 。</w:t>
            </w:r>
          </w:p>
          <w:p w14:paraId="49E7CD34">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7、惠泉路社区办公区建筑面积 1776 ㎡共 4 层，包含办公室、会议室，库房，窑洞508㎡，锅炉房 222.98 ㎡ 。</w:t>
            </w:r>
          </w:p>
          <w:p w14:paraId="5626DB85">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8、大兴社区办公区建筑面积1306 ㎡共 2 层，包含办公室。</w:t>
            </w:r>
          </w:p>
          <w:p w14:paraId="5FA0D439">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9、阳涯沟工作站办公区建筑面积 ,587㎡共 2 层，包含办公室、活动 室。</w:t>
            </w:r>
          </w:p>
          <w:p w14:paraId="1F8D818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10、麟悦社区办公区建筑面积 1350 ㎡共 3 层，包含办公室、活动室、会议室。</w:t>
            </w:r>
          </w:p>
          <w:p w14:paraId="551C5342">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11、人民路社区建筑面积 2340 ㎡共 4 层，包含办公室、活动室、 会议室。</w:t>
            </w:r>
          </w:p>
          <w:p w14:paraId="58E57DEE">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12、神华路社区建筑面积1800 ㎡共 7 层，包含办公室、活动室、会 议室。</w:t>
            </w:r>
          </w:p>
          <w:p w14:paraId="6C2754E4">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13、兴神路社区建筑面积 830 ㎡共 3 层，包含办公室、活动室、会议室。</w:t>
            </w:r>
          </w:p>
          <w:p w14:paraId="4A87250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14、果园路社区建筑面积 735 ㎡共 2 层，包含办公室、活动室、会议室。</w:t>
            </w:r>
          </w:p>
          <w:p w14:paraId="324FF12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15、继业路社区建筑面积 2418 ㎡共 6 层，包含办公室、活动室、会议室。</w:t>
            </w:r>
          </w:p>
          <w:p w14:paraId="74D0AE23">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16、宏光社区建筑面积520㎡，包含办公室、活动室、会议室。</w:t>
            </w:r>
          </w:p>
          <w:p w14:paraId="7CD29F8E">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17、黄庄社区建筑面积2230㎡、附属区域建筑面积600㎡，包含办公室、活动室、会议室。</w:t>
            </w:r>
          </w:p>
          <w:p w14:paraId="3B4EC7D2">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18、惠安社区建筑面积1430㎡，包含办公室、活动室、会议室。</w:t>
            </w:r>
          </w:p>
          <w:p w14:paraId="32B21F78">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19、康兴社区建筑面积2130㎡，包含办公室、活动室、会议室。</w:t>
            </w:r>
          </w:p>
        </w:tc>
        <w:tc>
          <w:tcPr>
            <w:tcW w:w="2507" w:type="dxa"/>
            <w:noWrap w:val="0"/>
            <w:vAlign w:val="center"/>
          </w:tcPr>
          <w:p w14:paraId="540FB16D">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见“3.4保洁服务”</w:t>
            </w:r>
          </w:p>
        </w:tc>
      </w:tr>
      <w:tr w14:paraId="69119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noWrap w:val="0"/>
            <w:vAlign w:val="center"/>
          </w:tcPr>
          <w:p w14:paraId="7919C1B2">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门窗</w:t>
            </w:r>
          </w:p>
        </w:tc>
        <w:tc>
          <w:tcPr>
            <w:tcW w:w="1461" w:type="dxa"/>
            <w:noWrap w:val="0"/>
            <w:vAlign w:val="center"/>
          </w:tcPr>
          <w:p w14:paraId="7C770B80">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门窗总数量（个）及总面积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4BBBC9AC">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门窗总数量1063（个）及总面积4252</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2507" w:type="dxa"/>
            <w:noWrap w:val="0"/>
            <w:vAlign w:val="center"/>
          </w:tcPr>
          <w:p w14:paraId="35C30501">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15040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35AFEEF6">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地面</w:t>
            </w:r>
          </w:p>
        </w:tc>
        <w:tc>
          <w:tcPr>
            <w:tcW w:w="1461" w:type="dxa"/>
            <w:noWrap w:val="0"/>
            <w:vAlign w:val="center"/>
          </w:tcPr>
          <w:p w14:paraId="7124E6ED">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地面</w:t>
            </w:r>
            <w:r>
              <w:rPr>
                <w:rFonts w:hint="eastAsia" w:ascii="楷体" w:hAnsi="楷体" w:eastAsia="楷体" w:cs="楷体"/>
                <w:color w:val="auto"/>
                <w:sz w:val="24"/>
                <w:szCs w:val="24"/>
                <w:highlight w:val="none"/>
                <w:lang w:val="en-US" w:eastAsia="zh-CN"/>
              </w:rPr>
              <w:t>各</w:t>
            </w:r>
            <w:r>
              <w:rPr>
                <w:rFonts w:hint="eastAsia" w:ascii="楷体" w:hAnsi="楷体" w:eastAsia="楷体" w:cs="楷体"/>
                <w:color w:val="auto"/>
                <w:sz w:val="24"/>
                <w:szCs w:val="24"/>
                <w:highlight w:val="none"/>
              </w:rPr>
              <w:t>材质</w:t>
            </w:r>
            <w:r>
              <w:rPr>
                <w:rFonts w:hint="eastAsia" w:ascii="楷体" w:hAnsi="楷体" w:eastAsia="楷体" w:cs="楷体"/>
                <w:color w:val="auto"/>
                <w:sz w:val="24"/>
                <w:szCs w:val="24"/>
                <w:highlight w:val="none"/>
                <w:lang w:val="en-US" w:eastAsia="zh-CN"/>
              </w:rPr>
              <w:t>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2405BE9F">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室内面积23000</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）；域楼梯走廊公共区域</w:t>
            </w:r>
            <w:r>
              <w:rPr>
                <w:rFonts w:hint="eastAsia" w:ascii="楷体" w:hAnsi="楷体" w:eastAsia="楷体" w:cs="楷体"/>
                <w:color w:val="auto"/>
                <w:sz w:val="24"/>
                <w:szCs w:val="24"/>
                <w:highlight w:val="none"/>
                <w:lang w:val="en-US" w:eastAsia="zh-CN"/>
              </w:rPr>
              <w:t>5000</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2507" w:type="dxa"/>
            <w:noWrap w:val="0"/>
            <w:vAlign w:val="center"/>
          </w:tcPr>
          <w:p w14:paraId="670BD674">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0E512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674C654A">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b w:val="0"/>
                <w:bCs w:val="0"/>
                <w:color w:val="auto"/>
                <w:sz w:val="24"/>
                <w:szCs w:val="24"/>
                <w:highlight w:val="none"/>
                <w:lang w:val="en-US" w:eastAsia="zh-CN"/>
              </w:rPr>
              <w:t>内墙饰面</w:t>
            </w:r>
          </w:p>
        </w:tc>
        <w:tc>
          <w:tcPr>
            <w:tcW w:w="1461" w:type="dxa"/>
            <w:noWrap w:val="0"/>
            <w:vAlign w:val="center"/>
          </w:tcPr>
          <w:p w14:paraId="46C8FDC8">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b w:val="0"/>
                <w:bCs w:val="0"/>
                <w:color w:val="auto"/>
                <w:sz w:val="24"/>
                <w:szCs w:val="24"/>
                <w:highlight w:val="none"/>
                <w:lang w:val="en-US" w:eastAsia="zh-CN"/>
              </w:rPr>
              <w:t>内墙饰面</w:t>
            </w:r>
            <w:r>
              <w:rPr>
                <w:rFonts w:hint="eastAsia" w:ascii="楷体" w:hAnsi="楷体" w:eastAsia="楷体" w:cs="楷体"/>
                <w:color w:val="auto"/>
                <w:sz w:val="24"/>
                <w:szCs w:val="24"/>
                <w:highlight w:val="none"/>
                <w:lang w:val="en-US" w:eastAsia="zh-CN"/>
              </w:rPr>
              <w:t>各</w:t>
            </w:r>
            <w:r>
              <w:rPr>
                <w:rFonts w:hint="eastAsia" w:ascii="楷体" w:hAnsi="楷体" w:eastAsia="楷体" w:cs="楷体"/>
                <w:color w:val="auto"/>
                <w:sz w:val="24"/>
                <w:szCs w:val="24"/>
                <w:highlight w:val="none"/>
              </w:rPr>
              <w:t>材质</w:t>
            </w:r>
            <w:r>
              <w:rPr>
                <w:rFonts w:hint="eastAsia" w:ascii="楷体" w:hAnsi="楷体" w:eastAsia="楷体" w:cs="楷体"/>
                <w:color w:val="auto"/>
                <w:sz w:val="24"/>
                <w:szCs w:val="24"/>
                <w:highlight w:val="none"/>
                <w:lang w:val="en-US" w:eastAsia="zh-CN"/>
              </w:rPr>
              <w:t>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588FF7A7">
            <w:pPr>
              <w:pageBreakBefore w:val="0"/>
              <w:kinsoku/>
              <w:wordWrap/>
              <w:overflowPunct/>
              <w:topLinePunct w:val="0"/>
              <w:bidi w:val="0"/>
              <w:snapToGrid w:val="0"/>
              <w:spacing w:line="300" w:lineRule="auto"/>
              <w:jc w:val="left"/>
              <w:rPr>
                <w:rFonts w:hint="default"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乳胶漆墙面积70720（㎡），卫生间内墙转10880（㎡），大厅、走廊、楼梯间瓷砖、木饰面围裙27200.总面积108800（㎡）</w:t>
            </w:r>
          </w:p>
        </w:tc>
        <w:tc>
          <w:tcPr>
            <w:tcW w:w="2507" w:type="dxa"/>
            <w:noWrap w:val="0"/>
            <w:vAlign w:val="center"/>
          </w:tcPr>
          <w:p w14:paraId="0192CB96">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20AF9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397B077B">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顶面</w:t>
            </w:r>
          </w:p>
        </w:tc>
        <w:tc>
          <w:tcPr>
            <w:tcW w:w="1461" w:type="dxa"/>
            <w:noWrap w:val="0"/>
            <w:vAlign w:val="center"/>
          </w:tcPr>
          <w:p w14:paraId="275C083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顶面各</w:t>
            </w:r>
            <w:r>
              <w:rPr>
                <w:rFonts w:hint="eastAsia" w:ascii="楷体" w:hAnsi="楷体" w:eastAsia="楷体" w:cs="楷体"/>
                <w:color w:val="auto"/>
                <w:sz w:val="24"/>
                <w:szCs w:val="24"/>
                <w:highlight w:val="none"/>
              </w:rPr>
              <w:t>材质</w:t>
            </w:r>
            <w:r>
              <w:rPr>
                <w:rFonts w:hint="eastAsia" w:ascii="楷体" w:hAnsi="楷体" w:eastAsia="楷体" w:cs="楷体"/>
                <w:color w:val="auto"/>
                <w:sz w:val="24"/>
                <w:szCs w:val="24"/>
                <w:highlight w:val="none"/>
                <w:lang w:val="en-US" w:eastAsia="zh-CN"/>
              </w:rPr>
              <w:t>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559715B6">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8800</w:t>
            </w:r>
            <w:r>
              <w:rPr>
                <w:rFonts w:hint="eastAsia" w:ascii="楷体" w:hAnsi="楷体" w:eastAsia="楷体" w:cs="楷体"/>
                <w:color w:val="auto"/>
                <w:sz w:val="24"/>
                <w:szCs w:val="24"/>
                <w:highlight w:val="none"/>
                <w:lang w:val="en-US" w:eastAsia="zh-CN"/>
              </w:rPr>
              <w:t>（㎡）</w:t>
            </w:r>
          </w:p>
        </w:tc>
        <w:tc>
          <w:tcPr>
            <w:tcW w:w="2507" w:type="dxa"/>
            <w:noWrap w:val="0"/>
            <w:vAlign w:val="center"/>
          </w:tcPr>
          <w:p w14:paraId="7C83E13B">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1069B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46A26E06">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rPr>
              <w:t>外墙</w:t>
            </w:r>
          </w:p>
        </w:tc>
        <w:tc>
          <w:tcPr>
            <w:tcW w:w="1461" w:type="dxa"/>
            <w:noWrap w:val="0"/>
            <w:vAlign w:val="center"/>
          </w:tcPr>
          <w:p w14:paraId="3132A2E1">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rPr>
              <w:t>外墙</w:t>
            </w:r>
            <w:r>
              <w:rPr>
                <w:rFonts w:hint="eastAsia" w:ascii="楷体" w:hAnsi="楷体" w:eastAsia="楷体" w:cs="楷体"/>
                <w:color w:val="auto"/>
                <w:sz w:val="24"/>
                <w:szCs w:val="24"/>
                <w:highlight w:val="none"/>
                <w:lang w:val="en-US" w:eastAsia="zh-CN"/>
              </w:rPr>
              <w:t>各</w:t>
            </w:r>
            <w:r>
              <w:rPr>
                <w:rFonts w:hint="eastAsia" w:ascii="楷体" w:hAnsi="楷体" w:eastAsia="楷体" w:cs="楷体"/>
                <w:color w:val="auto"/>
                <w:sz w:val="24"/>
                <w:szCs w:val="24"/>
                <w:highlight w:val="none"/>
              </w:rPr>
              <w:t>材质</w:t>
            </w:r>
            <w:r>
              <w:rPr>
                <w:rFonts w:hint="eastAsia" w:ascii="楷体" w:hAnsi="楷体" w:eastAsia="楷体" w:cs="楷体"/>
                <w:color w:val="auto"/>
                <w:sz w:val="24"/>
                <w:szCs w:val="24"/>
                <w:highlight w:val="none"/>
                <w:lang w:val="en-US" w:eastAsia="zh-CN"/>
              </w:rPr>
              <w:t>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1C2C377D">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rPr>
            </w:pPr>
            <w:r>
              <w:rPr>
                <w:rFonts w:hint="eastAsia" w:ascii="楷体" w:hAnsi="楷体" w:eastAsia="楷体" w:cs="楷体"/>
                <w:color w:val="auto"/>
                <w:sz w:val="24"/>
                <w:szCs w:val="24"/>
                <w:highlight w:val="none"/>
                <w:lang w:val="en-US" w:eastAsia="zh-CN"/>
              </w:rPr>
              <w:t>真石漆8360（㎡）、瓷砖12540（㎡）、窗户玻璃7900（㎡）合计28800（㎡）</w:t>
            </w:r>
          </w:p>
        </w:tc>
        <w:tc>
          <w:tcPr>
            <w:tcW w:w="2507" w:type="dxa"/>
            <w:noWrap w:val="0"/>
            <w:vAlign w:val="center"/>
          </w:tcPr>
          <w:p w14:paraId="389C2765">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4F391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5BC8E22C">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p>
        </w:tc>
        <w:tc>
          <w:tcPr>
            <w:tcW w:w="1461" w:type="dxa"/>
            <w:noWrap w:val="0"/>
            <w:vAlign w:val="center"/>
          </w:tcPr>
          <w:p w14:paraId="24CBF756">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外墙</w:t>
            </w:r>
            <w:r>
              <w:rPr>
                <w:rFonts w:hint="eastAsia" w:ascii="楷体" w:hAnsi="楷体" w:eastAsia="楷体" w:cs="楷体"/>
                <w:color w:val="auto"/>
                <w:sz w:val="24"/>
                <w:szCs w:val="24"/>
                <w:highlight w:val="none"/>
              </w:rPr>
              <w:t>需</w:t>
            </w:r>
            <w:r>
              <w:rPr>
                <w:rFonts w:hint="eastAsia" w:ascii="楷体" w:hAnsi="楷体" w:eastAsia="楷体" w:cs="楷体"/>
                <w:color w:val="auto"/>
                <w:sz w:val="24"/>
                <w:szCs w:val="24"/>
                <w:highlight w:val="none"/>
                <w:lang w:val="en-US" w:eastAsia="zh-CN"/>
              </w:rPr>
              <w:t>清洗面积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5421AAF5">
            <w:pPr>
              <w:pageBreakBefore w:val="0"/>
              <w:kinsoku/>
              <w:wordWrap/>
              <w:overflowPunct/>
              <w:topLinePunct w:val="0"/>
              <w:bidi w:val="0"/>
              <w:snapToGrid w:val="0"/>
              <w:spacing w:line="30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玻璃16800（㎡）</w:t>
            </w:r>
          </w:p>
        </w:tc>
        <w:tc>
          <w:tcPr>
            <w:tcW w:w="2507" w:type="dxa"/>
            <w:noWrap w:val="0"/>
            <w:vAlign w:val="center"/>
          </w:tcPr>
          <w:p w14:paraId="6FB062CC">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见“3.4保洁服务”</w:t>
            </w:r>
          </w:p>
        </w:tc>
      </w:tr>
      <w:tr w14:paraId="665A0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5F160027">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会议室</w:t>
            </w:r>
          </w:p>
        </w:tc>
        <w:tc>
          <w:tcPr>
            <w:tcW w:w="1461" w:type="dxa"/>
            <w:noWrap w:val="0"/>
            <w:vAlign w:val="center"/>
          </w:tcPr>
          <w:p w14:paraId="51D5EAAF">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室内</w:t>
            </w:r>
            <w:r>
              <w:rPr>
                <w:rFonts w:hint="eastAsia" w:ascii="楷体" w:hAnsi="楷体" w:eastAsia="楷体" w:cs="楷体"/>
                <w:color w:val="auto"/>
                <w:sz w:val="24"/>
                <w:szCs w:val="24"/>
                <w:highlight w:val="none"/>
              </w:rPr>
              <w:t>设施</w:t>
            </w:r>
            <w:r>
              <w:rPr>
                <w:rFonts w:hint="eastAsia" w:ascii="楷体" w:hAnsi="楷体" w:eastAsia="楷体" w:cs="楷体"/>
                <w:color w:val="auto"/>
                <w:sz w:val="24"/>
                <w:szCs w:val="24"/>
                <w:highlight w:val="none"/>
                <w:lang w:val="en-US" w:eastAsia="zh-CN"/>
              </w:rPr>
              <w:t>说明</w:t>
            </w:r>
          </w:p>
        </w:tc>
        <w:tc>
          <w:tcPr>
            <w:tcW w:w="4049" w:type="dxa"/>
            <w:noWrap w:val="0"/>
            <w:vAlign w:val="center"/>
          </w:tcPr>
          <w:p w14:paraId="1FD05F5D">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大小会议室、视频会</w:t>
            </w:r>
            <w:r>
              <w:rPr>
                <w:rFonts w:hint="eastAsia" w:ascii="楷体" w:hAnsi="楷体" w:eastAsia="楷体" w:cs="楷体"/>
                <w:color w:val="auto"/>
                <w:sz w:val="24"/>
                <w:szCs w:val="24"/>
                <w:highlight w:val="none"/>
                <w:lang w:val="en-US" w:eastAsia="zh-CN"/>
              </w:rPr>
              <w:t>议</w:t>
            </w:r>
            <w:r>
              <w:rPr>
                <w:rFonts w:hint="eastAsia" w:ascii="楷体" w:hAnsi="楷体" w:eastAsia="楷体" w:cs="楷体"/>
                <w:color w:val="auto"/>
                <w:kern w:val="2"/>
                <w:sz w:val="24"/>
                <w:szCs w:val="24"/>
                <w:highlight w:val="none"/>
                <w:lang w:val="en-US" w:eastAsia="zh-CN" w:bidi="ar-SA"/>
              </w:rPr>
              <w:t>室</w:t>
            </w:r>
          </w:p>
        </w:tc>
        <w:tc>
          <w:tcPr>
            <w:tcW w:w="2507" w:type="dxa"/>
            <w:noWrap w:val="0"/>
            <w:vAlign w:val="center"/>
          </w:tcPr>
          <w:p w14:paraId="0CB12BC7">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见“3.2房屋维护服务”“3.4保洁服务”“3.7会议服务”</w:t>
            </w:r>
          </w:p>
        </w:tc>
      </w:tr>
      <w:tr w14:paraId="22274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4BB99886">
            <w:pPr>
              <w:pageBreakBefore w:val="0"/>
              <w:kinsoku/>
              <w:wordWrap/>
              <w:overflowPunct/>
              <w:topLinePunct w:val="0"/>
              <w:bidi w:val="0"/>
              <w:snapToGrid w:val="0"/>
              <w:spacing w:line="300" w:lineRule="auto"/>
              <w:ind w:left="0" w:firstLine="0" w:firstLineChars="0"/>
              <w:jc w:val="center"/>
              <w:rPr>
                <w:rFonts w:hint="eastAsia" w:ascii="楷体" w:hAnsi="楷体" w:eastAsia="楷体" w:cs="楷体"/>
                <w:color w:val="auto"/>
                <w:sz w:val="24"/>
                <w:szCs w:val="24"/>
                <w:highlight w:val="none"/>
              </w:rPr>
            </w:pPr>
          </w:p>
        </w:tc>
        <w:tc>
          <w:tcPr>
            <w:tcW w:w="1461" w:type="dxa"/>
            <w:noWrap w:val="0"/>
            <w:vAlign w:val="center"/>
          </w:tcPr>
          <w:p w14:paraId="6EEAD8A5">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会议室数量（个）及总面积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3AC16C42">
            <w:pPr>
              <w:pageBreakBefore w:val="0"/>
              <w:kinsoku/>
              <w:wordWrap/>
              <w:overflowPunct/>
              <w:topLinePunct w:val="0"/>
              <w:bidi w:val="0"/>
              <w:snapToGrid w:val="0"/>
              <w:spacing w:line="30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32个2500（㎡）</w:t>
            </w:r>
          </w:p>
        </w:tc>
        <w:tc>
          <w:tcPr>
            <w:tcW w:w="2507" w:type="dxa"/>
            <w:noWrap w:val="0"/>
            <w:vAlign w:val="center"/>
          </w:tcPr>
          <w:p w14:paraId="68411FBE">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见“3.4保洁服务”“3.7会议服务”</w:t>
            </w:r>
          </w:p>
        </w:tc>
      </w:tr>
      <w:tr w14:paraId="67DD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7A755823">
            <w:pPr>
              <w:pageBreakBefore w:val="0"/>
              <w:kinsoku/>
              <w:wordWrap/>
              <w:overflowPunct/>
              <w:topLinePunct w:val="0"/>
              <w:bidi w:val="0"/>
              <w:snapToGrid w:val="0"/>
              <w:spacing w:line="300" w:lineRule="auto"/>
              <w:ind w:left="0" w:firstLine="0" w:firstLineChars="0"/>
              <w:jc w:val="left"/>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报告厅</w:t>
            </w:r>
          </w:p>
        </w:tc>
        <w:tc>
          <w:tcPr>
            <w:tcW w:w="1461" w:type="dxa"/>
            <w:noWrap w:val="0"/>
            <w:vAlign w:val="center"/>
          </w:tcPr>
          <w:p w14:paraId="3BA3C94E">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室内</w:t>
            </w:r>
            <w:r>
              <w:rPr>
                <w:rFonts w:hint="eastAsia" w:ascii="楷体" w:hAnsi="楷体" w:eastAsia="楷体" w:cs="楷体"/>
                <w:color w:val="auto"/>
                <w:sz w:val="24"/>
                <w:szCs w:val="24"/>
                <w:highlight w:val="none"/>
              </w:rPr>
              <w:t>设施</w:t>
            </w:r>
            <w:r>
              <w:rPr>
                <w:rFonts w:hint="eastAsia" w:ascii="楷体" w:hAnsi="楷体" w:eastAsia="楷体" w:cs="楷体"/>
                <w:color w:val="auto"/>
                <w:sz w:val="24"/>
                <w:szCs w:val="24"/>
                <w:highlight w:val="none"/>
                <w:lang w:val="en-US" w:eastAsia="zh-CN"/>
              </w:rPr>
              <w:t>说明</w:t>
            </w:r>
          </w:p>
        </w:tc>
        <w:tc>
          <w:tcPr>
            <w:tcW w:w="4049" w:type="dxa"/>
            <w:noWrap w:val="0"/>
            <w:vAlign w:val="center"/>
          </w:tcPr>
          <w:p w14:paraId="5ACEA3F2">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包括多功能厅</w:t>
            </w:r>
          </w:p>
        </w:tc>
        <w:tc>
          <w:tcPr>
            <w:tcW w:w="2507" w:type="dxa"/>
            <w:noWrap w:val="0"/>
            <w:vAlign w:val="center"/>
          </w:tcPr>
          <w:p w14:paraId="7797114A">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见“3.4保洁服务”“3.7会议服务”</w:t>
            </w:r>
          </w:p>
        </w:tc>
      </w:tr>
      <w:tr w14:paraId="1F22F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6E993CAD">
            <w:pPr>
              <w:pageBreakBefore w:val="0"/>
              <w:kinsoku/>
              <w:wordWrap/>
              <w:overflowPunct/>
              <w:topLinePunct w:val="0"/>
              <w:bidi w:val="0"/>
              <w:snapToGrid w:val="0"/>
              <w:spacing w:line="300" w:lineRule="auto"/>
              <w:ind w:left="0" w:firstLine="0" w:firstLineChars="0"/>
              <w:jc w:val="center"/>
              <w:rPr>
                <w:rFonts w:hint="eastAsia" w:ascii="楷体" w:hAnsi="楷体" w:eastAsia="楷体" w:cs="楷体"/>
                <w:color w:val="auto"/>
                <w:sz w:val="24"/>
                <w:szCs w:val="24"/>
                <w:highlight w:val="none"/>
              </w:rPr>
            </w:pPr>
          </w:p>
        </w:tc>
        <w:tc>
          <w:tcPr>
            <w:tcW w:w="1461" w:type="dxa"/>
            <w:noWrap w:val="0"/>
            <w:vAlign w:val="center"/>
          </w:tcPr>
          <w:p w14:paraId="249F4784">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报告厅数量（个）及总面积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03F4D941">
            <w:pPr>
              <w:pageBreakBefore w:val="0"/>
              <w:kinsoku/>
              <w:wordWrap/>
              <w:overflowPunct/>
              <w:topLinePunct w:val="0"/>
              <w:bidi w:val="0"/>
              <w:snapToGrid w:val="0"/>
              <w:spacing w:line="30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19个1920（㎡）</w:t>
            </w:r>
          </w:p>
        </w:tc>
        <w:tc>
          <w:tcPr>
            <w:tcW w:w="2507" w:type="dxa"/>
            <w:noWrap w:val="0"/>
            <w:vAlign w:val="center"/>
          </w:tcPr>
          <w:p w14:paraId="41F0E2B4">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见“3.4保洁服务”“3.7会议服务”</w:t>
            </w:r>
          </w:p>
        </w:tc>
      </w:tr>
      <w:tr w14:paraId="6C085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noWrap w:val="0"/>
            <w:vAlign w:val="center"/>
          </w:tcPr>
          <w:p w14:paraId="0D40BB2A">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卫生间</w:t>
            </w:r>
          </w:p>
        </w:tc>
        <w:tc>
          <w:tcPr>
            <w:tcW w:w="1461" w:type="dxa"/>
            <w:noWrap w:val="0"/>
            <w:vAlign w:val="center"/>
          </w:tcPr>
          <w:p w14:paraId="7CC42EA5">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卫生间数量（个）及总面积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4049" w:type="dxa"/>
            <w:noWrap w:val="0"/>
            <w:vAlign w:val="center"/>
          </w:tcPr>
          <w:p w14:paraId="50FEDDAE">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卫生间数量93（个）及总面积1395</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p>
        </w:tc>
        <w:tc>
          <w:tcPr>
            <w:tcW w:w="2507" w:type="dxa"/>
            <w:noWrap w:val="0"/>
            <w:vAlign w:val="center"/>
          </w:tcPr>
          <w:p w14:paraId="3F5D4271">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p>
        </w:tc>
      </w:tr>
      <w:tr w14:paraId="127E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noWrap w:val="0"/>
            <w:vAlign w:val="center"/>
          </w:tcPr>
          <w:p w14:paraId="24569E3B">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垃圾存放点</w:t>
            </w:r>
          </w:p>
        </w:tc>
        <w:tc>
          <w:tcPr>
            <w:tcW w:w="1461" w:type="dxa"/>
            <w:noWrap w:val="0"/>
            <w:vAlign w:val="center"/>
          </w:tcPr>
          <w:p w14:paraId="2D83E74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各垃圾存放点位置、</w:t>
            </w:r>
            <w:r>
              <w:rPr>
                <w:rFonts w:hint="eastAsia" w:ascii="楷体" w:hAnsi="楷体" w:eastAsia="楷体" w:cs="楷体"/>
                <w:color w:val="auto"/>
                <w:sz w:val="24"/>
                <w:szCs w:val="24"/>
                <w:highlight w:val="none"/>
              </w:rPr>
              <w:t>面积</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rPr>
              <w:t>㎡</w:t>
            </w:r>
            <w:r>
              <w:rPr>
                <w:rFonts w:hint="eastAsia" w:ascii="楷体" w:hAnsi="楷体" w:eastAsia="楷体" w:cs="楷体"/>
                <w:color w:val="auto"/>
                <w:sz w:val="24"/>
                <w:szCs w:val="24"/>
                <w:highlight w:val="none"/>
                <w:lang w:eastAsia="zh-CN"/>
              </w:rPr>
              <w:t>）</w:t>
            </w:r>
            <w:r>
              <w:rPr>
                <w:rFonts w:hint="eastAsia" w:ascii="楷体" w:hAnsi="楷体" w:eastAsia="楷体" w:cs="楷体"/>
                <w:color w:val="auto"/>
                <w:sz w:val="24"/>
                <w:szCs w:val="24"/>
                <w:highlight w:val="none"/>
                <w:lang w:val="en-US" w:eastAsia="zh-CN"/>
              </w:rPr>
              <w:t>及数量（个）</w:t>
            </w:r>
          </w:p>
        </w:tc>
        <w:tc>
          <w:tcPr>
            <w:tcW w:w="4049" w:type="dxa"/>
            <w:noWrap w:val="0"/>
            <w:vAlign w:val="center"/>
          </w:tcPr>
          <w:p w14:paraId="2379B78E">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19个</w:t>
            </w:r>
          </w:p>
        </w:tc>
        <w:tc>
          <w:tcPr>
            <w:tcW w:w="2507" w:type="dxa"/>
            <w:noWrap w:val="0"/>
            <w:vAlign w:val="center"/>
          </w:tcPr>
          <w:p w14:paraId="4FD03C16">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p>
        </w:tc>
      </w:tr>
      <w:tr w14:paraId="084B3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3D840D04">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rPr>
              <w:t>车位数</w:t>
            </w:r>
          </w:p>
        </w:tc>
        <w:tc>
          <w:tcPr>
            <w:tcW w:w="1461" w:type="dxa"/>
            <w:noWrap w:val="0"/>
            <w:vAlign w:val="center"/>
          </w:tcPr>
          <w:p w14:paraId="1D6A3143">
            <w:pPr>
              <w:pageBreakBefore w:val="0"/>
              <w:kinsoku/>
              <w:wordWrap/>
              <w:overflowPunct/>
              <w:topLinePunct w:val="0"/>
              <w:bidi w:val="0"/>
              <w:snapToGrid w:val="0"/>
              <w:spacing w:line="300" w:lineRule="auto"/>
              <w:ind w:left="0" w:leftChars="0" w:firstLine="0" w:firstLineChars="0"/>
              <w:jc w:val="both"/>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地下车位数</w:t>
            </w:r>
          </w:p>
        </w:tc>
        <w:tc>
          <w:tcPr>
            <w:tcW w:w="4049" w:type="dxa"/>
            <w:noWrap w:val="0"/>
            <w:vAlign w:val="center"/>
          </w:tcPr>
          <w:p w14:paraId="0FC8222B">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0</w:t>
            </w:r>
          </w:p>
        </w:tc>
        <w:tc>
          <w:tcPr>
            <w:tcW w:w="2507" w:type="dxa"/>
            <w:noWrap w:val="0"/>
            <w:vAlign w:val="center"/>
          </w:tcPr>
          <w:p w14:paraId="11383A8E">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w:t>
            </w:r>
          </w:p>
        </w:tc>
      </w:tr>
      <w:tr w14:paraId="79452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257ABE15">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lang w:val="en-US" w:eastAsia="zh-CN"/>
              </w:rPr>
            </w:pPr>
          </w:p>
        </w:tc>
        <w:tc>
          <w:tcPr>
            <w:tcW w:w="1461" w:type="dxa"/>
            <w:noWrap w:val="0"/>
            <w:vAlign w:val="center"/>
          </w:tcPr>
          <w:p w14:paraId="67936D93">
            <w:pPr>
              <w:pageBreakBefore w:val="0"/>
              <w:kinsoku/>
              <w:wordWrap/>
              <w:overflowPunct/>
              <w:topLinePunct w:val="0"/>
              <w:bidi w:val="0"/>
              <w:snapToGrid w:val="0"/>
              <w:spacing w:line="300" w:lineRule="auto"/>
              <w:ind w:left="0" w:leftChars="0" w:firstLine="0" w:firstLineChars="0"/>
              <w:jc w:val="both"/>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地面车位数</w:t>
            </w:r>
          </w:p>
        </w:tc>
        <w:tc>
          <w:tcPr>
            <w:tcW w:w="4049" w:type="dxa"/>
            <w:noWrap w:val="0"/>
            <w:vAlign w:val="center"/>
          </w:tcPr>
          <w:p w14:paraId="576A7147">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620</w:t>
            </w:r>
          </w:p>
        </w:tc>
        <w:tc>
          <w:tcPr>
            <w:tcW w:w="2507" w:type="dxa"/>
            <w:noWrap w:val="0"/>
            <w:vAlign w:val="center"/>
          </w:tcPr>
          <w:p w14:paraId="3538CDB8">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w:t>
            </w:r>
          </w:p>
        </w:tc>
      </w:tr>
      <w:tr w14:paraId="33B69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1E1CE696">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车行/人行口</w:t>
            </w:r>
          </w:p>
        </w:tc>
        <w:tc>
          <w:tcPr>
            <w:tcW w:w="1461" w:type="dxa"/>
            <w:noWrap w:val="0"/>
            <w:vAlign w:val="center"/>
          </w:tcPr>
          <w:p w14:paraId="043ABFD2">
            <w:pPr>
              <w:pageBreakBefore w:val="0"/>
              <w:kinsoku/>
              <w:wordWrap/>
              <w:overflowPunct/>
              <w:topLinePunct w:val="0"/>
              <w:bidi w:val="0"/>
              <w:snapToGrid w:val="0"/>
              <w:spacing w:line="300" w:lineRule="auto"/>
              <w:ind w:left="0" w:leftChars="0" w:firstLine="0" w:firstLineChars="0"/>
              <w:jc w:val="both"/>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车行口</w:t>
            </w:r>
          </w:p>
        </w:tc>
        <w:tc>
          <w:tcPr>
            <w:tcW w:w="4049" w:type="dxa"/>
            <w:noWrap w:val="0"/>
            <w:vAlign w:val="center"/>
          </w:tcPr>
          <w:p w14:paraId="6A692D83">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23</w:t>
            </w:r>
          </w:p>
        </w:tc>
        <w:tc>
          <w:tcPr>
            <w:tcW w:w="2507" w:type="dxa"/>
            <w:noWrap w:val="0"/>
            <w:vAlign w:val="center"/>
          </w:tcPr>
          <w:p w14:paraId="257DF1A3">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w:t>
            </w:r>
          </w:p>
        </w:tc>
      </w:tr>
      <w:tr w14:paraId="73CEA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63141C55">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lang w:val="en-US" w:eastAsia="zh-CN"/>
              </w:rPr>
            </w:pPr>
          </w:p>
        </w:tc>
        <w:tc>
          <w:tcPr>
            <w:tcW w:w="1461" w:type="dxa"/>
            <w:noWrap w:val="0"/>
            <w:vAlign w:val="center"/>
          </w:tcPr>
          <w:p w14:paraId="119796BD">
            <w:pPr>
              <w:pageBreakBefore w:val="0"/>
              <w:kinsoku/>
              <w:wordWrap/>
              <w:overflowPunct/>
              <w:topLinePunct w:val="0"/>
              <w:bidi w:val="0"/>
              <w:snapToGrid w:val="0"/>
              <w:spacing w:line="300" w:lineRule="auto"/>
              <w:ind w:left="0" w:leftChars="0" w:firstLine="0" w:firstLineChars="0"/>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人行口</w:t>
            </w:r>
          </w:p>
        </w:tc>
        <w:tc>
          <w:tcPr>
            <w:tcW w:w="4049" w:type="dxa"/>
            <w:noWrap w:val="0"/>
            <w:vAlign w:val="center"/>
          </w:tcPr>
          <w:p w14:paraId="64EE4D40">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32</w:t>
            </w:r>
          </w:p>
        </w:tc>
        <w:tc>
          <w:tcPr>
            <w:tcW w:w="2507" w:type="dxa"/>
            <w:noWrap w:val="0"/>
            <w:vAlign w:val="center"/>
          </w:tcPr>
          <w:p w14:paraId="0120F390">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w:t>
            </w:r>
          </w:p>
        </w:tc>
      </w:tr>
      <w:tr w14:paraId="34C3A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restart"/>
            <w:noWrap w:val="0"/>
            <w:vAlign w:val="center"/>
          </w:tcPr>
          <w:p w14:paraId="14E7B85B">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lang w:val="en-US" w:eastAsia="zh-CN"/>
              </w:rPr>
              <w:t>设施设备</w:t>
            </w:r>
          </w:p>
          <w:p w14:paraId="3ADEFA15">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p>
        </w:tc>
        <w:tc>
          <w:tcPr>
            <w:tcW w:w="1461" w:type="dxa"/>
            <w:noWrap w:val="0"/>
            <w:vAlign w:val="center"/>
          </w:tcPr>
          <w:p w14:paraId="0603D546">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电梯</w:t>
            </w:r>
            <w:r>
              <w:rPr>
                <w:rFonts w:hint="eastAsia" w:ascii="楷体" w:hAnsi="楷体" w:eastAsia="楷体" w:cs="楷体"/>
                <w:color w:val="auto"/>
                <w:sz w:val="24"/>
                <w:szCs w:val="24"/>
                <w:highlight w:val="none"/>
                <w:lang w:val="en-US" w:eastAsia="zh-CN"/>
              </w:rPr>
              <w:t>系统</w:t>
            </w:r>
          </w:p>
        </w:tc>
        <w:tc>
          <w:tcPr>
            <w:tcW w:w="4049" w:type="dxa"/>
            <w:noWrap w:val="0"/>
            <w:vAlign w:val="center"/>
          </w:tcPr>
          <w:p w14:paraId="6491A328">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1部</w:t>
            </w:r>
          </w:p>
        </w:tc>
        <w:tc>
          <w:tcPr>
            <w:tcW w:w="2507" w:type="dxa"/>
            <w:noWrap w:val="0"/>
            <w:vAlign w:val="center"/>
          </w:tcPr>
          <w:p w14:paraId="4BA71999">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4DC3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0F0BAF56">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4BDC7287">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空调</w:t>
            </w:r>
            <w:r>
              <w:rPr>
                <w:rFonts w:hint="eastAsia" w:ascii="楷体" w:hAnsi="楷体" w:eastAsia="楷体" w:cs="楷体"/>
                <w:color w:val="auto"/>
                <w:sz w:val="24"/>
                <w:szCs w:val="24"/>
                <w:highlight w:val="none"/>
                <w:lang w:val="en-US" w:eastAsia="zh-CN"/>
              </w:rPr>
              <w:t>系统</w:t>
            </w:r>
          </w:p>
        </w:tc>
        <w:tc>
          <w:tcPr>
            <w:tcW w:w="4049" w:type="dxa"/>
            <w:shd w:val="clear" w:color="auto" w:fill="auto"/>
            <w:noWrap w:val="0"/>
            <w:vAlign w:val="center"/>
          </w:tcPr>
          <w:p w14:paraId="3F2C6B1C">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每个房间都配独立空调，没有整体空调系统</w:t>
            </w:r>
          </w:p>
        </w:tc>
        <w:tc>
          <w:tcPr>
            <w:tcW w:w="2507" w:type="dxa"/>
            <w:noWrap w:val="0"/>
            <w:vAlign w:val="center"/>
          </w:tcPr>
          <w:p w14:paraId="0C63F7EB">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15CF1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5DF5802B">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6CE96581">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采暖</w:t>
            </w:r>
            <w:r>
              <w:rPr>
                <w:rFonts w:hint="eastAsia" w:ascii="楷体" w:hAnsi="楷体" w:eastAsia="楷体" w:cs="楷体"/>
                <w:color w:val="auto"/>
                <w:sz w:val="24"/>
                <w:szCs w:val="24"/>
                <w:highlight w:val="none"/>
                <w:lang w:val="en-US" w:eastAsia="zh-CN"/>
              </w:rPr>
              <w:t>系统</w:t>
            </w:r>
          </w:p>
        </w:tc>
        <w:tc>
          <w:tcPr>
            <w:tcW w:w="4049" w:type="dxa"/>
            <w:noWrap w:val="0"/>
            <w:vAlign w:val="center"/>
          </w:tcPr>
          <w:p w14:paraId="4BAC58ED">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19套</w:t>
            </w:r>
          </w:p>
        </w:tc>
        <w:tc>
          <w:tcPr>
            <w:tcW w:w="2507" w:type="dxa"/>
            <w:noWrap w:val="0"/>
            <w:vAlign w:val="center"/>
          </w:tcPr>
          <w:p w14:paraId="23DE87E5">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5B595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02" w:type="dxa"/>
            <w:vMerge w:val="continue"/>
            <w:noWrap w:val="0"/>
            <w:vAlign w:val="center"/>
          </w:tcPr>
          <w:p w14:paraId="1F04227E">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7B24428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给排水</w:t>
            </w:r>
            <w:r>
              <w:rPr>
                <w:rFonts w:hint="eastAsia" w:ascii="楷体" w:hAnsi="楷体" w:eastAsia="楷体" w:cs="楷体"/>
                <w:color w:val="auto"/>
                <w:sz w:val="24"/>
                <w:szCs w:val="24"/>
                <w:highlight w:val="none"/>
                <w:lang w:val="en-US" w:eastAsia="zh-CN"/>
              </w:rPr>
              <w:t>系统</w:t>
            </w:r>
          </w:p>
        </w:tc>
        <w:tc>
          <w:tcPr>
            <w:tcW w:w="4049" w:type="dxa"/>
            <w:noWrap w:val="0"/>
            <w:vAlign w:val="center"/>
          </w:tcPr>
          <w:p w14:paraId="4A7E84F2">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19套</w:t>
            </w:r>
          </w:p>
        </w:tc>
        <w:tc>
          <w:tcPr>
            <w:tcW w:w="2507" w:type="dxa"/>
            <w:noWrap w:val="0"/>
            <w:vAlign w:val="center"/>
          </w:tcPr>
          <w:p w14:paraId="32A20D64">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0CAB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790D7C52">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5E243397">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消防</w:t>
            </w:r>
            <w:r>
              <w:rPr>
                <w:rFonts w:hint="eastAsia" w:ascii="楷体" w:hAnsi="楷体" w:eastAsia="楷体" w:cs="楷体"/>
                <w:color w:val="auto"/>
                <w:sz w:val="24"/>
                <w:szCs w:val="24"/>
                <w:highlight w:val="none"/>
                <w:lang w:val="en-US" w:eastAsia="zh-CN"/>
              </w:rPr>
              <w:t>系统</w:t>
            </w:r>
          </w:p>
        </w:tc>
        <w:tc>
          <w:tcPr>
            <w:tcW w:w="4049" w:type="dxa"/>
            <w:noWrap w:val="0"/>
            <w:vAlign w:val="center"/>
          </w:tcPr>
          <w:p w14:paraId="7B183571">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19套</w:t>
            </w:r>
          </w:p>
        </w:tc>
        <w:tc>
          <w:tcPr>
            <w:tcW w:w="2507" w:type="dxa"/>
            <w:noWrap w:val="0"/>
            <w:vAlign w:val="center"/>
          </w:tcPr>
          <w:p w14:paraId="1A0780F3">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7473B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254FD238">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084FF168">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锅炉设备</w:t>
            </w:r>
          </w:p>
        </w:tc>
        <w:tc>
          <w:tcPr>
            <w:tcW w:w="4049" w:type="dxa"/>
            <w:noWrap w:val="0"/>
            <w:vAlign w:val="center"/>
          </w:tcPr>
          <w:p w14:paraId="5D590F5E">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天然气锅炉系统5套</w:t>
            </w:r>
          </w:p>
        </w:tc>
        <w:tc>
          <w:tcPr>
            <w:tcW w:w="2507" w:type="dxa"/>
            <w:noWrap w:val="0"/>
            <w:vAlign w:val="center"/>
          </w:tcPr>
          <w:p w14:paraId="76815202">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11ED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660CE1C0">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26814ACA">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安防系统</w:t>
            </w:r>
          </w:p>
        </w:tc>
        <w:tc>
          <w:tcPr>
            <w:tcW w:w="4049" w:type="dxa"/>
            <w:noWrap w:val="0"/>
            <w:vAlign w:val="center"/>
          </w:tcPr>
          <w:p w14:paraId="17CCF7FC">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19套</w:t>
            </w:r>
          </w:p>
        </w:tc>
        <w:tc>
          <w:tcPr>
            <w:tcW w:w="2507" w:type="dxa"/>
            <w:noWrap w:val="0"/>
            <w:vAlign w:val="center"/>
          </w:tcPr>
          <w:p w14:paraId="718725FC">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10562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2" w:type="dxa"/>
            <w:vMerge w:val="continue"/>
            <w:noWrap w:val="0"/>
            <w:vAlign w:val="center"/>
          </w:tcPr>
          <w:p w14:paraId="51B5E604">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10738863">
            <w:pPr>
              <w:pageBreakBefore w:val="0"/>
              <w:kinsoku/>
              <w:wordWrap/>
              <w:overflowPunct/>
              <w:topLinePunct w:val="0"/>
              <w:bidi w:val="0"/>
              <w:snapToGrid w:val="0"/>
              <w:spacing w:line="300" w:lineRule="auto"/>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sz w:val="24"/>
                <w:szCs w:val="24"/>
                <w:highlight w:val="none"/>
              </w:rPr>
              <w:t>照明系统</w:t>
            </w:r>
          </w:p>
        </w:tc>
        <w:tc>
          <w:tcPr>
            <w:tcW w:w="4049" w:type="dxa"/>
            <w:noWrap w:val="0"/>
            <w:vAlign w:val="center"/>
          </w:tcPr>
          <w:p w14:paraId="39B2316B">
            <w:pPr>
              <w:pageBreakBefore w:val="0"/>
              <w:kinsoku/>
              <w:wordWrap/>
              <w:overflowPunct/>
              <w:topLinePunct w:val="0"/>
              <w:bidi w:val="0"/>
              <w:snapToGrid w:val="0"/>
              <w:spacing w:line="300" w:lineRule="auto"/>
              <w:rPr>
                <w:rFonts w:hint="default"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19套</w:t>
            </w:r>
          </w:p>
        </w:tc>
        <w:tc>
          <w:tcPr>
            <w:tcW w:w="2507" w:type="dxa"/>
            <w:noWrap w:val="0"/>
            <w:vAlign w:val="center"/>
          </w:tcPr>
          <w:p w14:paraId="2DCDABB2">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见“3.6保安服务”“3.3公用设施设备维护服务”</w:t>
            </w:r>
          </w:p>
        </w:tc>
      </w:tr>
      <w:tr w14:paraId="363A4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2" w:type="dxa"/>
            <w:vMerge w:val="continue"/>
            <w:noWrap w:val="0"/>
            <w:vAlign w:val="center"/>
          </w:tcPr>
          <w:p w14:paraId="518B37D8">
            <w:pPr>
              <w:pageBreakBefore w:val="0"/>
              <w:kinsoku/>
              <w:wordWrap/>
              <w:overflowPunct/>
              <w:topLinePunct w:val="0"/>
              <w:bidi w:val="0"/>
              <w:snapToGrid w:val="0"/>
              <w:spacing w:line="300" w:lineRule="auto"/>
              <w:ind w:left="0" w:firstLine="0" w:firstLineChars="0"/>
              <w:jc w:val="both"/>
              <w:rPr>
                <w:rFonts w:hint="eastAsia" w:ascii="楷体" w:hAnsi="楷体" w:eastAsia="楷体" w:cs="楷体"/>
                <w:color w:val="auto"/>
                <w:sz w:val="24"/>
                <w:szCs w:val="24"/>
                <w:highlight w:val="none"/>
              </w:rPr>
            </w:pPr>
          </w:p>
        </w:tc>
        <w:tc>
          <w:tcPr>
            <w:tcW w:w="1461" w:type="dxa"/>
            <w:noWrap w:val="0"/>
            <w:vAlign w:val="center"/>
          </w:tcPr>
          <w:p w14:paraId="6F5C1F33">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供配电系统</w:t>
            </w:r>
          </w:p>
        </w:tc>
        <w:tc>
          <w:tcPr>
            <w:tcW w:w="4049" w:type="dxa"/>
            <w:noWrap w:val="0"/>
            <w:vAlign w:val="center"/>
          </w:tcPr>
          <w:p w14:paraId="38E7D402">
            <w:pPr>
              <w:pageBreakBefore w:val="0"/>
              <w:kinsoku/>
              <w:wordWrap/>
              <w:overflowPunct/>
              <w:topLinePunct w:val="0"/>
              <w:bidi w:val="0"/>
              <w:snapToGrid w:val="0"/>
              <w:spacing w:line="300" w:lineRule="auto"/>
              <w:rPr>
                <w:rFonts w:hint="default"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19</w:t>
            </w:r>
            <w:r>
              <w:rPr>
                <w:rFonts w:hint="eastAsia" w:ascii="楷体" w:hAnsi="楷体" w:eastAsia="楷体" w:cs="楷体"/>
                <w:color w:val="auto"/>
                <w:kern w:val="2"/>
                <w:sz w:val="24"/>
                <w:szCs w:val="24"/>
                <w:highlight w:val="none"/>
                <w:lang w:val="en-US" w:eastAsia="zh-CN" w:bidi="ar-SA"/>
              </w:rPr>
              <w:t>套</w:t>
            </w:r>
          </w:p>
        </w:tc>
        <w:tc>
          <w:tcPr>
            <w:tcW w:w="2507" w:type="dxa"/>
            <w:noWrap w:val="0"/>
            <w:vAlign w:val="center"/>
          </w:tcPr>
          <w:p w14:paraId="15E0DC7C">
            <w:pPr>
              <w:pageBreakBefore w:val="0"/>
              <w:kinsoku/>
              <w:wordWrap/>
              <w:overflowPunct/>
              <w:topLinePunct w:val="0"/>
              <w:bidi w:val="0"/>
              <w:snapToGrid w:val="0"/>
              <w:spacing w:line="30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见“3.3公用设施设备维护服务”</w:t>
            </w:r>
          </w:p>
        </w:tc>
      </w:tr>
    </w:tbl>
    <w:p w14:paraId="509292A5"/>
    <w:p w14:paraId="2D67143C"/>
    <w:p w14:paraId="70B721FE"/>
    <w:p w14:paraId="1E400BA0">
      <w:pPr>
        <w:pStyle w:val="3"/>
        <w:numPr>
          <w:ilvl w:val="2"/>
          <w:numId w:val="0"/>
        </w:numPr>
        <w:tabs>
          <w:tab w:val="left" w:pos="0"/>
          <w:tab w:val="left" w:pos="420"/>
        </w:tabs>
        <w:bidi w:val="0"/>
        <w:ind w:leftChars="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（2）物业管理（室外）</w:t>
      </w:r>
    </w:p>
    <w:tbl>
      <w:tblPr>
        <w:tblStyle w:val="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3026"/>
        <w:gridCol w:w="3837"/>
      </w:tblGrid>
      <w:tr w14:paraId="72AE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14587148">
            <w:pPr>
              <w:pageBreakBefore w:val="0"/>
              <w:kinsoku/>
              <w:wordWrap/>
              <w:overflowPunct/>
              <w:topLinePunct w:val="0"/>
              <w:bidi w:val="0"/>
              <w:snapToGrid w:val="0"/>
              <w:spacing w:line="300" w:lineRule="auto"/>
              <w:jc w:val="center"/>
              <w:rPr>
                <w:rFonts w:hint="eastAsia" w:ascii="楷体" w:hAnsi="楷体" w:eastAsia="楷体" w:cs="楷体"/>
                <w:b/>
                <w:bCs/>
                <w:color w:val="auto"/>
                <w:kern w:val="2"/>
                <w:sz w:val="24"/>
                <w:szCs w:val="24"/>
                <w:highlight w:val="none"/>
                <w:lang w:val="en-US" w:eastAsia="zh-CN" w:bidi="ar-SA"/>
              </w:rPr>
            </w:pPr>
            <w:r>
              <w:rPr>
                <w:rFonts w:hint="eastAsia" w:ascii="楷体" w:hAnsi="楷体" w:eastAsia="楷体" w:cs="楷体"/>
                <w:b/>
                <w:bCs/>
                <w:sz w:val="24"/>
                <w:szCs w:val="24"/>
                <w:highlight w:val="none"/>
                <w:lang w:val="en-US" w:eastAsia="zh-CN"/>
              </w:rPr>
              <w:t>名称</w:t>
            </w:r>
          </w:p>
        </w:tc>
        <w:tc>
          <w:tcPr>
            <w:tcW w:w="3099" w:type="dxa"/>
            <w:noWrap w:val="0"/>
            <w:vAlign w:val="center"/>
          </w:tcPr>
          <w:p w14:paraId="39D3E302">
            <w:pPr>
              <w:pageBreakBefore w:val="0"/>
              <w:kinsoku/>
              <w:wordWrap/>
              <w:overflowPunct/>
              <w:topLinePunct w:val="0"/>
              <w:bidi w:val="0"/>
              <w:snapToGrid w:val="0"/>
              <w:spacing w:line="300" w:lineRule="auto"/>
              <w:jc w:val="center"/>
              <w:rPr>
                <w:rFonts w:hint="eastAsia" w:ascii="楷体" w:hAnsi="楷体" w:eastAsia="楷体" w:cs="楷体"/>
                <w:b/>
                <w:bCs/>
                <w:color w:val="auto"/>
                <w:kern w:val="2"/>
                <w:sz w:val="24"/>
                <w:szCs w:val="24"/>
                <w:highlight w:val="none"/>
                <w:lang w:val="en-US" w:eastAsia="zh-CN" w:bidi="ar-SA"/>
              </w:rPr>
            </w:pPr>
            <w:r>
              <w:rPr>
                <w:rFonts w:hint="eastAsia" w:ascii="楷体" w:hAnsi="楷体" w:eastAsia="楷体" w:cs="楷体"/>
                <w:b/>
                <w:bCs/>
                <w:sz w:val="24"/>
                <w:szCs w:val="24"/>
                <w:highlight w:val="none"/>
              </w:rPr>
              <w:t>明细</w:t>
            </w:r>
          </w:p>
        </w:tc>
        <w:tc>
          <w:tcPr>
            <w:tcW w:w="3929" w:type="dxa"/>
            <w:noWrap w:val="0"/>
            <w:vAlign w:val="center"/>
          </w:tcPr>
          <w:p w14:paraId="5CAB3220">
            <w:pPr>
              <w:pageBreakBefore w:val="0"/>
              <w:kinsoku/>
              <w:wordWrap/>
              <w:overflowPunct/>
              <w:topLinePunct w:val="0"/>
              <w:bidi w:val="0"/>
              <w:snapToGrid w:val="0"/>
              <w:spacing w:line="300" w:lineRule="auto"/>
              <w:jc w:val="center"/>
              <w:rPr>
                <w:rFonts w:hint="eastAsia" w:ascii="楷体" w:hAnsi="楷体" w:eastAsia="楷体" w:cs="楷体"/>
                <w:b/>
                <w:bCs/>
                <w:sz w:val="24"/>
                <w:szCs w:val="24"/>
                <w:highlight w:val="none"/>
              </w:rPr>
            </w:pPr>
            <w:r>
              <w:rPr>
                <w:rFonts w:hint="eastAsia" w:ascii="楷体" w:hAnsi="楷体" w:eastAsia="楷体" w:cs="楷体"/>
                <w:b/>
                <w:bCs/>
                <w:sz w:val="24"/>
                <w:szCs w:val="24"/>
                <w:highlight w:val="none"/>
                <w:lang w:val="en-US" w:eastAsia="zh-CN"/>
              </w:rPr>
              <w:t>服务内容及标准</w:t>
            </w:r>
          </w:p>
        </w:tc>
      </w:tr>
      <w:tr w14:paraId="3F18D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025513B9">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室外面积</w:t>
            </w:r>
          </w:p>
        </w:tc>
        <w:tc>
          <w:tcPr>
            <w:tcW w:w="3099" w:type="dxa"/>
            <w:noWrap w:val="0"/>
            <w:vAlign w:val="center"/>
          </w:tcPr>
          <w:p w14:paraId="0E8D227B">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7600（㎡）</w:t>
            </w:r>
          </w:p>
        </w:tc>
        <w:tc>
          <w:tcPr>
            <w:tcW w:w="3929" w:type="dxa"/>
            <w:noWrap w:val="0"/>
            <w:vAlign w:val="center"/>
          </w:tcPr>
          <w:p w14:paraId="15AF2F51">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“3.6保安服务”</w:t>
            </w:r>
          </w:p>
        </w:tc>
      </w:tr>
      <w:tr w14:paraId="3ED7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2E89EA58">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rPr>
              <w:t>绿化</w:t>
            </w:r>
          </w:p>
        </w:tc>
        <w:tc>
          <w:tcPr>
            <w:tcW w:w="3099" w:type="dxa"/>
            <w:noWrap w:val="0"/>
            <w:vAlign w:val="center"/>
          </w:tcPr>
          <w:p w14:paraId="057B938F">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1630（㎡）</w:t>
            </w:r>
          </w:p>
        </w:tc>
        <w:tc>
          <w:tcPr>
            <w:tcW w:w="3929" w:type="dxa"/>
            <w:noWrap w:val="0"/>
            <w:vAlign w:val="center"/>
          </w:tcPr>
          <w:p w14:paraId="678F78E7">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见“3.4保洁服务”“3.5绿化服务”</w:t>
            </w:r>
          </w:p>
        </w:tc>
      </w:tr>
      <w:tr w14:paraId="063C1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5AE98318">
            <w:pPr>
              <w:jc w:val="both"/>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停车场</w:t>
            </w:r>
          </w:p>
        </w:tc>
        <w:tc>
          <w:tcPr>
            <w:tcW w:w="3099" w:type="dxa"/>
            <w:noWrap w:val="0"/>
            <w:vAlign w:val="center"/>
          </w:tcPr>
          <w:p w14:paraId="77713865">
            <w:pPr>
              <w:jc w:val="both"/>
              <w:rPr>
                <w:rFonts w:hint="default"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22个，5000</w:t>
            </w:r>
            <w:r>
              <w:rPr>
                <w:rFonts w:hint="eastAsia" w:ascii="楷体" w:hAnsi="楷体" w:eastAsia="楷体" w:cs="楷体"/>
                <w:sz w:val="24"/>
                <w:szCs w:val="24"/>
                <w:highlight w:val="none"/>
                <w:vertAlign w:val="baseline"/>
                <w:lang w:val="en-US" w:eastAsia="zh-CN"/>
              </w:rPr>
              <w:t>（㎡）</w:t>
            </w:r>
          </w:p>
        </w:tc>
        <w:tc>
          <w:tcPr>
            <w:tcW w:w="3929" w:type="dxa"/>
            <w:noWrap w:val="0"/>
            <w:vAlign w:val="center"/>
          </w:tcPr>
          <w:p w14:paraId="0F3B57A9">
            <w:pPr>
              <w:jc w:val="both"/>
              <w:rPr>
                <w:rFonts w:hint="eastAsia" w:ascii="楷体" w:hAnsi="楷体" w:eastAsia="楷体" w:cs="楷体"/>
                <w:color w:val="auto"/>
                <w:kern w:val="2"/>
                <w:sz w:val="24"/>
                <w:szCs w:val="24"/>
                <w:highlight w:val="none"/>
                <w:lang w:val="en-US" w:eastAsia="zh-CN" w:bidi="ar-SA"/>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“3.6保安服务”</w:t>
            </w:r>
          </w:p>
        </w:tc>
      </w:tr>
      <w:tr w14:paraId="6E44D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7A30ADE6">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路灯、草坪灯、音箱</w:t>
            </w:r>
          </w:p>
        </w:tc>
        <w:tc>
          <w:tcPr>
            <w:tcW w:w="3099" w:type="dxa"/>
            <w:noWrap w:val="0"/>
            <w:vAlign w:val="center"/>
          </w:tcPr>
          <w:p w14:paraId="5CB99E32">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路灯50个</w:t>
            </w:r>
          </w:p>
        </w:tc>
        <w:tc>
          <w:tcPr>
            <w:tcW w:w="3929" w:type="dxa"/>
            <w:noWrap w:val="0"/>
            <w:vAlign w:val="center"/>
          </w:tcPr>
          <w:p w14:paraId="3D57AC99">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“3.3公用设施设备维护服务”</w:t>
            </w:r>
          </w:p>
        </w:tc>
      </w:tr>
      <w:tr w14:paraId="1FD37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01CE6FAD">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消防栓</w:t>
            </w:r>
          </w:p>
        </w:tc>
        <w:tc>
          <w:tcPr>
            <w:tcW w:w="3099" w:type="dxa"/>
            <w:noWrap w:val="0"/>
            <w:vAlign w:val="center"/>
          </w:tcPr>
          <w:p w14:paraId="7A215F13">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222个</w:t>
            </w:r>
          </w:p>
        </w:tc>
        <w:tc>
          <w:tcPr>
            <w:tcW w:w="3929" w:type="dxa"/>
            <w:noWrap w:val="0"/>
            <w:vAlign w:val="center"/>
          </w:tcPr>
          <w:p w14:paraId="59CFD662">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“3.3公用设施设备维护服务”</w:t>
            </w:r>
          </w:p>
        </w:tc>
      </w:tr>
      <w:tr w14:paraId="2E567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7113384B">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垃圾箱</w:t>
            </w:r>
          </w:p>
        </w:tc>
        <w:tc>
          <w:tcPr>
            <w:tcW w:w="3099" w:type="dxa"/>
            <w:noWrap w:val="0"/>
            <w:vAlign w:val="center"/>
          </w:tcPr>
          <w:p w14:paraId="59A6360E">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20个</w:t>
            </w:r>
          </w:p>
        </w:tc>
        <w:tc>
          <w:tcPr>
            <w:tcW w:w="3929" w:type="dxa"/>
            <w:noWrap w:val="0"/>
            <w:vAlign w:val="center"/>
          </w:tcPr>
          <w:p w14:paraId="22F3FCC1">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p>
        </w:tc>
      </w:tr>
      <w:tr w14:paraId="09A2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4B67C264">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室外配电箱</w:t>
            </w:r>
          </w:p>
        </w:tc>
        <w:tc>
          <w:tcPr>
            <w:tcW w:w="3099" w:type="dxa"/>
            <w:noWrap w:val="0"/>
            <w:vAlign w:val="center"/>
          </w:tcPr>
          <w:p w14:paraId="5858C4A4">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20套</w:t>
            </w:r>
          </w:p>
        </w:tc>
        <w:tc>
          <w:tcPr>
            <w:tcW w:w="3929" w:type="dxa"/>
            <w:noWrap w:val="0"/>
            <w:vAlign w:val="center"/>
          </w:tcPr>
          <w:p w14:paraId="2E7CD145">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“3.3公用设施设备维护服务”</w:t>
            </w:r>
          </w:p>
        </w:tc>
      </w:tr>
      <w:tr w14:paraId="24B31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6EBE7001">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露台</w:t>
            </w:r>
          </w:p>
        </w:tc>
        <w:tc>
          <w:tcPr>
            <w:tcW w:w="3099" w:type="dxa"/>
            <w:noWrap w:val="0"/>
            <w:vAlign w:val="center"/>
          </w:tcPr>
          <w:p w14:paraId="28946EFE">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10个</w:t>
            </w:r>
          </w:p>
        </w:tc>
        <w:tc>
          <w:tcPr>
            <w:tcW w:w="3929" w:type="dxa"/>
            <w:noWrap w:val="0"/>
            <w:vAlign w:val="center"/>
          </w:tcPr>
          <w:p w14:paraId="79FB74FB">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见“3.2房屋维护服务”“3.4保洁服务”</w:t>
            </w:r>
          </w:p>
        </w:tc>
      </w:tr>
      <w:tr w14:paraId="11F1E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51205143">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监控</w:t>
            </w:r>
          </w:p>
        </w:tc>
        <w:tc>
          <w:tcPr>
            <w:tcW w:w="3099" w:type="dxa"/>
            <w:noWrap w:val="0"/>
            <w:vAlign w:val="center"/>
          </w:tcPr>
          <w:p w14:paraId="79543579">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283个</w:t>
            </w:r>
          </w:p>
        </w:tc>
        <w:tc>
          <w:tcPr>
            <w:tcW w:w="3929" w:type="dxa"/>
            <w:noWrap w:val="0"/>
            <w:vAlign w:val="center"/>
          </w:tcPr>
          <w:p w14:paraId="499EB9D6">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“3.3公用设施设备维护服务”</w:t>
            </w:r>
          </w:p>
        </w:tc>
      </w:tr>
      <w:tr w14:paraId="4E02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687" w:type="dxa"/>
            <w:noWrap w:val="0"/>
            <w:vAlign w:val="center"/>
          </w:tcPr>
          <w:p w14:paraId="272849F0">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指示牌、显示屏</w:t>
            </w:r>
          </w:p>
        </w:tc>
        <w:tc>
          <w:tcPr>
            <w:tcW w:w="3099" w:type="dxa"/>
            <w:noWrap w:val="0"/>
            <w:vAlign w:val="center"/>
          </w:tcPr>
          <w:p w14:paraId="2AF5CBF9">
            <w:pPr>
              <w:jc w:val="both"/>
              <w:rPr>
                <w:rFonts w:hint="default"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指示牌50、显示屏22</w:t>
            </w:r>
          </w:p>
        </w:tc>
        <w:tc>
          <w:tcPr>
            <w:tcW w:w="3929" w:type="dxa"/>
            <w:noWrap w:val="0"/>
            <w:vAlign w:val="center"/>
          </w:tcPr>
          <w:p w14:paraId="084F0650">
            <w:pPr>
              <w:jc w:val="both"/>
              <w:rPr>
                <w:rFonts w:hint="eastAsia" w:ascii="楷体" w:hAnsi="楷体" w:eastAsia="楷体" w:cs="楷体"/>
                <w:color w:val="auto"/>
                <w:sz w:val="24"/>
                <w:szCs w:val="24"/>
                <w:highlight w:val="none"/>
                <w:lang w:val="en-US" w:eastAsia="zh-CN"/>
              </w:rPr>
            </w:pPr>
            <w:r>
              <w:rPr>
                <w:rFonts w:hint="eastAsia" w:ascii="楷体" w:hAnsi="楷体" w:eastAsia="楷体" w:cs="楷体"/>
                <w:color w:val="auto"/>
                <w:kern w:val="2"/>
                <w:sz w:val="24"/>
                <w:szCs w:val="24"/>
                <w:highlight w:val="none"/>
                <w:lang w:val="en-US" w:eastAsia="zh-CN" w:bidi="ar-SA"/>
              </w:rPr>
              <w:t>见“3.4保洁服务”</w:t>
            </w:r>
            <w:r>
              <w:rPr>
                <w:rFonts w:hint="eastAsia" w:ascii="楷体" w:hAnsi="楷体" w:eastAsia="楷体" w:cs="楷体"/>
                <w:color w:val="auto"/>
                <w:sz w:val="24"/>
                <w:szCs w:val="24"/>
                <w:highlight w:val="none"/>
                <w:lang w:val="en-US" w:eastAsia="zh-CN"/>
              </w:rPr>
              <w:t>“3.3公用设施设备维护服务”</w:t>
            </w:r>
          </w:p>
        </w:tc>
      </w:tr>
    </w:tbl>
    <w:p w14:paraId="28B45246"/>
    <w:p w14:paraId="02A7A22B">
      <w:pPr>
        <w:pStyle w:val="3"/>
        <w:ind w:left="0" w:leftChars="0" w:firstLine="0" w:firstLineChars="0"/>
        <w:jc w:val="both"/>
        <w:rPr>
          <w:rFonts w:hint="eastAsia" w:ascii="楷体" w:hAnsi="楷体" w:eastAsia="楷体" w:cs="楷体"/>
          <w:sz w:val="24"/>
          <w:szCs w:val="24"/>
          <w:highlight w:val="none"/>
          <w:lang w:val="en-US" w:eastAsia="zh-CN"/>
        </w:rPr>
      </w:pPr>
    </w:p>
    <w:p w14:paraId="43A66E61">
      <w:pPr>
        <w:pStyle w:val="2"/>
        <w:bidi w:val="0"/>
        <w:rPr>
          <w:rFonts w:hint="eastAsia" w:ascii="楷体" w:hAnsi="楷体" w:eastAsia="楷体" w:cs="楷体"/>
          <w:sz w:val="24"/>
          <w:szCs w:val="24"/>
          <w:highlight w:val="none"/>
          <w:lang w:val="en-US" w:eastAsia="zh-CN"/>
        </w:rPr>
      </w:pPr>
    </w:p>
    <w:p w14:paraId="1648B7A6">
      <w:pPr>
        <w:pStyle w:val="2"/>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3.物业管理服务内容及标准</w:t>
      </w:r>
    </w:p>
    <w:p w14:paraId="50A60EDB">
      <w:pPr>
        <w:pageBreakBefore w:val="0"/>
        <w:kinsoku/>
        <w:wordWrap/>
        <w:overflowPunct/>
        <w:topLinePunct w:val="0"/>
        <w:bidi w:val="0"/>
        <w:snapToGrid w:val="0"/>
        <w:spacing w:line="300" w:lineRule="auto"/>
        <w:ind w:firstLine="480" w:firstLineChars="200"/>
        <w:outlineLvl w:val="9"/>
        <w:rPr>
          <w:rFonts w:hint="eastAsia" w:ascii="楷体" w:hAnsi="楷体" w:eastAsia="楷体" w:cs="楷体"/>
          <w:color w:val="auto"/>
          <w:kern w:val="2"/>
          <w:sz w:val="24"/>
          <w:szCs w:val="24"/>
          <w:highlight w:val="none"/>
          <w:u w:val="none"/>
          <w:lang w:val="en-US" w:eastAsia="zh-CN" w:bidi="ar-SA"/>
        </w:rPr>
      </w:pPr>
    </w:p>
    <w:p w14:paraId="1DBC9FEA">
      <w:pPr>
        <w:pageBreakBefore w:val="0"/>
        <w:kinsoku/>
        <w:wordWrap/>
        <w:overflowPunct/>
        <w:topLinePunct w:val="0"/>
        <w:bidi w:val="0"/>
        <w:snapToGrid w:val="0"/>
        <w:spacing w:line="300" w:lineRule="auto"/>
        <w:ind w:firstLine="480" w:firstLineChars="200"/>
        <w:outlineLvl w:val="9"/>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kern w:val="2"/>
          <w:sz w:val="24"/>
          <w:szCs w:val="24"/>
          <w:highlight w:val="none"/>
          <w:u w:val="none"/>
          <w:lang w:val="en-US" w:eastAsia="zh-CN" w:bidi="ar-SA"/>
        </w:rPr>
        <w:t>物业管理服务包括基本服务、房屋维护服务、公用设施设备维护服务、保洁服务、绿化服务、保安服务、会议服务等。</w:t>
      </w:r>
    </w:p>
    <w:p w14:paraId="07F2A369">
      <w:pPr>
        <w:pStyle w:val="3"/>
        <w:rPr>
          <w:rFonts w:hint="eastAsia" w:ascii="楷体" w:hAnsi="楷体" w:eastAsia="楷体" w:cs="楷体"/>
          <w:kern w:val="2"/>
          <w:sz w:val="24"/>
          <w:szCs w:val="24"/>
          <w:highlight w:val="none"/>
          <w:lang w:val="en-US" w:eastAsia="zh-CN" w:bidi="ar"/>
        </w:rPr>
      </w:pPr>
      <w:bookmarkStart w:id="0" w:name="_Toc26485"/>
      <w:bookmarkStart w:id="1" w:name="_Toc26156"/>
      <w:bookmarkStart w:id="2" w:name="_Toc10498"/>
      <w:r>
        <w:rPr>
          <w:rFonts w:hint="eastAsia" w:ascii="楷体" w:hAnsi="楷体" w:eastAsia="楷体" w:cs="楷体"/>
          <w:sz w:val="24"/>
          <w:szCs w:val="24"/>
          <w:highlight w:val="none"/>
          <w:lang w:val="en-US" w:eastAsia="zh-CN"/>
        </w:rPr>
        <w:t>3.</w:t>
      </w:r>
      <w:bookmarkEnd w:id="0"/>
      <w:bookmarkEnd w:id="1"/>
      <w:bookmarkEnd w:id="2"/>
      <w:r>
        <w:rPr>
          <w:rFonts w:hint="eastAsia" w:ascii="楷体" w:hAnsi="楷体" w:eastAsia="楷体" w:cs="楷体"/>
          <w:kern w:val="2"/>
          <w:sz w:val="24"/>
          <w:szCs w:val="24"/>
          <w:highlight w:val="none"/>
          <w:lang w:val="en-US" w:eastAsia="zh-CN" w:bidi="ar"/>
        </w:rPr>
        <w:t>1基本服务</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64A26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57A70E08">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297" w:type="dxa"/>
            <w:noWrap w:val="0"/>
            <w:vAlign w:val="center"/>
          </w:tcPr>
          <w:p w14:paraId="7F094D72">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10016" w:type="dxa"/>
            <w:noWrap w:val="0"/>
            <w:vAlign w:val="center"/>
          </w:tcPr>
          <w:p w14:paraId="24C689FC">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0A8E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7D0EBE6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3297" w:type="dxa"/>
            <w:noWrap w:val="0"/>
            <w:vAlign w:val="center"/>
          </w:tcPr>
          <w:p w14:paraId="1D475A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目标与责任</w:t>
            </w:r>
          </w:p>
        </w:tc>
        <w:tc>
          <w:tcPr>
            <w:tcW w:w="10016" w:type="dxa"/>
            <w:noWrap w:val="0"/>
            <w:vAlign w:val="center"/>
          </w:tcPr>
          <w:p w14:paraId="25C2C24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（1）结合采购人要求及物业服务实际情况，制定年度管理目标，明确责任分工，并制定配套实施方案。 </w:t>
            </w: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建立用制度规范管理、用标准规范服务的科学运行机制，不断提升物业服务质量和管理水平。按照《陕西物业服务二级标准》有关规定，要求物业服务达到二级标准，且有相关办公楼物业管理经验，以提供优质、高效、全方位的物业管理服务，创造“舒适、安全、优美、高雅”的办公环境。</w:t>
            </w:r>
          </w:p>
        </w:tc>
      </w:tr>
      <w:tr w14:paraId="2FE46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1F8F6C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3297" w:type="dxa"/>
            <w:vMerge w:val="restart"/>
            <w:noWrap w:val="0"/>
            <w:vAlign w:val="center"/>
          </w:tcPr>
          <w:p w14:paraId="712C81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服务人员要求</w:t>
            </w:r>
          </w:p>
        </w:tc>
        <w:tc>
          <w:tcPr>
            <w:tcW w:w="10016" w:type="dxa"/>
            <w:noWrap w:val="0"/>
            <w:vAlign w:val="center"/>
          </w:tcPr>
          <w:p w14:paraId="71A844A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（1）每季度至少开展1次岗位技能、职业素质、服务知识、客户文化、绿色节能环保等教育培训，并进行适当形式的考核。</w:t>
            </w:r>
          </w:p>
        </w:tc>
      </w:tr>
      <w:tr w14:paraId="6B2FE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E1F2990">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2766B980">
            <w:pPr>
              <w:bidi w:val="0"/>
              <w:rPr>
                <w:rFonts w:hint="eastAsia" w:ascii="楷体" w:hAnsi="楷体" w:eastAsia="楷体" w:cs="楷体"/>
                <w:sz w:val="24"/>
                <w:szCs w:val="24"/>
                <w:highlight w:val="none"/>
                <w:lang w:val="en-US" w:eastAsia="zh-CN"/>
              </w:rPr>
            </w:pPr>
          </w:p>
        </w:tc>
        <w:tc>
          <w:tcPr>
            <w:tcW w:w="10016" w:type="dxa"/>
            <w:noWrap w:val="0"/>
            <w:vAlign w:val="center"/>
          </w:tcPr>
          <w:p w14:paraId="0B9492C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（2）根据采购人要求对服务人员进行从业资格审查，审查结果向采购人报备。</w:t>
            </w:r>
          </w:p>
        </w:tc>
      </w:tr>
      <w:tr w14:paraId="764C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6D13A18">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43E93A59">
            <w:pPr>
              <w:bidi w:val="0"/>
              <w:rPr>
                <w:rFonts w:hint="eastAsia" w:ascii="楷体" w:hAnsi="楷体" w:eastAsia="楷体" w:cs="楷体"/>
                <w:sz w:val="24"/>
                <w:szCs w:val="24"/>
                <w:highlight w:val="none"/>
                <w:lang w:val="en-US" w:eastAsia="zh-CN"/>
              </w:rPr>
            </w:pPr>
          </w:p>
        </w:tc>
        <w:tc>
          <w:tcPr>
            <w:tcW w:w="10016" w:type="dxa"/>
            <w:noWrap w:val="0"/>
            <w:vAlign w:val="center"/>
          </w:tcPr>
          <w:p w14:paraId="5B9651C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bCs/>
                <w:color w:val="auto"/>
                <w:sz w:val="24"/>
                <w:szCs w:val="24"/>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持证上岗率85％以上，其中企业经理、部门经理、管理员90％以上持有物业管理上岗证书；特种作业员工100％持有政府专业管理部门颁发的有效上岗证书。</w:t>
            </w:r>
          </w:p>
        </w:tc>
      </w:tr>
      <w:tr w14:paraId="458EA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784C183">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2AE73B9B">
            <w:pPr>
              <w:bidi w:val="0"/>
              <w:rPr>
                <w:rFonts w:hint="eastAsia" w:ascii="楷体" w:hAnsi="楷体" w:eastAsia="楷体" w:cs="楷体"/>
                <w:sz w:val="24"/>
                <w:szCs w:val="24"/>
                <w:highlight w:val="none"/>
                <w:lang w:val="en-US" w:eastAsia="zh-CN"/>
              </w:rPr>
            </w:pPr>
          </w:p>
        </w:tc>
        <w:tc>
          <w:tcPr>
            <w:tcW w:w="10016" w:type="dxa"/>
            <w:noWrap w:val="0"/>
            <w:vAlign w:val="center"/>
          </w:tcPr>
          <w:p w14:paraId="7F53D92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w:t>
            </w:r>
            <w:r>
              <w:rPr>
                <w:rFonts w:hint="eastAsia" w:ascii="楷体" w:hAnsi="楷体" w:eastAsia="楷体" w:cs="楷体"/>
                <w:bCs/>
                <w:color w:val="auto"/>
                <w:sz w:val="24"/>
                <w:szCs w:val="24"/>
                <w:highlight w:val="none"/>
                <w:lang w:val="en-US" w:eastAsia="zh-CN"/>
              </w:rPr>
              <w:t>如采购人认为服务人员不适应岗位要求或存在其他影响工作的，可要求供应商进行调换。如因供应商原因对服务人员进行调换，应当经采购人同意，更换比例不得超过本项目服务人员总数的20%。</w:t>
            </w:r>
          </w:p>
        </w:tc>
      </w:tr>
      <w:tr w14:paraId="2A94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4B59F18">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4C7F2462">
            <w:pPr>
              <w:bidi w:val="0"/>
              <w:rPr>
                <w:rFonts w:hint="eastAsia" w:ascii="楷体" w:hAnsi="楷体" w:eastAsia="楷体" w:cs="楷体"/>
                <w:sz w:val="24"/>
                <w:szCs w:val="24"/>
                <w:highlight w:val="none"/>
                <w:lang w:val="en-US" w:eastAsia="zh-CN"/>
              </w:rPr>
            </w:pPr>
          </w:p>
        </w:tc>
        <w:tc>
          <w:tcPr>
            <w:tcW w:w="10016" w:type="dxa"/>
            <w:noWrap w:val="0"/>
            <w:vAlign w:val="center"/>
          </w:tcPr>
          <w:p w14:paraId="20CCD80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（5）着装分类统一，佩戴标识。仪容整洁、姿态端正、举止文明。用语文明礼貌，态度温和耐心。</w:t>
            </w:r>
          </w:p>
        </w:tc>
      </w:tr>
      <w:tr w14:paraId="153A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BB4B3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3297" w:type="dxa"/>
            <w:vMerge w:val="restart"/>
            <w:noWrap w:val="0"/>
            <w:vAlign w:val="center"/>
          </w:tcPr>
          <w:p w14:paraId="589C45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保密和思想政治教育</w:t>
            </w:r>
          </w:p>
        </w:tc>
        <w:tc>
          <w:tcPr>
            <w:tcW w:w="10016" w:type="dxa"/>
            <w:noWrap w:val="0"/>
            <w:vAlign w:val="center"/>
          </w:tcPr>
          <w:p w14:paraId="614CCF6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（1）建立保密管理制度。制度内容应当包括但不限于：①明确重点要害岗位保密职责。②对涉密工作岗位的保密要求。</w:t>
            </w:r>
          </w:p>
        </w:tc>
      </w:tr>
      <w:tr w14:paraId="2BAB8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004126E">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1BBB846D">
            <w:pPr>
              <w:bidi w:val="0"/>
              <w:rPr>
                <w:rFonts w:hint="eastAsia" w:ascii="楷体" w:hAnsi="楷体" w:eastAsia="楷体" w:cs="楷体"/>
                <w:sz w:val="24"/>
                <w:szCs w:val="24"/>
                <w:highlight w:val="none"/>
                <w:lang w:val="en-US" w:eastAsia="zh-CN"/>
              </w:rPr>
            </w:pPr>
          </w:p>
        </w:tc>
        <w:tc>
          <w:tcPr>
            <w:tcW w:w="10016" w:type="dxa"/>
            <w:noWrap w:val="0"/>
            <w:vAlign w:val="center"/>
          </w:tcPr>
          <w:p w14:paraId="332A474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（2）根据采购人要求与涉密工作岗位的服务人员签订保密协议。保密协议应当向采购人报备。</w:t>
            </w:r>
          </w:p>
        </w:tc>
      </w:tr>
      <w:tr w14:paraId="2F29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E5BD200">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74607291">
            <w:pPr>
              <w:bidi w:val="0"/>
              <w:rPr>
                <w:rFonts w:hint="eastAsia" w:ascii="楷体" w:hAnsi="楷体" w:eastAsia="楷体" w:cs="楷体"/>
                <w:sz w:val="24"/>
                <w:szCs w:val="24"/>
                <w:highlight w:val="none"/>
                <w:lang w:val="en-US" w:eastAsia="zh-CN"/>
              </w:rPr>
            </w:pPr>
          </w:p>
        </w:tc>
        <w:tc>
          <w:tcPr>
            <w:tcW w:w="10016" w:type="dxa"/>
            <w:noWrap w:val="0"/>
            <w:vAlign w:val="center"/>
          </w:tcPr>
          <w:p w14:paraId="17301B0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72185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9B5B84B">
            <w:pPr>
              <w:bidi w:val="0"/>
              <w:jc w:val="center"/>
              <w:rPr>
                <w:rFonts w:hint="eastAsia" w:ascii="楷体" w:hAnsi="楷体" w:eastAsia="楷体" w:cs="楷体"/>
                <w:sz w:val="24"/>
                <w:szCs w:val="24"/>
                <w:highlight w:val="none"/>
                <w:lang w:val="en-US" w:eastAsia="zh-CN"/>
              </w:rPr>
            </w:pPr>
          </w:p>
        </w:tc>
        <w:tc>
          <w:tcPr>
            <w:tcW w:w="3297" w:type="dxa"/>
            <w:vMerge w:val="continue"/>
            <w:noWrap w:val="0"/>
            <w:vAlign w:val="center"/>
          </w:tcPr>
          <w:p w14:paraId="152E7843">
            <w:pPr>
              <w:bidi w:val="0"/>
              <w:rPr>
                <w:rFonts w:hint="eastAsia" w:ascii="楷体" w:hAnsi="楷体" w:eastAsia="楷体" w:cs="楷体"/>
                <w:sz w:val="24"/>
                <w:szCs w:val="24"/>
                <w:highlight w:val="none"/>
                <w:lang w:val="en-US" w:eastAsia="zh-CN"/>
              </w:rPr>
            </w:pPr>
          </w:p>
        </w:tc>
        <w:tc>
          <w:tcPr>
            <w:tcW w:w="10016" w:type="dxa"/>
            <w:noWrap w:val="0"/>
            <w:vAlign w:val="center"/>
          </w:tcPr>
          <w:p w14:paraId="79B5E61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（4）发现服务人员违法违规或重大过失，及时报告采购人，并采取必要补救措施。</w:t>
            </w:r>
          </w:p>
        </w:tc>
      </w:tr>
      <w:tr w14:paraId="418F7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00DC5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3297" w:type="dxa"/>
            <w:vMerge w:val="restart"/>
            <w:noWrap w:val="0"/>
            <w:vAlign w:val="center"/>
          </w:tcPr>
          <w:p w14:paraId="71DBE5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档案管理</w:t>
            </w:r>
          </w:p>
        </w:tc>
        <w:tc>
          <w:tcPr>
            <w:tcW w:w="10016" w:type="dxa"/>
            <w:noWrap w:val="0"/>
            <w:vAlign w:val="center"/>
          </w:tcPr>
          <w:p w14:paraId="40758D4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（1）建立物业信息，准确、及时地对文件资料和服务记录进行归档保存，并确保其物理安全。</w:t>
            </w:r>
          </w:p>
        </w:tc>
      </w:tr>
      <w:tr w14:paraId="2ED79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2E95F02">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2B724095">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35A4620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楷体" w:hAnsi="楷体" w:eastAsia="楷体" w:cs="楷体"/>
                <w:color w:val="auto"/>
                <w:kern w:val="0"/>
                <w:sz w:val="24"/>
                <w:szCs w:val="24"/>
                <w:highlight w:val="none"/>
              </w:rPr>
              <w:t>设施设备安全运行、设施设备定期巡检、维护保养、维修档案</w:t>
            </w:r>
            <w:r>
              <w:rPr>
                <w:rFonts w:hint="eastAsia" w:ascii="楷体" w:hAnsi="楷体" w:eastAsia="楷体" w:cs="楷体"/>
                <w:b w:val="0"/>
                <w:bCs w:val="0"/>
                <w:color w:val="auto"/>
                <w:kern w:val="0"/>
                <w:sz w:val="24"/>
                <w:szCs w:val="24"/>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7BD9B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17F51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1EFDA9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15B3DD6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（3）遵守采购人的信息、档案资料保密要求，未经许可，不得将建筑物平面图等资料转作其他用途或向其他单位、个人提供。</w:t>
            </w:r>
          </w:p>
        </w:tc>
      </w:tr>
      <w:tr w14:paraId="6C68B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F582C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620F4C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6D97F76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（4）履约结束后，相关资料交还采购人，采购人按政府采购相关规定存档。</w:t>
            </w:r>
          </w:p>
        </w:tc>
      </w:tr>
      <w:tr w14:paraId="4543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C21CA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3297" w:type="dxa"/>
            <w:vMerge w:val="restart"/>
            <w:noWrap w:val="0"/>
            <w:vAlign w:val="center"/>
          </w:tcPr>
          <w:p w14:paraId="565C7B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分包供应商管理</w:t>
            </w:r>
          </w:p>
        </w:tc>
        <w:tc>
          <w:tcPr>
            <w:tcW w:w="10016" w:type="dxa"/>
            <w:noWrap w:val="0"/>
            <w:vAlign w:val="center"/>
          </w:tcPr>
          <w:p w14:paraId="7E117C1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（1）合理控制外包服务人员数量和流动率。</w:t>
            </w:r>
          </w:p>
        </w:tc>
      </w:tr>
      <w:tr w14:paraId="3D05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5E93B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300BCE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0B44127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（2）根据采购人要求明确对分包供应商的要求，确定工作流程。</w:t>
            </w:r>
          </w:p>
        </w:tc>
      </w:tr>
      <w:tr w14:paraId="27BAA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CFF00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245534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268E9E9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（3）明确安全管理责任和保密责任，签订安全管理责任书和保密责任书。</w:t>
            </w:r>
          </w:p>
        </w:tc>
      </w:tr>
      <w:tr w14:paraId="4C50F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B7231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18B69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5F452E8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（4）开展服务检查和监管，评估服务效果，必要时进行服务流程调整。</w:t>
            </w:r>
          </w:p>
        </w:tc>
      </w:tr>
      <w:tr w14:paraId="6431B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D8F76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41A56D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7D57606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（5）根据工作反馈意见与建议，持续提升服务品质。</w:t>
            </w:r>
          </w:p>
        </w:tc>
      </w:tr>
      <w:tr w14:paraId="4493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46CF6B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6</w:t>
            </w:r>
          </w:p>
          <w:p w14:paraId="67E83D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restart"/>
            <w:noWrap w:val="0"/>
            <w:vAlign w:val="center"/>
          </w:tcPr>
          <w:p w14:paraId="346D4B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服务改进</w:t>
            </w:r>
          </w:p>
          <w:p w14:paraId="61BB0F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584FEAE4">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（1）明确负责人，定期对物业服务过程进行自查，结合反馈意见与评价结果采取改进措施，持续提升管理与服务水平。</w:t>
            </w:r>
          </w:p>
        </w:tc>
      </w:tr>
      <w:tr w14:paraId="3478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E2A7F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3CA411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59DBCA6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（2）对不合格服务进行控制，对不合格服务的原因进行识别和分析，及时采取纠正措施，消除不合格的原因，防止不合格再发生。</w:t>
            </w:r>
          </w:p>
        </w:tc>
      </w:tr>
      <w:tr w14:paraId="0B92D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8C747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DA8BA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16" w:type="dxa"/>
            <w:noWrap w:val="0"/>
            <w:vAlign w:val="center"/>
          </w:tcPr>
          <w:p w14:paraId="135AC51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（3）需整改问题及时整改完成。</w:t>
            </w:r>
          </w:p>
        </w:tc>
      </w:tr>
      <w:tr w14:paraId="53956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0AB2D9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7</w:t>
            </w:r>
          </w:p>
        </w:tc>
        <w:tc>
          <w:tcPr>
            <w:tcW w:w="3297" w:type="dxa"/>
            <w:vMerge w:val="restart"/>
            <w:noWrap w:val="0"/>
            <w:vAlign w:val="center"/>
          </w:tcPr>
          <w:p w14:paraId="0F1D91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重大活动后勤保障</w:t>
            </w:r>
          </w:p>
        </w:tc>
        <w:tc>
          <w:tcPr>
            <w:tcW w:w="10016" w:type="dxa"/>
            <w:noWrap w:val="0"/>
            <w:vAlign w:val="center"/>
          </w:tcPr>
          <w:p w14:paraId="2C29B65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（1）制订流程。配合采购人制订重大活动后勤保障工作流程，需对任务进行详细了解，并根据工作安排制定详细的后勤保障计划。</w:t>
            </w:r>
          </w:p>
        </w:tc>
      </w:tr>
      <w:tr w14:paraId="16AB4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57D8843">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5047373">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4EFD8B7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5168B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FEFFCC4">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4FB43E5">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7E9FEB3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（3）收尾工作。对现场进行检查，做好清理工作。</w:t>
            </w:r>
          </w:p>
        </w:tc>
      </w:tr>
      <w:tr w14:paraId="664C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DF0C1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color w:val="auto"/>
                <w:kern w:val="0"/>
                <w:sz w:val="24"/>
                <w:szCs w:val="24"/>
                <w:highlight w:val="none"/>
                <w:lang w:val="en-US" w:eastAsia="zh-CN"/>
              </w:rPr>
            </w:pPr>
            <w:r>
              <w:rPr>
                <w:rFonts w:hint="eastAsia" w:ascii="楷体" w:hAnsi="楷体" w:eastAsia="楷体" w:cs="楷体"/>
                <w:color w:val="auto"/>
                <w:kern w:val="0"/>
                <w:sz w:val="24"/>
                <w:szCs w:val="24"/>
                <w:highlight w:val="none"/>
                <w:lang w:val="en-US" w:eastAsia="zh-CN"/>
              </w:rPr>
              <w:t>8</w:t>
            </w:r>
          </w:p>
        </w:tc>
        <w:tc>
          <w:tcPr>
            <w:tcW w:w="3297" w:type="dxa"/>
            <w:vMerge w:val="restart"/>
            <w:noWrap w:val="0"/>
            <w:vAlign w:val="center"/>
          </w:tcPr>
          <w:p w14:paraId="0AD708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r>
              <w:rPr>
                <w:rFonts w:hint="eastAsia" w:ascii="楷体" w:hAnsi="楷体" w:eastAsia="楷体" w:cs="楷体"/>
                <w:color w:val="auto"/>
                <w:kern w:val="0"/>
                <w:sz w:val="24"/>
                <w:szCs w:val="24"/>
                <w:highlight w:val="none"/>
                <w:lang w:val="en-US" w:eastAsia="zh-CN"/>
              </w:rPr>
              <w:t>应急保障预案</w:t>
            </w:r>
          </w:p>
        </w:tc>
        <w:tc>
          <w:tcPr>
            <w:tcW w:w="10016" w:type="dxa"/>
            <w:noWrap w:val="0"/>
            <w:vAlign w:val="center"/>
          </w:tcPr>
          <w:p w14:paraId="4024B0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color w:val="auto"/>
                <w:sz w:val="24"/>
                <w:szCs w:val="24"/>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3168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73FD2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color w:val="auto"/>
                <w:kern w:val="0"/>
                <w:sz w:val="24"/>
                <w:szCs w:val="24"/>
                <w:highlight w:val="none"/>
                <w:lang w:val="en-US" w:eastAsia="zh-CN"/>
              </w:rPr>
            </w:pPr>
          </w:p>
        </w:tc>
        <w:tc>
          <w:tcPr>
            <w:tcW w:w="3297" w:type="dxa"/>
            <w:vMerge w:val="continue"/>
            <w:noWrap w:val="0"/>
            <w:vAlign w:val="center"/>
          </w:tcPr>
          <w:p w14:paraId="4EFFB4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color w:val="auto"/>
                <w:kern w:val="0"/>
                <w:sz w:val="24"/>
                <w:szCs w:val="24"/>
                <w:highlight w:val="none"/>
                <w:lang w:val="en-US" w:eastAsia="zh-CN"/>
              </w:rPr>
            </w:pPr>
          </w:p>
        </w:tc>
        <w:tc>
          <w:tcPr>
            <w:tcW w:w="10016" w:type="dxa"/>
            <w:noWrap w:val="0"/>
            <w:vAlign w:val="center"/>
          </w:tcPr>
          <w:p w14:paraId="2DDE50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color w:val="auto"/>
                <w:sz w:val="24"/>
                <w:szCs w:val="24"/>
                <w:highlight w:val="none"/>
                <w:u w:val="none"/>
                <w:lang w:val="en-US" w:eastAsia="zh-CN"/>
              </w:rPr>
              <w:t>应急预案的建立。根据办公楼隐患排查的结果和实际情况，制定专项预案，包括但不限于：火情火警紧急处理应急预案、紧急疏散应急预案、停水停电应急预案、恶劣天气应对应急预案等。</w:t>
            </w:r>
          </w:p>
        </w:tc>
      </w:tr>
      <w:tr w14:paraId="5E30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04988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color w:val="auto"/>
                <w:kern w:val="0"/>
                <w:sz w:val="24"/>
                <w:szCs w:val="24"/>
                <w:highlight w:val="none"/>
                <w:lang w:val="en-US" w:eastAsia="zh-CN"/>
              </w:rPr>
            </w:pPr>
          </w:p>
        </w:tc>
        <w:tc>
          <w:tcPr>
            <w:tcW w:w="3297" w:type="dxa"/>
            <w:vMerge w:val="continue"/>
            <w:noWrap w:val="0"/>
            <w:vAlign w:val="center"/>
          </w:tcPr>
          <w:p w14:paraId="710489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color w:val="auto"/>
                <w:kern w:val="0"/>
                <w:sz w:val="24"/>
                <w:szCs w:val="24"/>
                <w:highlight w:val="none"/>
                <w:lang w:val="en-US" w:eastAsia="zh-CN"/>
              </w:rPr>
            </w:pPr>
          </w:p>
        </w:tc>
        <w:tc>
          <w:tcPr>
            <w:tcW w:w="10016" w:type="dxa"/>
            <w:noWrap w:val="0"/>
            <w:vAlign w:val="center"/>
          </w:tcPr>
          <w:p w14:paraId="30AFB7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color w:val="auto"/>
                <w:sz w:val="24"/>
                <w:szCs w:val="24"/>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494B3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CB295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color w:val="auto"/>
                <w:kern w:val="0"/>
                <w:sz w:val="24"/>
                <w:szCs w:val="24"/>
                <w:highlight w:val="none"/>
                <w:lang w:val="en-US" w:eastAsia="zh-CN"/>
              </w:rPr>
            </w:pPr>
          </w:p>
        </w:tc>
        <w:tc>
          <w:tcPr>
            <w:tcW w:w="3297" w:type="dxa"/>
            <w:vMerge w:val="continue"/>
            <w:noWrap w:val="0"/>
            <w:vAlign w:val="center"/>
          </w:tcPr>
          <w:p w14:paraId="1EC213B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4C1B4F5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w:t>
            </w:r>
            <w:r>
              <w:rPr>
                <w:rFonts w:hint="eastAsia" w:ascii="楷体" w:hAnsi="楷体" w:eastAsia="楷体" w:cs="楷体"/>
                <w:color w:val="auto"/>
                <w:sz w:val="24"/>
                <w:szCs w:val="24"/>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7E72B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FE8C9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9</w:t>
            </w:r>
          </w:p>
        </w:tc>
        <w:tc>
          <w:tcPr>
            <w:tcW w:w="3297" w:type="dxa"/>
            <w:vMerge w:val="restart"/>
            <w:noWrap w:val="0"/>
            <w:vAlign w:val="center"/>
          </w:tcPr>
          <w:p w14:paraId="174F14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服务方案及工作制度</w:t>
            </w:r>
          </w:p>
        </w:tc>
        <w:tc>
          <w:tcPr>
            <w:tcW w:w="10016" w:type="dxa"/>
            <w:noWrap w:val="0"/>
            <w:vAlign w:val="center"/>
          </w:tcPr>
          <w:p w14:paraId="23A485F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Cs/>
                <w:color w:val="auto"/>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（1）制定工作制度，</w:t>
            </w:r>
            <w:r>
              <w:rPr>
                <w:rFonts w:hint="eastAsia" w:ascii="楷体" w:hAnsi="楷体" w:eastAsia="楷体" w:cs="楷体"/>
                <w:bCs/>
                <w:color w:val="auto"/>
                <w:sz w:val="24"/>
                <w:szCs w:val="24"/>
                <w:highlight w:val="none"/>
                <w:lang w:eastAsia="zh-CN"/>
              </w:rPr>
              <w:t>主要</w:t>
            </w:r>
            <w:r>
              <w:rPr>
                <w:rFonts w:hint="eastAsia" w:ascii="楷体" w:hAnsi="楷体" w:eastAsia="楷体" w:cs="楷体"/>
                <w:bCs/>
                <w:color w:val="auto"/>
                <w:sz w:val="24"/>
                <w:szCs w:val="24"/>
                <w:highlight w:val="none"/>
              </w:rPr>
              <w:t>包括：</w:t>
            </w:r>
            <w:r>
              <w:rPr>
                <w:rFonts w:hint="eastAsia" w:ascii="楷体" w:hAnsi="楷体" w:eastAsia="楷体" w:cs="楷体"/>
                <w:bCs/>
                <w:color w:val="auto"/>
                <w:sz w:val="24"/>
                <w:szCs w:val="24"/>
                <w:highlight w:val="none"/>
                <w:lang w:val="en-US" w:eastAsia="zh-CN"/>
              </w:rPr>
              <w:t>人员录用制度、</w:t>
            </w:r>
            <w:r>
              <w:rPr>
                <w:rFonts w:hint="eastAsia" w:ascii="楷体" w:hAnsi="楷体" w:eastAsia="楷体" w:cs="楷体"/>
                <w:b w:val="0"/>
                <w:bCs w:val="0"/>
                <w:color w:val="auto"/>
                <w:kern w:val="0"/>
                <w:sz w:val="24"/>
                <w:szCs w:val="24"/>
                <w:highlight w:val="none"/>
                <w:lang w:val="en-US" w:eastAsia="zh-CN"/>
              </w:rPr>
              <w:t>档案管理制度、</w:t>
            </w:r>
            <w:r>
              <w:rPr>
                <w:rFonts w:hint="eastAsia" w:ascii="楷体" w:hAnsi="楷体" w:eastAsia="楷体" w:cs="楷体"/>
                <w:bCs/>
                <w:color w:val="auto"/>
                <w:sz w:val="24"/>
                <w:szCs w:val="24"/>
                <w:highlight w:val="none"/>
              </w:rPr>
              <w:t>物业服务管理制度</w:t>
            </w:r>
            <w:r>
              <w:rPr>
                <w:rFonts w:hint="eastAsia" w:ascii="楷体" w:hAnsi="楷体" w:eastAsia="楷体" w:cs="楷体"/>
                <w:bCs/>
                <w:color w:val="auto"/>
                <w:sz w:val="24"/>
                <w:szCs w:val="24"/>
                <w:highlight w:val="none"/>
                <w:lang w:eastAsia="zh-CN"/>
              </w:rPr>
              <w:t>、</w:t>
            </w:r>
            <w:r>
              <w:rPr>
                <w:rFonts w:hint="eastAsia" w:ascii="楷体" w:hAnsi="楷体" w:eastAsia="楷体" w:cs="楷体"/>
                <w:b w:val="0"/>
                <w:bCs w:val="0"/>
                <w:color w:val="auto"/>
                <w:kern w:val="0"/>
                <w:sz w:val="24"/>
                <w:szCs w:val="24"/>
                <w:highlight w:val="none"/>
                <w:lang w:val="en-US" w:eastAsia="zh-CN"/>
              </w:rPr>
              <w:t>公用设施设备相关管理制度等</w:t>
            </w:r>
            <w:r>
              <w:rPr>
                <w:rFonts w:hint="eastAsia" w:ascii="楷体" w:hAnsi="楷体" w:eastAsia="楷体" w:cs="楷体"/>
                <w:bCs/>
                <w:color w:val="auto"/>
                <w:sz w:val="24"/>
                <w:szCs w:val="24"/>
                <w:highlight w:val="none"/>
                <w:lang w:eastAsia="zh-CN"/>
              </w:rPr>
              <w:t>。</w:t>
            </w:r>
          </w:p>
        </w:tc>
      </w:tr>
      <w:tr w14:paraId="39E17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AAB23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1AA3CA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7E4E150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（2）制定</w:t>
            </w:r>
            <w:r>
              <w:rPr>
                <w:rFonts w:hint="eastAsia" w:ascii="楷体" w:hAnsi="楷体" w:eastAsia="楷体" w:cs="楷体"/>
                <w:bCs/>
                <w:color w:val="auto"/>
                <w:sz w:val="24"/>
                <w:szCs w:val="24"/>
                <w:highlight w:val="none"/>
              </w:rPr>
              <w:t>项目实施方案</w:t>
            </w:r>
            <w:r>
              <w:rPr>
                <w:rFonts w:hint="eastAsia" w:ascii="楷体" w:hAnsi="楷体" w:eastAsia="楷体" w:cs="楷体"/>
                <w:bCs/>
                <w:color w:val="auto"/>
                <w:sz w:val="24"/>
                <w:szCs w:val="24"/>
                <w:highlight w:val="none"/>
                <w:lang w:eastAsia="zh-CN"/>
              </w:rPr>
              <w:t>，主要</w:t>
            </w:r>
            <w:r>
              <w:rPr>
                <w:rFonts w:hint="eastAsia" w:ascii="楷体" w:hAnsi="楷体" w:eastAsia="楷体" w:cs="楷体"/>
                <w:bCs/>
                <w:color w:val="auto"/>
                <w:sz w:val="24"/>
                <w:szCs w:val="24"/>
                <w:highlight w:val="none"/>
              </w:rPr>
              <w:t>包括：</w:t>
            </w:r>
            <w:r>
              <w:rPr>
                <w:rFonts w:hint="eastAsia" w:ascii="楷体" w:hAnsi="楷体" w:eastAsia="楷体" w:cs="楷体"/>
                <w:bCs/>
                <w:color w:val="auto"/>
                <w:sz w:val="24"/>
                <w:szCs w:val="24"/>
                <w:highlight w:val="none"/>
                <w:lang w:val="en-US" w:eastAsia="zh-CN"/>
              </w:rPr>
              <w:t>交接</w:t>
            </w:r>
            <w:r>
              <w:rPr>
                <w:rFonts w:hint="eastAsia" w:ascii="楷体" w:hAnsi="楷体" w:eastAsia="楷体" w:cs="楷体"/>
                <w:bCs/>
                <w:color w:val="auto"/>
                <w:sz w:val="24"/>
                <w:szCs w:val="24"/>
                <w:highlight w:val="none"/>
              </w:rPr>
              <w:t>方案、人员培训方案、人员稳定性方案、保密方案</w:t>
            </w:r>
            <w:r>
              <w:rPr>
                <w:rFonts w:hint="eastAsia" w:ascii="楷体" w:hAnsi="楷体" w:eastAsia="楷体" w:cs="楷体"/>
                <w:bCs/>
                <w:color w:val="auto"/>
                <w:sz w:val="24"/>
                <w:szCs w:val="24"/>
                <w:highlight w:val="none"/>
                <w:lang w:eastAsia="zh-CN"/>
              </w:rPr>
              <w:t>等</w:t>
            </w:r>
            <w:r>
              <w:rPr>
                <w:rFonts w:hint="eastAsia" w:ascii="楷体" w:hAnsi="楷体" w:eastAsia="楷体" w:cs="楷体"/>
                <w:bCs/>
                <w:color w:val="auto"/>
                <w:sz w:val="24"/>
                <w:szCs w:val="24"/>
                <w:highlight w:val="none"/>
              </w:rPr>
              <w:t>。</w:t>
            </w:r>
          </w:p>
        </w:tc>
      </w:tr>
      <w:tr w14:paraId="67A4C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FBDD63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F3399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2816AA6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（3）制定</w:t>
            </w:r>
            <w:r>
              <w:rPr>
                <w:rFonts w:hint="eastAsia" w:ascii="楷体" w:hAnsi="楷体" w:eastAsia="楷体" w:cs="楷体"/>
                <w:bCs/>
                <w:color w:val="auto"/>
                <w:sz w:val="24"/>
                <w:szCs w:val="24"/>
                <w:highlight w:val="none"/>
              </w:rPr>
              <w:t>物业服务方案</w:t>
            </w:r>
            <w:r>
              <w:rPr>
                <w:rFonts w:hint="eastAsia" w:ascii="楷体" w:hAnsi="楷体" w:eastAsia="楷体" w:cs="楷体"/>
                <w:bCs/>
                <w:color w:val="auto"/>
                <w:sz w:val="24"/>
                <w:szCs w:val="24"/>
                <w:highlight w:val="none"/>
                <w:lang w:eastAsia="zh-CN"/>
              </w:rPr>
              <w:t>，主要</w:t>
            </w:r>
            <w:r>
              <w:rPr>
                <w:rFonts w:hint="eastAsia" w:ascii="楷体" w:hAnsi="楷体" w:eastAsia="楷体" w:cs="楷体"/>
                <w:bCs/>
                <w:color w:val="auto"/>
                <w:sz w:val="24"/>
                <w:szCs w:val="24"/>
                <w:highlight w:val="none"/>
              </w:rPr>
              <w:t>包括：</w:t>
            </w:r>
            <w:r>
              <w:rPr>
                <w:rFonts w:hint="eastAsia" w:ascii="楷体" w:hAnsi="楷体" w:eastAsia="楷体" w:cs="楷体"/>
                <w:bCs/>
                <w:color w:val="auto"/>
                <w:sz w:val="24"/>
                <w:szCs w:val="24"/>
                <w:highlight w:val="none"/>
                <w:lang w:val="en-US" w:eastAsia="zh-CN"/>
              </w:rPr>
              <w:t>房屋维护服务方案、公用设施设备维护服务方案、</w:t>
            </w:r>
            <w:r>
              <w:rPr>
                <w:rFonts w:hint="eastAsia" w:ascii="楷体" w:hAnsi="楷体" w:eastAsia="楷体" w:cs="楷体"/>
                <w:bCs/>
                <w:color w:val="auto"/>
                <w:sz w:val="24"/>
                <w:szCs w:val="24"/>
                <w:highlight w:val="none"/>
              </w:rPr>
              <w:t>绿化</w:t>
            </w:r>
            <w:r>
              <w:rPr>
                <w:rFonts w:hint="eastAsia" w:ascii="楷体" w:hAnsi="楷体" w:eastAsia="楷体" w:cs="楷体"/>
                <w:bCs/>
                <w:color w:val="auto"/>
                <w:sz w:val="24"/>
                <w:szCs w:val="24"/>
                <w:highlight w:val="none"/>
                <w:lang w:val="en-US" w:eastAsia="zh-CN"/>
              </w:rPr>
              <w:t>服务</w:t>
            </w:r>
            <w:r>
              <w:rPr>
                <w:rFonts w:hint="eastAsia" w:ascii="楷体" w:hAnsi="楷体" w:eastAsia="楷体" w:cs="楷体"/>
                <w:bCs/>
                <w:color w:val="auto"/>
                <w:sz w:val="24"/>
                <w:szCs w:val="24"/>
                <w:highlight w:val="none"/>
              </w:rPr>
              <w:t>方案</w:t>
            </w:r>
            <w:r>
              <w:rPr>
                <w:rFonts w:hint="eastAsia" w:ascii="楷体" w:hAnsi="楷体" w:eastAsia="楷体" w:cs="楷体"/>
                <w:bCs/>
                <w:color w:val="auto"/>
                <w:sz w:val="24"/>
                <w:szCs w:val="24"/>
                <w:highlight w:val="none"/>
                <w:lang w:eastAsia="zh-CN"/>
              </w:rPr>
              <w:t>、</w:t>
            </w:r>
            <w:r>
              <w:rPr>
                <w:rFonts w:hint="eastAsia" w:ascii="楷体" w:hAnsi="楷体" w:eastAsia="楷体" w:cs="楷体"/>
                <w:bCs/>
                <w:color w:val="auto"/>
                <w:sz w:val="24"/>
                <w:szCs w:val="24"/>
                <w:highlight w:val="none"/>
              </w:rPr>
              <w:t>保洁服务方案、</w:t>
            </w:r>
            <w:r>
              <w:rPr>
                <w:rFonts w:hint="eastAsia" w:ascii="楷体" w:hAnsi="楷体" w:eastAsia="楷体" w:cs="楷体"/>
                <w:bCs/>
                <w:color w:val="auto"/>
                <w:sz w:val="24"/>
                <w:szCs w:val="24"/>
                <w:highlight w:val="none"/>
                <w:lang w:val="en-US" w:eastAsia="zh-CN"/>
              </w:rPr>
              <w:t>保安</w:t>
            </w:r>
            <w:r>
              <w:rPr>
                <w:rFonts w:hint="eastAsia" w:ascii="楷体" w:hAnsi="楷体" w:eastAsia="楷体" w:cs="楷体"/>
                <w:bCs/>
                <w:color w:val="auto"/>
                <w:sz w:val="24"/>
                <w:szCs w:val="24"/>
                <w:highlight w:val="none"/>
              </w:rPr>
              <w:t>服务方案、会议服务方案</w:t>
            </w:r>
            <w:r>
              <w:rPr>
                <w:rFonts w:hint="eastAsia" w:ascii="楷体" w:hAnsi="楷体" w:eastAsia="楷体" w:cs="楷体"/>
                <w:bCs/>
                <w:color w:val="auto"/>
                <w:sz w:val="24"/>
                <w:szCs w:val="24"/>
                <w:highlight w:val="none"/>
                <w:lang w:val="en-US" w:eastAsia="zh-CN"/>
              </w:rPr>
              <w:t>等</w:t>
            </w:r>
            <w:r>
              <w:rPr>
                <w:rFonts w:hint="eastAsia" w:ascii="楷体" w:hAnsi="楷体" w:eastAsia="楷体" w:cs="楷体"/>
                <w:bCs/>
                <w:color w:val="auto"/>
                <w:sz w:val="24"/>
                <w:szCs w:val="24"/>
                <w:highlight w:val="none"/>
              </w:rPr>
              <w:t>。</w:t>
            </w:r>
          </w:p>
        </w:tc>
      </w:tr>
      <w:tr w14:paraId="2091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320317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10</w:t>
            </w:r>
          </w:p>
        </w:tc>
        <w:tc>
          <w:tcPr>
            <w:tcW w:w="3297" w:type="dxa"/>
            <w:vMerge w:val="restart"/>
            <w:noWrap w:val="0"/>
            <w:vAlign w:val="center"/>
          </w:tcPr>
          <w:p w14:paraId="572930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信报服务</w:t>
            </w:r>
          </w:p>
        </w:tc>
        <w:tc>
          <w:tcPr>
            <w:tcW w:w="10016" w:type="dxa"/>
            <w:noWrap w:val="0"/>
            <w:vAlign w:val="center"/>
          </w:tcPr>
          <w:p w14:paraId="08762159">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（1）对邮件、包裹和挂号信等进行正确分理、安全检查和防疫卫生检查。</w:t>
            </w:r>
          </w:p>
        </w:tc>
      </w:tr>
      <w:tr w14:paraId="6A95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0E68C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087839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0F136281">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（2）及时投送或通知收件人领取。</w:t>
            </w:r>
          </w:p>
        </w:tc>
      </w:tr>
      <w:tr w14:paraId="47836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4EF0C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31B91D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6EBAD7E1">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color w:val="auto"/>
                <w:sz w:val="24"/>
                <w:szCs w:val="24"/>
                <w:highlight w:val="none"/>
                <w:u w:val="none"/>
              </w:rPr>
              <w:t>大件物品出入</w:t>
            </w:r>
            <w:r>
              <w:rPr>
                <w:rFonts w:hint="eastAsia" w:ascii="楷体" w:hAnsi="楷体" w:eastAsia="楷体" w:cs="楷体"/>
                <w:color w:val="auto"/>
                <w:sz w:val="24"/>
                <w:szCs w:val="24"/>
                <w:highlight w:val="none"/>
                <w:u w:val="none"/>
                <w:lang w:val="en-US" w:eastAsia="zh-CN"/>
              </w:rPr>
              <w:t>向采购人报告，待采购人确认无误后放行</w:t>
            </w:r>
            <w:r>
              <w:rPr>
                <w:rFonts w:hint="eastAsia" w:ascii="楷体" w:hAnsi="楷体" w:eastAsia="楷体" w:cs="楷体"/>
                <w:color w:val="auto"/>
                <w:sz w:val="24"/>
                <w:szCs w:val="24"/>
                <w:highlight w:val="none"/>
                <w:u w:val="none"/>
                <w:lang w:eastAsia="zh-CN"/>
              </w:rPr>
              <w:t>。</w:t>
            </w:r>
          </w:p>
        </w:tc>
      </w:tr>
      <w:tr w14:paraId="316AB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D93A6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11</w:t>
            </w:r>
          </w:p>
        </w:tc>
        <w:tc>
          <w:tcPr>
            <w:tcW w:w="3297" w:type="dxa"/>
            <w:vMerge w:val="restart"/>
            <w:noWrap w:val="0"/>
            <w:vAlign w:val="center"/>
          </w:tcPr>
          <w:p w14:paraId="7AAE9E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服务热线及紧急维修</w:t>
            </w:r>
          </w:p>
        </w:tc>
        <w:tc>
          <w:tcPr>
            <w:tcW w:w="10016" w:type="dxa"/>
            <w:noWrap w:val="0"/>
            <w:vAlign w:val="center"/>
          </w:tcPr>
          <w:p w14:paraId="5BA1010E">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（1）设置24小时报修服务热线。</w:t>
            </w:r>
          </w:p>
        </w:tc>
      </w:tr>
      <w:tr w14:paraId="2D083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AFA8C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297" w:type="dxa"/>
            <w:vMerge w:val="continue"/>
            <w:noWrap w:val="0"/>
            <w:vAlign w:val="center"/>
          </w:tcPr>
          <w:p w14:paraId="6D1732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eastAsia" w:ascii="楷体" w:hAnsi="楷体" w:eastAsia="楷体" w:cs="楷体"/>
                <w:sz w:val="24"/>
                <w:szCs w:val="24"/>
                <w:highlight w:val="none"/>
                <w:lang w:val="en-US" w:eastAsia="zh-CN"/>
              </w:rPr>
            </w:pPr>
          </w:p>
        </w:tc>
        <w:tc>
          <w:tcPr>
            <w:tcW w:w="10016" w:type="dxa"/>
            <w:noWrap w:val="0"/>
            <w:vAlign w:val="center"/>
          </w:tcPr>
          <w:p w14:paraId="10FD38F7">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color w:val="auto"/>
                <w:sz w:val="24"/>
                <w:szCs w:val="24"/>
                <w:highlight w:val="none"/>
                <w:u w:val="none"/>
                <w:lang w:val="en-US" w:eastAsia="zh-CN"/>
              </w:rPr>
              <w:t>紧急维修应当15分钟内到达现场，不间断维修直至修复。</w:t>
            </w:r>
          </w:p>
        </w:tc>
      </w:tr>
    </w:tbl>
    <w:p w14:paraId="76CECC18">
      <w:pPr>
        <w:pStyle w:val="3"/>
        <w:bidi w:val="0"/>
        <w:rPr>
          <w:rFonts w:hint="eastAsia" w:ascii="楷体" w:hAnsi="楷体" w:eastAsia="楷体" w:cs="楷体"/>
          <w:sz w:val="24"/>
          <w:szCs w:val="24"/>
          <w:highlight w:val="none"/>
          <w:lang w:val="en-US" w:eastAsia="zh-CN"/>
        </w:rPr>
      </w:pPr>
    </w:p>
    <w:p w14:paraId="22B1E3FF">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3.2房屋维护服务</w:t>
      </w: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60096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noWrap w:val="0"/>
            <w:vAlign w:val="center"/>
          </w:tcPr>
          <w:p w14:paraId="61837472">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319" w:type="dxa"/>
            <w:noWrap w:val="0"/>
            <w:vAlign w:val="center"/>
          </w:tcPr>
          <w:p w14:paraId="047EE706">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10000" w:type="dxa"/>
            <w:noWrap w:val="0"/>
            <w:vAlign w:val="center"/>
          </w:tcPr>
          <w:p w14:paraId="332402B4">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65319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3A665C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3319" w:type="dxa"/>
            <w:vMerge w:val="restart"/>
            <w:noWrap w:val="0"/>
            <w:vAlign w:val="center"/>
          </w:tcPr>
          <w:p w14:paraId="4AA4F4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b w:val="0"/>
                <w:bCs w:val="0"/>
                <w:color w:val="auto"/>
                <w:sz w:val="24"/>
                <w:szCs w:val="24"/>
              </w:rPr>
              <w:t>主体结构、围护结构、部品部件</w:t>
            </w:r>
          </w:p>
        </w:tc>
        <w:tc>
          <w:tcPr>
            <w:tcW w:w="10000" w:type="dxa"/>
            <w:noWrap w:val="0"/>
            <w:vAlign w:val="center"/>
          </w:tcPr>
          <w:p w14:paraId="5CB6748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（1）每季度至少开展1次房屋结构安全巡视，发现外观有变形、开裂等现象，及时建议采购人申请房屋安全鉴定，并采取必要的避险和防护措施。</w:t>
            </w:r>
          </w:p>
        </w:tc>
      </w:tr>
      <w:tr w14:paraId="605D6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7D2818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5E0A25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5E948D0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1693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777BF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4E875B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00" w:type="dxa"/>
            <w:noWrap w:val="0"/>
            <w:vAlign w:val="center"/>
          </w:tcPr>
          <w:p w14:paraId="178D1F7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005A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93C6F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366B1C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00" w:type="dxa"/>
            <w:noWrap w:val="0"/>
            <w:vAlign w:val="center"/>
          </w:tcPr>
          <w:p w14:paraId="5CE5D4E9">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27E96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1E8EA6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46764B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00" w:type="dxa"/>
            <w:noWrap w:val="0"/>
            <w:vAlign w:val="center"/>
          </w:tcPr>
          <w:p w14:paraId="7C8CBD39">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w:t>
            </w:r>
            <w:r>
              <w:rPr>
                <w:rFonts w:hint="eastAsia" w:ascii="楷体" w:hAnsi="楷体" w:eastAsia="楷体" w:cs="楷体"/>
                <w:color w:val="auto"/>
                <w:sz w:val="24"/>
                <w:szCs w:val="24"/>
                <w:highlight w:val="none"/>
                <w:u w:val="none"/>
                <w:lang w:val="en-US" w:eastAsia="zh-CN"/>
              </w:rPr>
              <w:t>办公楼外观完好，建筑装饰面无脱落、无破损、无污渍，玻璃幕墙清洁明亮、无破损。</w:t>
            </w:r>
          </w:p>
        </w:tc>
      </w:tr>
      <w:tr w14:paraId="09162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0D980C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6A3790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00" w:type="dxa"/>
            <w:noWrap w:val="0"/>
            <w:vAlign w:val="center"/>
          </w:tcPr>
          <w:p w14:paraId="1D1F6FB1">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w:t>
            </w:r>
            <w:r>
              <w:rPr>
                <w:rFonts w:hint="eastAsia" w:ascii="楷体" w:hAnsi="楷体" w:eastAsia="楷体" w:cs="楷体"/>
                <w:color w:val="auto"/>
                <w:sz w:val="24"/>
                <w:szCs w:val="24"/>
                <w:highlight w:val="none"/>
                <w:u w:val="none"/>
                <w:lang w:val="en-US" w:eastAsia="zh-CN"/>
              </w:rPr>
              <w:t>通道、楼梯、门窗等设施的完好和正常使用。</w:t>
            </w:r>
          </w:p>
        </w:tc>
      </w:tr>
      <w:tr w14:paraId="5B617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750B90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3319" w:type="dxa"/>
            <w:vMerge w:val="restart"/>
            <w:noWrap w:val="0"/>
            <w:vAlign w:val="center"/>
          </w:tcPr>
          <w:p w14:paraId="2EE691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rPr>
            </w:pPr>
            <w:r>
              <w:rPr>
                <w:rFonts w:hint="eastAsia" w:ascii="楷体" w:hAnsi="楷体" w:eastAsia="楷体" w:cs="楷体"/>
                <w:sz w:val="24"/>
                <w:szCs w:val="24"/>
                <w:highlight w:val="none"/>
                <w:lang w:val="en-US" w:eastAsia="zh-CN"/>
              </w:rPr>
              <w:t>其他设施</w:t>
            </w:r>
          </w:p>
        </w:tc>
        <w:tc>
          <w:tcPr>
            <w:tcW w:w="10000" w:type="dxa"/>
            <w:noWrap w:val="0"/>
            <w:vAlign w:val="center"/>
          </w:tcPr>
          <w:p w14:paraId="53F9BD3E">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6C0BD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0A6AC8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76769B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333B27F7">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（2）每年至少开展1次防雷装置检测，发现失效，及时向采购人报告，按采购人要求出具维修方案，待采购人同意后按维修方案实施维修。</w:t>
            </w:r>
          </w:p>
        </w:tc>
      </w:tr>
      <w:tr w14:paraId="2678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46890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636DAE2D">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1AA178C5">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color w:val="auto"/>
                <w:sz w:val="24"/>
                <w:szCs w:val="24"/>
                <w:highlight w:val="none"/>
                <w:u w:val="none"/>
                <w:lang w:val="en-US" w:eastAsia="zh-CN"/>
              </w:rPr>
              <w:t>路面状态良好，地漏通畅不堵塞。</w:t>
            </w:r>
          </w:p>
        </w:tc>
      </w:tr>
      <w:tr w14:paraId="4B5F8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6E26C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7B67E9DC">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5781620B">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（4）接到采购人家具报修服务后，及时通知家具供货商对保修期内的家具进行维修，及时对保修期外的家具进行维修。</w:t>
            </w:r>
          </w:p>
        </w:tc>
      </w:tr>
      <w:tr w14:paraId="65DD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3374AC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3319" w:type="dxa"/>
            <w:vMerge w:val="restart"/>
            <w:noWrap w:val="0"/>
            <w:vAlign w:val="center"/>
          </w:tcPr>
          <w:p w14:paraId="136CC1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rPr>
              <w:t>装饰装修</w:t>
            </w:r>
            <w:r>
              <w:rPr>
                <w:rFonts w:hint="eastAsia" w:ascii="楷体" w:hAnsi="楷体" w:eastAsia="楷体" w:cs="楷体"/>
                <w:sz w:val="24"/>
                <w:szCs w:val="24"/>
                <w:highlight w:val="none"/>
                <w:lang w:val="en-US" w:eastAsia="zh-CN"/>
              </w:rPr>
              <w:t>监督</w:t>
            </w:r>
            <w:r>
              <w:rPr>
                <w:rFonts w:hint="eastAsia" w:ascii="楷体" w:hAnsi="楷体" w:eastAsia="楷体" w:cs="楷体"/>
                <w:sz w:val="24"/>
                <w:szCs w:val="24"/>
                <w:highlight w:val="none"/>
              </w:rPr>
              <w:t>管理</w:t>
            </w:r>
          </w:p>
        </w:tc>
        <w:tc>
          <w:tcPr>
            <w:tcW w:w="10000" w:type="dxa"/>
            <w:noWrap w:val="0"/>
            <w:vAlign w:val="center"/>
          </w:tcPr>
          <w:p w14:paraId="0917BDC1">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40F1E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AF1D3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6EE327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3B483791">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（2）根据协议内容，做好装修垃圾临时堆放、清运等</w:t>
            </w:r>
            <w:r>
              <w:rPr>
                <w:rFonts w:hint="eastAsia" w:ascii="楷体" w:hAnsi="楷体" w:eastAsia="楷体" w:cs="楷体"/>
                <w:sz w:val="24"/>
                <w:szCs w:val="24"/>
                <w:highlight w:val="none"/>
                <w:lang w:eastAsia="zh-CN"/>
              </w:rPr>
              <w:t>。</w:t>
            </w:r>
          </w:p>
        </w:tc>
      </w:tr>
      <w:tr w14:paraId="422BF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14C82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3908EA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00" w:type="dxa"/>
            <w:noWrap w:val="0"/>
            <w:vAlign w:val="center"/>
          </w:tcPr>
          <w:p w14:paraId="73FADFB2">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color w:val="auto"/>
                <w:sz w:val="24"/>
                <w:szCs w:val="24"/>
                <w:highlight w:val="none"/>
                <w:u w:val="none"/>
                <w:lang w:val="en-US" w:eastAsia="zh-CN"/>
              </w:rPr>
              <w:t>受</w:t>
            </w:r>
            <w:r>
              <w:rPr>
                <w:rFonts w:hint="eastAsia" w:ascii="楷体" w:hAnsi="楷体" w:eastAsia="楷体" w:cs="楷体"/>
                <w:b w:val="0"/>
                <w:bCs w:val="0"/>
                <w:color w:val="auto"/>
                <w:kern w:val="0"/>
                <w:sz w:val="24"/>
                <w:szCs w:val="24"/>
                <w:highlight w:val="none"/>
                <w:lang w:val="en-US" w:eastAsia="zh-CN"/>
              </w:rPr>
              <w:t>采购人</w:t>
            </w:r>
            <w:r>
              <w:rPr>
                <w:rFonts w:hint="eastAsia" w:ascii="楷体" w:hAnsi="楷体" w:eastAsia="楷体" w:cs="楷体"/>
                <w:color w:val="auto"/>
                <w:sz w:val="24"/>
                <w:szCs w:val="24"/>
                <w:highlight w:val="none"/>
                <w:u w:val="none"/>
                <w:lang w:val="en-US" w:eastAsia="zh-CN"/>
              </w:rPr>
              <w:t>委托对房屋内装修进行严格的监督管理，发现问题及时上报，确保不因装修而危及大楼结构安全、人身安全和影响正常办公秩序。</w:t>
            </w:r>
          </w:p>
        </w:tc>
      </w:tr>
      <w:tr w14:paraId="5C4B7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7313DA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3319" w:type="dxa"/>
            <w:vMerge w:val="restart"/>
            <w:noWrap w:val="0"/>
            <w:vAlign w:val="center"/>
          </w:tcPr>
          <w:p w14:paraId="28E81E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标识标牌</w:t>
            </w:r>
          </w:p>
        </w:tc>
        <w:tc>
          <w:tcPr>
            <w:tcW w:w="10000" w:type="dxa"/>
            <w:noWrap w:val="0"/>
            <w:vAlign w:val="center"/>
          </w:tcPr>
          <w:p w14:paraId="470C6D0B">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（1）标识标牌符合《</w:t>
            </w:r>
            <w:r>
              <w:rPr>
                <w:rFonts w:hint="eastAsia" w:ascii="楷体" w:hAnsi="楷体" w:eastAsia="楷体" w:cs="楷体"/>
                <w:color w:val="auto"/>
                <w:kern w:val="0"/>
                <w:sz w:val="24"/>
                <w:szCs w:val="24"/>
                <w:highlight w:val="none"/>
              </w:rPr>
              <w:t>公共信息图形符号 第1部分：通用符号</w:t>
            </w:r>
            <w:r>
              <w:rPr>
                <w:rFonts w:hint="eastAsia" w:ascii="楷体" w:hAnsi="楷体" w:eastAsia="楷体" w:cs="楷体"/>
                <w:b w:val="0"/>
                <w:bCs w:val="0"/>
                <w:color w:val="auto"/>
                <w:kern w:val="0"/>
                <w:sz w:val="24"/>
                <w:szCs w:val="24"/>
                <w:highlight w:val="none"/>
                <w:lang w:val="en-US" w:eastAsia="zh-CN"/>
              </w:rPr>
              <w:t>》（</w:t>
            </w:r>
            <w:r>
              <w:rPr>
                <w:rFonts w:hint="eastAsia" w:ascii="楷体" w:hAnsi="楷体" w:eastAsia="楷体" w:cs="楷体"/>
                <w:color w:val="auto"/>
                <w:kern w:val="0"/>
                <w:sz w:val="24"/>
                <w:szCs w:val="24"/>
                <w:highlight w:val="none"/>
              </w:rPr>
              <w:t>GB/T 10001.1</w:t>
            </w:r>
            <w:r>
              <w:rPr>
                <w:rFonts w:hint="eastAsia" w:ascii="楷体" w:hAnsi="楷体" w:eastAsia="楷体" w:cs="楷体"/>
                <w:b w:val="0"/>
                <w:bCs w:val="0"/>
                <w:color w:val="auto"/>
                <w:kern w:val="0"/>
                <w:sz w:val="24"/>
                <w:szCs w:val="24"/>
                <w:highlight w:val="none"/>
                <w:lang w:val="en-US" w:eastAsia="zh-CN"/>
              </w:rPr>
              <w:t>）的相关要求，消防与安全标识符合《</w:t>
            </w:r>
            <w:r>
              <w:rPr>
                <w:rFonts w:hint="eastAsia" w:ascii="楷体" w:hAnsi="楷体" w:eastAsia="楷体" w:cs="楷体"/>
                <w:color w:val="auto"/>
                <w:kern w:val="0"/>
                <w:sz w:val="24"/>
                <w:szCs w:val="24"/>
                <w:highlight w:val="none"/>
              </w:rPr>
              <w:t>安全标志及其使用导则</w:t>
            </w:r>
            <w:r>
              <w:rPr>
                <w:rFonts w:hint="eastAsia" w:ascii="楷体" w:hAnsi="楷体" w:eastAsia="楷体" w:cs="楷体"/>
                <w:b w:val="0"/>
                <w:bCs w:val="0"/>
                <w:color w:val="auto"/>
                <w:kern w:val="0"/>
                <w:sz w:val="24"/>
                <w:szCs w:val="24"/>
                <w:highlight w:val="none"/>
                <w:lang w:val="en-US" w:eastAsia="zh-CN"/>
              </w:rPr>
              <w:t>》（GB2894）、《消防安全标志　第1部分：标志》（GB13495.1）的相关要求。</w:t>
            </w:r>
          </w:p>
        </w:tc>
      </w:tr>
      <w:tr w14:paraId="3DF1D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71D44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19" w:type="dxa"/>
            <w:vMerge w:val="continue"/>
            <w:noWrap w:val="0"/>
            <w:vAlign w:val="center"/>
          </w:tcPr>
          <w:p w14:paraId="2C7D6A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00" w:type="dxa"/>
            <w:noWrap w:val="0"/>
            <w:vAlign w:val="center"/>
          </w:tcPr>
          <w:p w14:paraId="17B24524">
            <w:pPr>
              <w:keepNext w:val="0"/>
              <w:keepLines w:val="0"/>
              <w:pageBreakBefore w:val="0"/>
              <w:widowControl/>
              <w:kinsoku/>
              <w:wordWrap/>
              <w:overflowPunct/>
              <w:topLinePunct w:val="0"/>
              <w:autoSpaceDE/>
              <w:autoSpaceDN/>
              <w:bidi w:val="0"/>
              <w:adjustRightInd/>
              <w:snapToGrid w:val="0"/>
              <w:spacing w:line="300" w:lineRule="auto"/>
              <w:ind w:left="0" w:leftChars="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（2）每月至少检查1次标识标牌和消防与安全标识。应当规范清晰、路线指引正确、安装稳固。</w:t>
            </w:r>
          </w:p>
        </w:tc>
      </w:tr>
    </w:tbl>
    <w:p w14:paraId="5CBB8DC8">
      <w:pPr>
        <w:pStyle w:val="3"/>
        <w:bidi w:val="0"/>
        <w:rPr>
          <w:rFonts w:hint="eastAsia" w:ascii="楷体" w:hAnsi="楷体" w:eastAsia="楷体" w:cs="楷体"/>
          <w:sz w:val="24"/>
          <w:szCs w:val="24"/>
          <w:highlight w:val="none"/>
          <w:lang w:val="en-US" w:eastAsia="zh-CN"/>
        </w:rPr>
      </w:pPr>
    </w:p>
    <w:p w14:paraId="73E56CA6">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3.3公用设施设备维护服务</w:t>
      </w:r>
    </w:p>
    <w:tbl>
      <w:tblPr>
        <w:tblStyle w:val="6"/>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59"/>
        <w:gridCol w:w="5865"/>
      </w:tblGrid>
      <w:tr w14:paraId="29AE7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noWrap w:val="0"/>
            <w:vAlign w:val="center"/>
          </w:tcPr>
          <w:p w14:paraId="769A2B36">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348" w:type="dxa"/>
            <w:noWrap w:val="0"/>
            <w:vAlign w:val="center"/>
          </w:tcPr>
          <w:p w14:paraId="1BA7535A">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10020" w:type="dxa"/>
            <w:noWrap w:val="0"/>
            <w:vAlign w:val="center"/>
          </w:tcPr>
          <w:p w14:paraId="3FF85791">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3C32D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35CFC0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3348" w:type="dxa"/>
            <w:vMerge w:val="restart"/>
            <w:noWrap w:val="0"/>
            <w:vAlign w:val="center"/>
          </w:tcPr>
          <w:p w14:paraId="04BBA6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基本要求</w:t>
            </w:r>
          </w:p>
        </w:tc>
        <w:tc>
          <w:tcPr>
            <w:tcW w:w="10020" w:type="dxa"/>
            <w:noWrap w:val="0"/>
            <w:vAlign w:val="center"/>
          </w:tcPr>
          <w:p w14:paraId="3AA3D12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（1）重大节假日及恶劣天气前后，组织系统巡检1次。</w:t>
            </w:r>
          </w:p>
        </w:tc>
      </w:tr>
      <w:tr w14:paraId="778FB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16BAA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E42A9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35CC946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（2）具备设施设备安全、稳定运行的环境和场所（含有限空间），温湿度、照度、粉尘和烟雾浓度等符合相关安全规范。</w:t>
            </w:r>
          </w:p>
        </w:tc>
      </w:tr>
      <w:tr w14:paraId="7B60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restart"/>
            <w:noWrap w:val="0"/>
            <w:vAlign w:val="center"/>
          </w:tcPr>
          <w:p w14:paraId="66FE77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3348" w:type="dxa"/>
            <w:vMerge w:val="restart"/>
            <w:noWrap w:val="0"/>
            <w:vAlign w:val="center"/>
          </w:tcPr>
          <w:p w14:paraId="02CBE6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设备机房</w:t>
            </w:r>
          </w:p>
        </w:tc>
        <w:tc>
          <w:tcPr>
            <w:tcW w:w="10020" w:type="dxa"/>
            <w:noWrap w:val="0"/>
            <w:vAlign w:val="center"/>
          </w:tcPr>
          <w:p w14:paraId="1A43581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703F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42" w:type="dxa"/>
            <w:vMerge w:val="continue"/>
            <w:noWrap w:val="0"/>
            <w:vAlign w:val="center"/>
          </w:tcPr>
          <w:p w14:paraId="1D1A4E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739D6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7C127A3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（2）设备机房门窗、锁具应当完好、有效。</w:t>
            </w:r>
          </w:p>
        </w:tc>
      </w:tr>
      <w:tr w14:paraId="16D57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2" w:type="dxa"/>
            <w:vMerge w:val="continue"/>
            <w:noWrap w:val="0"/>
            <w:vAlign w:val="center"/>
          </w:tcPr>
          <w:p w14:paraId="709FFE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E736B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21B17D9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（3）每半月至少开展1次清洁，整洁有序、无杂物、无积尘、无鼠、无虫害，温湿度符合设备运行要求。</w:t>
            </w:r>
          </w:p>
        </w:tc>
      </w:tr>
      <w:tr w14:paraId="6F1A4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666ECA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08D36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1905D60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（4）按各设备机房国家标准规范规定维护/保管消防、通风、应急照明，防止小动物进入。</w:t>
            </w:r>
          </w:p>
        </w:tc>
      </w:tr>
      <w:tr w14:paraId="74E4E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2" w:type="dxa"/>
            <w:vMerge w:val="continue"/>
            <w:noWrap w:val="0"/>
            <w:vAlign w:val="center"/>
          </w:tcPr>
          <w:p w14:paraId="3465D4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8FC1D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32C8933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（5）安全防护用具配置齐全，检验合格。</w:t>
            </w:r>
          </w:p>
        </w:tc>
      </w:tr>
      <w:tr w14:paraId="7952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07ACFC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70777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530DCAC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（6）应急设施设备用品应当齐全、完备，可随时启用。</w:t>
            </w:r>
          </w:p>
        </w:tc>
      </w:tr>
      <w:tr w14:paraId="68A5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08A153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3348" w:type="dxa"/>
            <w:vMerge w:val="restart"/>
            <w:noWrap w:val="0"/>
            <w:vAlign w:val="center"/>
          </w:tcPr>
          <w:p w14:paraId="2E09E0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给排水系统</w:t>
            </w:r>
          </w:p>
        </w:tc>
        <w:tc>
          <w:tcPr>
            <w:tcW w:w="10020" w:type="dxa"/>
            <w:noWrap w:val="0"/>
            <w:vAlign w:val="center"/>
          </w:tcPr>
          <w:p w14:paraId="3CACF59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（1）生活饮用水卫生符合《</w:t>
            </w:r>
            <w:r>
              <w:rPr>
                <w:rFonts w:hint="eastAsia" w:ascii="楷体" w:hAnsi="楷体" w:eastAsia="楷体" w:cs="楷体"/>
                <w:color w:val="auto"/>
                <w:kern w:val="0"/>
                <w:sz w:val="24"/>
                <w:szCs w:val="24"/>
                <w:highlight w:val="none"/>
              </w:rPr>
              <w:t>生活饮用水卫生标准</w:t>
            </w:r>
            <w:r>
              <w:rPr>
                <w:rFonts w:hint="eastAsia" w:ascii="楷体" w:hAnsi="楷体" w:eastAsia="楷体" w:cs="楷体"/>
                <w:b w:val="0"/>
                <w:bCs w:val="0"/>
                <w:color w:val="auto"/>
                <w:kern w:val="0"/>
                <w:sz w:val="24"/>
                <w:szCs w:val="24"/>
                <w:highlight w:val="none"/>
                <w:lang w:val="en-US" w:eastAsia="zh-CN"/>
              </w:rPr>
              <w:t>》（GB5749）的相关要求。</w:t>
            </w:r>
          </w:p>
        </w:tc>
      </w:tr>
      <w:tr w14:paraId="27774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430D1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1C8866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55F2DE3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（2）二次供水卫生符合《二次供水设施卫生规范》（GB17051）的相关要求。</w:t>
            </w:r>
          </w:p>
        </w:tc>
      </w:tr>
      <w:tr w14:paraId="66DA0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F762C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1D503A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7D49F2C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（3）设施设备、阀门、管道等运行正常，无跑、冒、滴、漏现象。</w:t>
            </w:r>
          </w:p>
        </w:tc>
      </w:tr>
      <w:tr w14:paraId="05FF7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87736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6CF8C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4C8361D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（4）有水泵房、水箱间的，每日至少巡视1次。每年至少养护1次水泵。</w:t>
            </w:r>
          </w:p>
        </w:tc>
      </w:tr>
      <w:tr w14:paraId="46365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7BCCB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4B7B27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45D0E19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（5）遇供水单位限水、停水，按规定时间通知采购人。</w:t>
            </w:r>
          </w:p>
        </w:tc>
      </w:tr>
      <w:tr w14:paraId="5E6ED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27884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BE75A8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08694B8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（6）每季度至少开展1次对排水管进行疏通、清污，保证室内外排水系统通畅。</w:t>
            </w:r>
          </w:p>
        </w:tc>
      </w:tr>
      <w:tr w14:paraId="74734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4EBEF3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3348" w:type="dxa"/>
            <w:vMerge w:val="restart"/>
            <w:noWrap w:val="0"/>
            <w:vAlign w:val="center"/>
          </w:tcPr>
          <w:p w14:paraId="0D4C62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电梯系统</w:t>
            </w:r>
          </w:p>
        </w:tc>
        <w:tc>
          <w:tcPr>
            <w:tcW w:w="10020" w:type="dxa"/>
            <w:noWrap w:val="0"/>
            <w:vAlign w:val="center"/>
          </w:tcPr>
          <w:p w14:paraId="2E4587C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（1）电梯运行平稳、无异响、平层、开关正常。每周至少开展2次电梯的安全状况检查。</w:t>
            </w:r>
          </w:p>
        </w:tc>
      </w:tr>
      <w:tr w14:paraId="13B10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F7DA7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B5BCC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5B91A8B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（2）电梯准用证、年检合格证等证件齐全。相关证件、紧急救援电话和乘客注意事项置于轿厢醒目位置。</w:t>
            </w:r>
          </w:p>
        </w:tc>
      </w:tr>
      <w:tr w14:paraId="2B22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81366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8DC552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176447E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（3）每年至少开展1次对电梯的全面检测，并出具检测报告，核发电梯使用标志。</w:t>
            </w:r>
          </w:p>
        </w:tc>
      </w:tr>
      <w:tr w14:paraId="10D9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3E554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17DF1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75A43CF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（4）电梯维保应当符合《电梯维护保养规则》（TSG T5002）的有关要求。</w:t>
            </w:r>
          </w:p>
        </w:tc>
      </w:tr>
      <w:tr w14:paraId="7D38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E955C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8F9837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7F01D07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（5）电梯使用应当符合《特种设备使用管理规则》（TSG 08）的有关要求。</w:t>
            </w:r>
          </w:p>
        </w:tc>
      </w:tr>
      <w:tr w14:paraId="56B7C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874FC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6B1E8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3931373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3F0C8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31569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404FEB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060A5E7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（7）到场进行救助和排除故障。电梯紧急电话保持畅通。</w:t>
            </w:r>
          </w:p>
        </w:tc>
      </w:tr>
      <w:tr w14:paraId="2322F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87EC5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95930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603AE97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（8）电梯维修、保养时在现场设置提示标识和防护围栏。</w:t>
            </w:r>
          </w:p>
        </w:tc>
      </w:tr>
      <w:tr w14:paraId="0C8B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9A918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C8C96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5AF375B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（9）根据采购人需求，合理设置电梯开启的数量、时间。</w:t>
            </w:r>
          </w:p>
        </w:tc>
      </w:tr>
      <w:tr w14:paraId="5E254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86A94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1DD9D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5C88391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（10）......</w:t>
            </w:r>
          </w:p>
        </w:tc>
      </w:tr>
      <w:tr w14:paraId="7CC9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C4F04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3348" w:type="dxa"/>
            <w:vMerge w:val="restart"/>
            <w:noWrap w:val="0"/>
            <w:vAlign w:val="center"/>
          </w:tcPr>
          <w:p w14:paraId="59EB09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空调</w:t>
            </w:r>
            <w:r>
              <w:rPr>
                <w:rFonts w:hint="eastAsia" w:ascii="楷体" w:hAnsi="楷体" w:eastAsia="楷体" w:cs="楷体"/>
                <w:sz w:val="24"/>
                <w:szCs w:val="24"/>
                <w:highlight w:val="none"/>
              </w:rPr>
              <w:t>系统</w:t>
            </w:r>
          </w:p>
        </w:tc>
        <w:tc>
          <w:tcPr>
            <w:tcW w:w="10020" w:type="dxa"/>
            <w:noWrap w:val="0"/>
            <w:vAlign w:val="center"/>
          </w:tcPr>
          <w:p w14:paraId="19D9EFA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（1）空调通风系统运行管理符合《空调通风系统运行管理标准》（GB50365）的相关要求。</w:t>
            </w:r>
          </w:p>
        </w:tc>
      </w:tr>
      <w:tr w14:paraId="53234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1668C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34D0F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3900CEF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（2）办公楼内温湿度、空气质量等符合《室内空气质量标准》（GB/T18883）的相关要求。</w:t>
            </w:r>
          </w:p>
        </w:tc>
      </w:tr>
      <w:tr w14:paraId="5AC28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2235FA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18C0B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4F43A99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（3）定期维保并做好记录，保证空调设施设备处于良好状态。</w:t>
            </w:r>
          </w:p>
        </w:tc>
      </w:tr>
      <w:tr w14:paraId="1F44C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2672B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9FA50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24E62CD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（4）中央空调运行前对冷水机组、循环水泵、冷却塔、风机等设施设备进行系统检查，运行期间每日至少开展1次运行情况巡查。</w:t>
            </w:r>
          </w:p>
        </w:tc>
      </w:tr>
      <w:tr w14:paraId="57951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C0BCD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65CB60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1A68140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（5）每半年至少开展1次管道、阀门检查并除锈。</w:t>
            </w:r>
          </w:p>
        </w:tc>
      </w:tr>
      <w:tr w14:paraId="187FB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0DA7E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12D6AA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703B9E0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（6）每年至少开展1次系统整体性维修养护，检验1次压力容器、仪表及冷却塔噪声。</w:t>
            </w:r>
          </w:p>
        </w:tc>
      </w:tr>
      <w:tr w14:paraId="1BE27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C87C8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4A3EFA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6EF976A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（7）每年至少开展1次新风机、空气处理机滤网等清洗消毒；每2年至少开展1次风管清洗消毒。</w:t>
            </w:r>
          </w:p>
        </w:tc>
      </w:tr>
      <w:tr w14:paraId="70CD8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35AEC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34277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104B72F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（8）每年至少开展1次分体式空调主机（含空调过滤网）和室外机清洁。每月至少开展1次挂机和室外支架稳固性巡查。</w:t>
            </w:r>
          </w:p>
        </w:tc>
      </w:tr>
      <w:tr w14:paraId="5FA69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E5DF2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18AA7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7324665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（9）制冷、供暖系统温度设定及启用时间符合节能要求。</w:t>
            </w:r>
          </w:p>
        </w:tc>
      </w:tr>
      <w:tr w14:paraId="1711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1F54C0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368CC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1E6BBB8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（10）</w:t>
            </w:r>
            <w:r>
              <w:rPr>
                <w:rFonts w:hint="eastAsia" w:ascii="楷体" w:hAnsi="楷体" w:eastAsia="楷体" w:cs="楷体"/>
                <w:color w:val="auto"/>
                <w:sz w:val="24"/>
                <w:szCs w:val="24"/>
                <w:highlight w:val="none"/>
                <w:u w:val="none"/>
                <w:lang w:val="en-US" w:eastAsia="zh-CN"/>
              </w:rPr>
              <w:t>发现故障或损坏应当在30分钟内到场，紧急维修应当在15分钟内到达现场，在12小时内维修完毕。</w:t>
            </w:r>
          </w:p>
        </w:tc>
      </w:tr>
      <w:tr w14:paraId="0C3E9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14224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6</w:t>
            </w:r>
          </w:p>
        </w:tc>
        <w:tc>
          <w:tcPr>
            <w:tcW w:w="3348" w:type="dxa"/>
            <w:vMerge w:val="restart"/>
            <w:noWrap w:val="0"/>
            <w:vAlign w:val="center"/>
          </w:tcPr>
          <w:p w14:paraId="5C40AE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消防</w:t>
            </w:r>
            <w:r>
              <w:rPr>
                <w:rFonts w:hint="eastAsia" w:ascii="楷体" w:hAnsi="楷体" w:eastAsia="楷体" w:cs="楷体"/>
                <w:sz w:val="24"/>
                <w:szCs w:val="24"/>
                <w:highlight w:val="none"/>
              </w:rPr>
              <w:t>系统</w:t>
            </w:r>
          </w:p>
        </w:tc>
        <w:tc>
          <w:tcPr>
            <w:tcW w:w="10020" w:type="dxa"/>
            <w:noWrap w:val="0"/>
            <w:vAlign w:val="center"/>
          </w:tcPr>
          <w:p w14:paraId="1B40EC6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（1）消防设施的维护管理符合《建筑消防设施的维护管理》（GB25201）的相关要求。</w:t>
            </w:r>
          </w:p>
        </w:tc>
      </w:tr>
      <w:tr w14:paraId="08D00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02F37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EC321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2C3FAA2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（2）消防设备检测符合《建筑消防设施检测技术规程》（GA503或XF503）的相关要求。</w:t>
            </w:r>
          </w:p>
        </w:tc>
      </w:tr>
      <w:tr w14:paraId="077D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35AF7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2C5BB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7E003F3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（3）消防设施平面图、火警疏散示意图、防火分区图等按幢设置在楼层醒目位置。</w:t>
            </w:r>
          </w:p>
        </w:tc>
      </w:tr>
      <w:tr w14:paraId="09A2F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456C6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45BC82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15A9D92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（4）消防系统各设施设备使用说明清晰，宜图文结合。</w:t>
            </w:r>
          </w:p>
        </w:tc>
      </w:tr>
      <w:tr w14:paraId="5579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13586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329FA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586CFFB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（5）自动喷水灭火系统启动正常。</w:t>
            </w:r>
          </w:p>
        </w:tc>
      </w:tr>
      <w:tr w14:paraId="6EB9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34D81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85B43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1E1150D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（6）消火栓箱、防火门、灭火器、消防水泵、红外线报警器、应急照明、安全疏散等系统运行正常。</w:t>
            </w:r>
          </w:p>
        </w:tc>
      </w:tr>
      <w:tr w14:paraId="594E5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52F1E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30849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4E0179C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（7）消防监控系统运行良好，自动和手动报警设施启动正常。</w:t>
            </w:r>
          </w:p>
        </w:tc>
      </w:tr>
      <w:tr w14:paraId="2699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49DE7F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B65DA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14499D9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（8）正压送风、防排烟系统运行正常。</w:t>
            </w:r>
          </w:p>
        </w:tc>
      </w:tr>
      <w:tr w14:paraId="34202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0AD1A4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7</w:t>
            </w:r>
          </w:p>
        </w:tc>
        <w:tc>
          <w:tcPr>
            <w:tcW w:w="3348" w:type="dxa"/>
            <w:vMerge w:val="restart"/>
            <w:noWrap w:val="0"/>
            <w:vAlign w:val="center"/>
          </w:tcPr>
          <w:p w14:paraId="649B62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供</w:t>
            </w:r>
            <w:r>
              <w:rPr>
                <w:rFonts w:hint="eastAsia" w:ascii="楷体" w:hAnsi="楷体" w:eastAsia="楷体" w:cs="楷体"/>
                <w:sz w:val="24"/>
                <w:szCs w:val="24"/>
                <w:highlight w:val="none"/>
                <w:lang w:val="en-US" w:eastAsia="zh-CN"/>
              </w:rPr>
              <w:t>配电</w:t>
            </w:r>
            <w:r>
              <w:rPr>
                <w:rFonts w:hint="eastAsia" w:ascii="楷体" w:hAnsi="楷体" w:eastAsia="楷体" w:cs="楷体"/>
                <w:sz w:val="24"/>
                <w:szCs w:val="24"/>
                <w:highlight w:val="none"/>
              </w:rPr>
              <w:t>系统</w:t>
            </w:r>
          </w:p>
        </w:tc>
        <w:tc>
          <w:tcPr>
            <w:tcW w:w="10020" w:type="dxa"/>
            <w:noWrap w:val="0"/>
            <w:vAlign w:val="center"/>
          </w:tcPr>
          <w:p w14:paraId="3597D80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（1）建立24小时运行值班监控制度。</w:t>
            </w:r>
          </w:p>
        </w:tc>
      </w:tr>
      <w:tr w14:paraId="4AD3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65BE7B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48" w:type="dxa"/>
            <w:vMerge w:val="continue"/>
            <w:noWrap w:val="0"/>
            <w:vAlign w:val="center"/>
          </w:tcPr>
          <w:p w14:paraId="3F2DB9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561816E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（2）对供电范围内的电气设备定期巡视维护，加强高低压配电柜、配电箱、控制柜及线路等重点部位监测。</w:t>
            </w:r>
          </w:p>
        </w:tc>
      </w:tr>
      <w:tr w14:paraId="2BB4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FFC9D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48" w:type="dxa"/>
            <w:vMerge w:val="continue"/>
            <w:noWrap w:val="0"/>
            <w:vAlign w:val="center"/>
          </w:tcPr>
          <w:p w14:paraId="07E90A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592207C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（3）公共使用的照明、指示灯具线路、开关、接地等保持完好，确保用电安全。</w:t>
            </w:r>
          </w:p>
        </w:tc>
      </w:tr>
      <w:tr w14:paraId="4E1F7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B2460B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48" w:type="dxa"/>
            <w:vMerge w:val="continue"/>
            <w:noWrap w:val="0"/>
            <w:vAlign w:val="center"/>
          </w:tcPr>
          <w:p w14:paraId="7FEB1A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5E78DA6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（4）核心部位用电建立高可控用电保障和配备应急发电设备，定期维护应急发电设备。</w:t>
            </w:r>
          </w:p>
        </w:tc>
      </w:tr>
      <w:tr w14:paraId="2216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3800B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48" w:type="dxa"/>
            <w:vMerge w:val="continue"/>
            <w:noWrap w:val="0"/>
            <w:vAlign w:val="center"/>
          </w:tcPr>
          <w:p w14:paraId="7AF045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44AB55C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（5）发生非计划性停电的，应当在事件发生后及时通知采购人，快速恢复或启用应急电源，并做好应急事件上报及处理工作。</w:t>
            </w:r>
          </w:p>
        </w:tc>
      </w:tr>
      <w:tr w14:paraId="481F6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15843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48" w:type="dxa"/>
            <w:vMerge w:val="continue"/>
            <w:noWrap w:val="0"/>
            <w:vAlign w:val="center"/>
          </w:tcPr>
          <w:p w14:paraId="49E30A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6240FEC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（6）复杂故障涉及供电部门维修处置的及时与供电部门联系，并向采购人报告。</w:t>
            </w:r>
          </w:p>
        </w:tc>
      </w:tr>
      <w:tr w14:paraId="1452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259A8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8</w:t>
            </w:r>
          </w:p>
        </w:tc>
        <w:tc>
          <w:tcPr>
            <w:tcW w:w="3348" w:type="dxa"/>
            <w:vMerge w:val="restart"/>
            <w:noWrap w:val="0"/>
            <w:vAlign w:val="center"/>
          </w:tcPr>
          <w:p w14:paraId="2671C1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弱电系统</w:t>
            </w:r>
          </w:p>
        </w:tc>
        <w:tc>
          <w:tcPr>
            <w:tcW w:w="10020" w:type="dxa"/>
            <w:noWrap w:val="0"/>
            <w:vAlign w:val="center"/>
          </w:tcPr>
          <w:p w14:paraId="7D56942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（1）安全防范系统维护保养符合《安全防范系统维护保养规范》（</w:t>
            </w:r>
            <w:r>
              <w:rPr>
                <w:rFonts w:hint="eastAsia" w:ascii="楷体" w:hAnsi="楷体" w:eastAsia="楷体" w:cs="楷体"/>
                <w:color w:val="auto"/>
                <w:kern w:val="0"/>
                <w:sz w:val="24"/>
                <w:szCs w:val="24"/>
                <w:highlight w:val="none"/>
              </w:rPr>
              <w:t>GA/T 1081</w:t>
            </w:r>
            <w:r>
              <w:rPr>
                <w:rFonts w:hint="eastAsia" w:ascii="楷体" w:hAnsi="楷体" w:eastAsia="楷体" w:cs="楷体"/>
                <w:b w:val="0"/>
                <w:bCs w:val="0"/>
                <w:color w:val="auto"/>
                <w:kern w:val="0"/>
                <w:sz w:val="24"/>
                <w:szCs w:val="24"/>
                <w:highlight w:val="none"/>
                <w:lang w:val="en-US" w:eastAsia="zh-CN"/>
              </w:rPr>
              <w:t>）的相关要求。</w:t>
            </w:r>
          </w:p>
        </w:tc>
      </w:tr>
      <w:tr w14:paraId="69EE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2E25C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4FD2CB4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087BF57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（2）保持监控系统、门禁系统、安全防范系统等运行正常，有故障及时排除。</w:t>
            </w:r>
          </w:p>
        </w:tc>
      </w:tr>
      <w:tr w14:paraId="7986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FFDDE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9</w:t>
            </w:r>
          </w:p>
        </w:tc>
        <w:tc>
          <w:tcPr>
            <w:tcW w:w="3348" w:type="dxa"/>
            <w:vMerge w:val="restart"/>
            <w:noWrap w:val="0"/>
            <w:vAlign w:val="center"/>
          </w:tcPr>
          <w:p w14:paraId="3CA97D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照明</w:t>
            </w:r>
            <w:r>
              <w:rPr>
                <w:rFonts w:hint="eastAsia" w:ascii="楷体" w:hAnsi="楷体" w:eastAsia="楷体" w:cs="楷体"/>
                <w:sz w:val="24"/>
                <w:szCs w:val="24"/>
                <w:highlight w:val="none"/>
              </w:rPr>
              <w:t>系统</w:t>
            </w:r>
          </w:p>
        </w:tc>
        <w:tc>
          <w:tcPr>
            <w:tcW w:w="10020" w:type="dxa"/>
            <w:noWrap w:val="0"/>
            <w:vAlign w:val="center"/>
          </w:tcPr>
          <w:p w14:paraId="2DE5E7B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（1）外观整洁无缺损、无松落。</w:t>
            </w:r>
          </w:p>
        </w:tc>
      </w:tr>
      <w:tr w14:paraId="135D1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5BF446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D0C30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055A48C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（2）更换的照明灯具应当选用节能环保产品，亮度与更换前保持一致。</w:t>
            </w:r>
          </w:p>
        </w:tc>
      </w:tr>
      <w:tr w14:paraId="1627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D003F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97CE9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65DC45F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（3）每周至少开展1次公共区域照明设备巡视。</w:t>
            </w:r>
          </w:p>
        </w:tc>
      </w:tr>
      <w:tr w14:paraId="6F9F6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E27E4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10</w:t>
            </w:r>
          </w:p>
        </w:tc>
        <w:tc>
          <w:tcPr>
            <w:tcW w:w="3348" w:type="dxa"/>
            <w:vMerge w:val="restart"/>
            <w:noWrap w:val="0"/>
            <w:vAlign w:val="center"/>
          </w:tcPr>
          <w:p w14:paraId="1E3AB2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锅炉设备/热力站</w:t>
            </w:r>
          </w:p>
        </w:tc>
        <w:tc>
          <w:tcPr>
            <w:tcW w:w="10020" w:type="dxa"/>
            <w:noWrap w:val="0"/>
            <w:vAlign w:val="center"/>
          </w:tcPr>
          <w:p w14:paraId="069711F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（1）建立24小时值班监控制度。</w:t>
            </w:r>
          </w:p>
        </w:tc>
      </w:tr>
      <w:tr w14:paraId="2BB94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BF7C1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90F29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3D88EFB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（2）每年至少开展1次锅炉设备的全面检查。</w:t>
            </w:r>
          </w:p>
        </w:tc>
      </w:tr>
      <w:tr w14:paraId="371A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47260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CD19AA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00ECBD7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（3）每年至少开展1次锅炉设备及其辅助设备检测，确保各类设备、仪器仪表、水管线路运行正常。</w:t>
            </w:r>
          </w:p>
        </w:tc>
      </w:tr>
      <w:tr w14:paraId="55E14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0C35A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2204A4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2E85C19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（4）每年至少开展1次锅炉水质检测，确保水质合格。</w:t>
            </w:r>
          </w:p>
        </w:tc>
      </w:tr>
      <w:tr w14:paraId="7740B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C77CB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9FCBD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6540231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（5）按锅炉厂家制定的检修规程对锅炉进行检修。</w:t>
            </w:r>
          </w:p>
        </w:tc>
      </w:tr>
      <w:tr w14:paraId="5DFE4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5C32F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A5CFE3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1736765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（6）......</w:t>
            </w:r>
          </w:p>
        </w:tc>
      </w:tr>
      <w:tr w14:paraId="146D0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25621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11</w:t>
            </w:r>
          </w:p>
        </w:tc>
        <w:tc>
          <w:tcPr>
            <w:tcW w:w="3348" w:type="dxa"/>
            <w:vMerge w:val="restart"/>
            <w:noWrap w:val="0"/>
            <w:vAlign w:val="center"/>
          </w:tcPr>
          <w:p w14:paraId="21C7AD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采暖系统</w:t>
            </w:r>
          </w:p>
        </w:tc>
        <w:tc>
          <w:tcPr>
            <w:tcW w:w="10020" w:type="dxa"/>
            <w:noWrap w:val="0"/>
            <w:vAlign w:val="center"/>
          </w:tcPr>
          <w:p w14:paraId="20F3918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（1）定期检查供暖管道、阀门运行情况，确保正常无隐患。</w:t>
            </w:r>
          </w:p>
        </w:tc>
      </w:tr>
      <w:tr w14:paraId="70B9A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CC9963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782F81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08144AD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（2）负责暖气片、阀门龙头等新装布置及旧装拆除、日常维修更换及管线的跑、冒、滴、漏的维修。</w:t>
            </w:r>
          </w:p>
        </w:tc>
      </w:tr>
      <w:tr w14:paraId="5C85D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634A7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5C447C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10020" w:type="dxa"/>
            <w:noWrap w:val="0"/>
            <w:vAlign w:val="center"/>
          </w:tcPr>
          <w:p w14:paraId="09F90D5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（3）做好供暖前检查等相关准备工作。</w:t>
            </w:r>
          </w:p>
        </w:tc>
      </w:tr>
      <w:tr w14:paraId="55EA6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B93E4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07F2D4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0759EF3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（4）暖气片上水前，提前通知采购人。</w:t>
            </w:r>
          </w:p>
        </w:tc>
      </w:tr>
      <w:tr w14:paraId="2634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98E99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23838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628E963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（5）供暖期间做好日常检查、维护、抢修、登记上报等工作。</w:t>
            </w:r>
          </w:p>
        </w:tc>
      </w:tr>
      <w:tr w14:paraId="67491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104C2E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48" w:type="dxa"/>
            <w:vMerge w:val="continue"/>
            <w:noWrap w:val="0"/>
            <w:vAlign w:val="center"/>
          </w:tcPr>
          <w:p w14:paraId="39ED05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10020" w:type="dxa"/>
            <w:noWrap w:val="0"/>
            <w:vAlign w:val="center"/>
          </w:tcPr>
          <w:p w14:paraId="2F5AE65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（6）根据天气情况适时调节供暖设备运行工况，节约能源。</w:t>
            </w:r>
          </w:p>
        </w:tc>
      </w:tr>
    </w:tbl>
    <w:p w14:paraId="325EAB05">
      <w:pPr>
        <w:pStyle w:val="4"/>
        <w:rPr>
          <w:rFonts w:hint="eastAsia" w:ascii="楷体" w:hAnsi="楷体" w:eastAsia="楷体" w:cs="楷体"/>
          <w:b w:val="0"/>
          <w:bCs w:val="0"/>
          <w:sz w:val="24"/>
          <w:szCs w:val="24"/>
          <w:highlight w:val="none"/>
        </w:rPr>
      </w:pPr>
      <w:r>
        <w:rPr>
          <w:rFonts w:hint="eastAsia" w:ascii="楷体" w:hAnsi="楷体" w:eastAsia="楷体" w:cs="楷体"/>
          <w:sz w:val="24"/>
          <w:szCs w:val="24"/>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楷体" w:hAnsi="楷体" w:eastAsia="楷体" w:cs="楷体"/>
          <w:b w:val="0"/>
          <w:bCs w:val="0"/>
          <w:sz w:val="24"/>
          <w:szCs w:val="24"/>
          <w:highlight w:val="none"/>
        </w:rPr>
        <w:t>服务标准涉及的国家标准有更新的，执行国家最新标准。</w:t>
      </w:r>
    </w:p>
    <w:p w14:paraId="67CD757F">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楷体" w:hAnsi="楷体" w:eastAsia="楷体" w:cs="楷体"/>
          <w:sz w:val="24"/>
          <w:szCs w:val="24"/>
          <w:highlight w:val="none"/>
          <w:lang w:val="en-US" w:eastAsia="zh-CN"/>
        </w:rPr>
      </w:pPr>
    </w:p>
    <w:p w14:paraId="3C097648">
      <w:pPr>
        <w:pStyle w:val="3"/>
        <w:bidi w:val="0"/>
        <w:rPr>
          <w:rFonts w:hint="eastAsia" w:ascii="楷体" w:hAnsi="楷体" w:eastAsia="楷体" w:cs="楷体"/>
          <w:sz w:val="24"/>
          <w:szCs w:val="24"/>
          <w:highlight w:val="none"/>
          <w:lang w:val="en-US" w:eastAsia="zh-CN"/>
        </w:rPr>
      </w:pPr>
    </w:p>
    <w:p w14:paraId="173B7623">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3.4保洁服务</w:t>
      </w:r>
    </w:p>
    <w:tbl>
      <w:tblPr>
        <w:tblStyle w:val="6"/>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4"/>
        <w:gridCol w:w="5840"/>
      </w:tblGrid>
      <w:tr w14:paraId="1E921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114EB5F9">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372" w:type="dxa"/>
            <w:noWrap w:val="0"/>
            <w:vAlign w:val="center"/>
          </w:tcPr>
          <w:p w14:paraId="084B0FF0">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9978" w:type="dxa"/>
            <w:noWrap w:val="0"/>
            <w:vAlign w:val="center"/>
          </w:tcPr>
          <w:p w14:paraId="6669D6F4">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7589C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19F0F7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3372" w:type="dxa"/>
            <w:vMerge w:val="restart"/>
            <w:noWrap w:val="0"/>
            <w:vAlign w:val="center"/>
          </w:tcPr>
          <w:p w14:paraId="5BEBF2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基本要求</w:t>
            </w:r>
          </w:p>
        </w:tc>
        <w:tc>
          <w:tcPr>
            <w:tcW w:w="9978" w:type="dxa"/>
            <w:noWrap w:val="0"/>
            <w:vAlign w:val="center"/>
          </w:tcPr>
          <w:p w14:paraId="560FDA5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（1）建立保洁服务的工作制度及工作计划，并按照执行。</w:t>
            </w:r>
          </w:p>
        </w:tc>
      </w:tr>
      <w:tr w14:paraId="6315C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624B1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1E4830F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78" w:type="dxa"/>
            <w:noWrap w:val="0"/>
            <w:vAlign w:val="center"/>
          </w:tcPr>
          <w:p w14:paraId="4074198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（2）做好保洁服务工作记录，记录填写规范、保存完好。</w:t>
            </w:r>
          </w:p>
        </w:tc>
      </w:tr>
      <w:tr w14:paraId="51EA2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A528F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64ECCA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78" w:type="dxa"/>
            <w:noWrap w:val="0"/>
            <w:vAlign w:val="center"/>
          </w:tcPr>
          <w:p w14:paraId="4A0E18A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（3）作业时采取安全防护措施，防止对作业人员或他人造成伤害。相关耗材的环保、安全性等应当符合国家相关规定要求。</w:t>
            </w:r>
          </w:p>
        </w:tc>
      </w:tr>
      <w:tr w14:paraId="0E4E7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F4A3C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707E01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179BE56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（4）进入保密区域时，有采购人相关人员全程在场。</w:t>
            </w:r>
          </w:p>
        </w:tc>
      </w:tr>
      <w:tr w14:paraId="7676D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5D9976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3372" w:type="dxa"/>
            <w:vMerge w:val="restart"/>
            <w:noWrap w:val="0"/>
            <w:vAlign w:val="center"/>
          </w:tcPr>
          <w:p w14:paraId="49D4D5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办公用房区域保洁</w:t>
            </w:r>
          </w:p>
        </w:tc>
        <w:tc>
          <w:tcPr>
            <w:tcW w:w="9978" w:type="dxa"/>
            <w:noWrap w:val="0"/>
            <w:vAlign w:val="center"/>
          </w:tcPr>
          <w:p w14:paraId="065CD9C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（1）大厅、楼内公共通道：</w:t>
            </w:r>
          </w:p>
          <w:p w14:paraId="3C258DF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 xml:space="preserve"> ①公共通道保持干净，无异味、无杂物、无积水，每日至少开展1次清洁作业。</w:t>
            </w:r>
          </w:p>
          <w:p w14:paraId="54F14F9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 xml:space="preserve"> ②门窗玻璃干净无尘，透光性好，每周至少开展1次清洁作业。</w:t>
            </w:r>
          </w:p>
          <w:p w14:paraId="2B6A4BF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t xml:space="preserve"> ③指示牌干净，无污渍，每日至少开展1次清洁作业。</w:t>
            </w:r>
          </w:p>
        </w:tc>
      </w:tr>
      <w:tr w14:paraId="2CCE4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7D3D13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648F30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641253D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（2）电器、消防等设施设备：</w:t>
            </w:r>
          </w:p>
          <w:p w14:paraId="6934D6A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 xml:space="preserve"> ①配电箱、设备机房、会议室音视频设备、消防栓及开关插座等保持表面干净，无尘无污迹，每月至少开展1次清洁作业。</w:t>
            </w:r>
          </w:p>
          <w:p w14:paraId="6DE178F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t xml:space="preserve"> ②监控摄像头、门禁系统等表面光亮，无尘、无斑点，每月至少开展1次清洁作业。</w:t>
            </w:r>
          </w:p>
        </w:tc>
      </w:tr>
      <w:tr w14:paraId="7D877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B8B30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470C8D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11ED1BB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（3）楼梯及楼梯间保持干净、无异味、无杂物、无积水，每日至少开展1次清洁作业。</w:t>
            </w:r>
          </w:p>
        </w:tc>
      </w:tr>
      <w:tr w14:paraId="2BFC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EC15E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695241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244ACA3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（4）开水间保持干净、无异味、无杂物、无积水，每日至少开展1次清洁作业。</w:t>
            </w:r>
          </w:p>
        </w:tc>
      </w:tr>
      <w:tr w14:paraId="5FCA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192C2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29616C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17D60B6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（5）作业工具间：</w:t>
            </w:r>
          </w:p>
          <w:p w14:paraId="52C2063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 xml:space="preserve"> ①保持干净，无异味、无杂物、无积水，每日至少开展1次清洁作业。</w:t>
            </w:r>
          </w:p>
          <w:p w14:paraId="462EA32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t xml:space="preserve"> ②作业工具摆放整齐有序，表面干净无渍，每日消毒。</w:t>
            </w:r>
          </w:p>
        </w:tc>
      </w:tr>
      <w:tr w14:paraId="759E3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7F3220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231038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5D716F5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（6）公共卫生间：</w:t>
            </w:r>
          </w:p>
          <w:p w14:paraId="32F9673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 xml:space="preserve"> ①保持干净，无异味，垃圾无溢出，每日至少开展1次清洁作业。</w:t>
            </w:r>
          </w:p>
          <w:p w14:paraId="7B984A5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t xml:space="preserve"> ②及时补充厕纸等必要用品。</w:t>
            </w:r>
          </w:p>
        </w:tc>
      </w:tr>
      <w:tr w14:paraId="24C3B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75DAFC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63FFA0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C9A943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（7）电梯轿厢：</w:t>
            </w:r>
          </w:p>
          <w:p w14:paraId="0747D0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①保持干净，无污渍、无粘贴物、无异味，每日至少开展1次清洁作业。</w:t>
            </w:r>
          </w:p>
          <w:p w14:paraId="32EC0F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t>②灯具、操作指示板明亮。</w:t>
            </w:r>
          </w:p>
        </w:tc>
      </w:tr>
      <w:tr w14:paraId="43A07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41EC2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4D9962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223C535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（8）平台、屋顶、天沟保持干净，有杂物及时清扫，每月至少开展1次清洁作业。</w:t>
            </w:r>
          </w:p>
        </w:tc>
      </w:tr>
      <w:tr w14:paraId="1FE32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89418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3CF7A3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6B1B314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（9）</w:t>
            </w:r>
            <w:r>
              <w:rPr>
                <w:rFonts w:hint="eastAsia" w:ascii="楷体" w:hAnsi="楷体" w:eastAsia="楷体" w:cs="楷体"/>
                <w:color w:val="auto"/>
                <w:sz w:val="24"/>
                <w:szCs w:val="24"/>
                <w:highlight w:val="none"/>
                <w:u w:val="none"/>
                <w:lang w:val="en-US" w:eastAsia="zh-CN"/>
              </w:rPr>
              <w:t>石材地面、内墙做好养护工作</w:t>
            </w:r>
            <w:r>
              <w:rPr>
                <w:rFonts w:hint="eastAsia" w:ascii="楷体" w:hAnsi="楷体" w:eastAsia="楷体" w:cs="楷体"/>
                <w:b w:val="0"/>
                <w:bCs w:val="0"/>
                <w:color w:val="auto"/>
                <w:kern w:val="0"/>
                <w:sz w:val="24"/>
                <w:szCs w:val="24"/>
                <w:highlight w:val="none"/>
                <w:lang w:val="en-US" w:eastAsia="zh-CN"/>
              </w:rPr>
              <w:t>，每季度开展1次清洁作业。（各类材质地面、内墙服务管理标准详见3.4.1）</w:t>
            </w:r>
          </w:p>
        </w:tc>
      </w:tr>
      <w:tr w14:paraId="53AE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5A3B3A7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50BA39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26FBDF0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（10）</w:t>
            </w:r>
            <w:r>
              <w:rPr>
                <w:rFonts w:hint="eastAsia" w:ascii="楷体" w:hAnsi="楷体" w:eastAsia="楷体" w:cs="楷体"/>
                <w:color w:val="auto"/>
                <w:sz w:val="24"/>
                <w:szCs w:val="24"/>
                <w:highlight w:val="none"/>
                <w:u w:val="none"/>
                <w:lang w:val="en-US" w:eastAsia="zh-CN"/>
              </w:rPr>
              <w:t>地毯干净、无油渍、无污渍、无褪色</w:t>
            </w:r>
            <w:r>
              <w:rPr>
                <w:rFonts w:hint="eastAsia" w:ascii="楷体" w:hAnsi="楷体" w:eastAsia="楷体" w:cs="楷体"/>
                <w:b w:val="0"/>
                <w:bCs w:val="0"/>
                <w:color w:val="auto"/>
                <w:kern w:val="0"/>
                <w:sz w:val="24"/>
                <w:szCs w:val="24"/>
                <w:highlight w:val="none"/>
                <w:lang w:val="en-US" w:eastAsia="zh-CN"/>
              </w:rPr>
              <w:t>，每月至少开展1次清洁作业。</w:t>
            </w:r>
          </w:p>
        </w:tc>
      </w:tr>
      <w:tr w14:paraId="06EB0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6419D45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3372" w:type="dxa"/>
            <w:vMerge w:val="restart"/>
            <w:noWrap w:val="0"/>
            <w:vAlign w:val="center"/>
          </w:tcPr>
          <w:p w14:paraId="779803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公共场地区域保洁</w:t>
            </w:r>
          </w:p>
        </w:tc>
        <w:tc>
          <w:tcPr>
            <w:tcW w:w="9978" w:type="dxa"/>
            <w:noWrap w:val="0"/>
            <w:vAlign w:val="center"/>
          </w:tcPr>
          <w:p w14:paraId="3AA5FDF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（1）每日清扫道路地面、停车场等公共区域2次，保持干净、无杂物、无积水。</w:t>
            </w:r>
          </w:p>
        </w:tc>
      </w:tr>
      <w:tr w14:paraId="0196D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5FDE6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72" w:type="dxa"/>
            <w:vMerge w:val="continue"/>
            <w:noWrap w:val="0"/>
            <w:vAlign w:val="center"/>
          </w:tcPr>
          <w:p w14:paraId="68F780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202599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（2）雪、冰冻等恶劣天气时及时清扫积水、积雪，并采取安全防护措施。</w:t>
            </w:r>
          </w:p>
        </w:tc>
      </w:tr>
      <w:tr w14:paraId="0D919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1A898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72" w:type="dxa"/>
            <w:vMerge w:val="continue"/>
            <w:noWrap w:val="0"/>
            <w:vAlign w:val="center"/>
          </w:tcPr>
          <w:p w14:paraId="1F6A7C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E91C3C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（3）各种路标、宣传栏等保持干净，每月至少开展1次清洁作业。</w:t>
            </w:r>
          </w:p>
        </w:tc>
      </w:tr>
      <w:tr w14:paraId="701A0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553E8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72" w:type="dxa"/>
            <w:vMerge w:val="continue"/>
            <w:noWrap w:val="0"/>
            <w:vAlign w:val="center"/>
          </w:tcPr>
          <w:p w14:paraId="4465A0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23F3357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（4）清洁室外照明设备，每月至少开展1次清洁作业。</w:t>
            </w:r>
          </w:p>
        </w:tc>
      </w:tr>
      <w:tr w14:paraId="2969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8FD6A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72" w:type="dxa"/>
            <w:vMerge w:val="continue"/>
            <w:noWrap w:val="0"/>
            <w:vAlign w:val="center"/>
          </w:tcPr>
          <w:p w14:paraId="5B6200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6CFF45B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（5）绿地内无杂物、无改变用途和破坏、践踏、占用现象，每天至少开展1次巡查。</w:t>
            </w:r>
          </w:p>
        </w:tc>
      </w:tr>
      <w:tr w14:paraId="1E4CA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0D4F7D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rPr>
            </w:pPr>
          </w:p>
        </w:tc>
        <w:tc>
          <w:tcPr>
            <w:tcW w:w="3372" w:type="dxa"/>
            <w:vMerge w:val="continue"/>
            <w:noWrap w:val="0"/>
            <w:vAlign w:val="center"/>
          </w:tcPr>
          <w:p w14:paraId="7DF841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753D87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w:t>
            </w:r>
            <w:r>
              <w:rPr>
                <w:rFonts w:hint="eastAsia" w:ascii="楷体" w:hAnsi="楷体" w:eastAsia="楷体" w:cs="楷体"/>
                <w:sz w:val="24"/>
                <w:szCs w:val="24"/>
                <w:highlight w:val="none"/>
              </w:rPr>
              <w:t>办公区外立面</w:t>
            </w:r>
            <w:r>
              <w:rPr>
                <w:rFonts w:hint="eastAsia" w:ascii="楷体" w:hAnsi="楷体" w:eastAsia="楷体" w:cs="楷体"/>
                <w:color w:val="auto"/>
                <w:sz w:val="24"/>
                <w:szCs w:val="24"/>
                <w:highlight w:val="none"/>
                <w:u w:val="none"/>
                <w:lang w:val="en-US" w:eastAsia="zh-CN"/>
              </w:rPr>
              <w:t>定期</w:t>
            </w:r>
            <w:r>
              <w:rPr>
                <w:rFonts w:hint="eastAsia" w:ascii="楷体" w:hAnsi="楷体" w:eastAsia="楷体" w:cs="楷体"/>
                <w:sz w:val="24"/>
                <w:szCs w:val="24"/>
                <w:highlight w:val="none"/>
              </w:rPr>
              <w:t>清洗、</w:t>
            </w:r>
            <w:r>
              <w:rPr>
                <w:rFonts w:hint="eastAsia" w:ascii="楷体" w:hAnsi="楷体" w:eastAsia="楷体" w:cs="楷体"/>
                <w:sz w:val="24"/>
                <w:szCs w:val="24"/>
                <w:highlight w:val="none"/>
                <w:lang w:val="en-US" w:eastAsia="zh-CN"/>
              </w:rPr>
              <w:t>2米以上</w:t>
            </w:r>
            <w:r>
              <w:rPr>
                <w:rFonts w:hint="eastAsia" w:ascii="楷体" w:hAnsi="楷体" w:eastAsia="楷体" w:cs="楷体"/>
                <w:sz w:val="24"/>
                <w:szCs w:val="24"/>
                <w:highlight w:val="none"/>
              </w:rPr>
              <w:t>外窗玻璃擦拭</w:t>
            </w:r>
            <w:r>
              <w:rPr>
                <w:rFonts w:hint="eastAsia" w:ascii="楷体" w:hAnsi="楷体" w:eastAsia="楷体" w:cs="楷体"/>
                <w:sz w:val="24"/>
                <w:szCs w:val="24"/>
                <w:highlight w:val="none"/>
                <w:lang w:eastAsia="zh-CN"/>
              </w:rPr>
              <w:t>，</w:t>
            </w:r>
            <w:r>
              <w:rPr>
                <w:rFonts w:hint="eastAsia" w:ascii="楷体" w:hAnsi="楷体" w:eastAsia="楷体" w:cs="楷体"/>
                <w:sz w:val="24"/>
                <w:szCs w:val="24"/>
                <w:highlight w:val="none"/>
                <w:lang w:val="en-US" w:eastAsia="zh-CN"/>
              </w:rPr>
              <w:t>每年</w:t>
            </w:r>
            <w:r>
              <w:rPr>
                <w:rFonts w:hint="eastAsia" w:ascii="楷体" w:hAnsi="楷体" w:eastAsia="楷体" w:cs="楷体"/>
                <w:b w:val="0"/>
                <w:bCs w:val="0"/>
                <w:color w:val="auto"/>
                <w:kern w:val="0"/>
                <w:sz w:val="24"/>
                <w:szCs w:val="24"/>
                <w:highlight w:val="none"/>
                <w:lang w:val="en-US" w:eastAsia="zh-CN"/>
              </w:rPr>
              <w:t>至少开展</w:t>
            </w:r>
            <w:r>
              <w:rPr>
                <w:rFonts w:hint="eastAsia" w:ascii="楷体" w:hAnsi="楷体" w:eastAsia="楷体" w:cs="楷体"/>
                <w:sz w:val="24"/>
                <w:szCs w:val="24"/>
                <w:highlight w:val="none"/>
                <w:lang w:val="en-US" w:eastAsia="zh-CN"/>
              </w:rPr>
              <w:t>1次清洗。</w:t>
            </w:r>
            <w:r>
              <w:rPr>
                <w:rFonts w:hint="eastAsia" w:ascii="楷体" w:hAnsi="楷体" w:eastAsia="楷体" w:cs="楷体"/>
                <w:b w:val="0"/>
                <w:bCs w:val="0"/>
                <w:color w:val="auto"/>
                <w:kern w:val="0"/>
                <w:sz w:val="24"/>
                <w:szCs w:val="24"/>
                <w:highlight w:val="none"/>
                <w:lang w:val="en-US" w:eastAsia="zh-CN"/>
              </w:rPr>
              <w:t>（各类材质外立面服务标准详见3.4.1）</w:t>
            </w:r>
          </w:p>
        </w:tc>
      </w:tr>
      <w:tr w14:paraId="09CAB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4B4442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3372" w:type="dxa"/>
            <w:vMerge w:val="restart"/>
            <w:noWrap w:val="0"/>
            <w:vAlign w:val="center"/>
          </w:tcPr>
          <w:p w14:paraId="08675A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垃圾处理</w:t>
            </w:r>
          </w:p>
        </w:tc>
        <w:tc>
          <w:tcPr>
            <w:tcW w:w="9978" w:type="dxa"/>
            <w:noWrap w:val="0"/>
            <w:vAlign w:val="center"/>
          </w:tcPr>
          <w:p w14:paraId="609E838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（1）在指定位置摆放分类垃圾桶，并在显著处张贴垃圾分类标识。分类垃圾桶和垃圾分类标识根据所在城市的要求设置。</w:t>
            </w:r>
          </w:p>
        </w:tc>
      </w:tr>
      <w:tr w14:paraId="5A80D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7AEF2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3E56CE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0E309C4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（2）桶身表面干净无污渍，每日开展至少1次清洁作业。</w:t>
            </w:r>
          </w:p>
        </w:tc>
      </w:tr>
      <w:tr w14:paraId="4D825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1793A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728733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5D96DF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（3）垃圾中转房保持整洁，无明显异味，每日至少开展1次清洁作业。</w:t>
            </w:r>
          </w:p>
        </w:tc>
      </w:tr>
      <w:tr w14:paraId="75046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D2011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749CB0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3490E7A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（4）化粪池清掏，无明显异味，每半年至少开展1次清洁作业。</w:t>
            </w:r>
          </w:p>
        </w:tc>
      </w:tr>
      <w:tr w14:paraId="7DCF3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94A13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231DAE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48AFBD5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w:t>
            </w:r>
            <w:r>
              <w:rPr>
                <w:rFonts w:hint="eastAsia" w:ascii="楷体" w:hAnsi="楷体" w:eastAsia="楷体" w:cs="楷体"/>
                <w:color w:val="auto"/>
                <w:sz w:val="24"/>
                <w:szCs w:val="24"/>
                <w:highlight w:val="none"/>
                <w:u w:val="none"/>
                <w:lang w:val="en-US" w:eastAsia="zh-CN"/>
              </w:rPr>
              <w:t>每个工作日内要对楼层产生的垃圾，进行清理分类，并运至垃圾集中堆放点。</w:t>
            </w:r>
          </w:p>
        </w:tc>
      </w:tr>
      <w:tr w14:paraId="72080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F9F13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5A384F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68A82CD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（6）垃圾装袋，日产日清。</w:t>
            </w:r>
          </w:p>
        </w:tc>
      </w:tr>
      <w:tr w14:paraId="28F4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E1208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106B60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0CD7B6D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（7）建立垃圾清运台账，交由规范的渠道回收处理。</w:t>
            </w:r>
          </w:p>
        </w:tc>
      </w:tr>
      <w:tr w14:paraId="672B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A5855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4418928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53AFE7C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color w:val="auto"/>
                <w:sz w:val="24"/>
                <w:szCs w:val="24"/>
                <w:highlight w:val="none"/>
                <w:u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w:t>
            </w:r>
            <w:r>
              <w:rPr>
                <w:rFonts w:hint="eastAsia" w:ascii="楷体" w:hAnsi="楷体" w:eastAsia="楷体" w:cs="楷体"/>
                <w:color w:val="auto"/>
                <w:sz w:val="24"/>
                <w:szCs w:val="24"/>
                <w:highlight w:val="none"/>
                <w:u w:val="none"/>
                <w:lang w:val="en-US" w:eastAsia="zh-CN"/>
              </w:rPr>
              <w:t>做好垃圾分类管理的宣传工作，督促并引导全员参与垃圾分类投放。</w:t>
            </w:r>
          </w:p>
        </w:tc>
      </w:tr>
      <w:tr w14:paraId="1CC19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13D6B8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189059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0C17305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（9）</w:t>
            </w:r>
            <w:r>
              <w:rPr>
                <w:rFonts w:hint="eastAsia" w:ascii="楷体" w:hAnsi="楷体" w:eastAsia="楷体" w:cs="楷体"/>
                <w:color w:val="auto"/>
                <w:sz w:val="24"/>
                <w:szCs w:val="24"/>
                <w:highlight w:val="none"/>
                <w:u w:val="none"/>
                <w:lang w:val="en-US" w:eastAsia="zh-CN"/>
              </w:rPr>
              <w:t>垃圾分类投放管理工作的执行标准，按</w:t>
            </w:r>
            <w:r>
              <w:rPr>
                <w:rFonts w:hint="eastAsia" w:ascii="楷体" w:hAnsi="楷体" w:eastAsia="楷体" w:cs="楷体"/>
                <w:b w:val="0"/>
                <w:bCs w:val="0"/>
                <w:color w:val="auto"/>
                <w:kern w:val="0"/>
                <w:sz w:val="24"/>
                <w:szCs w:val="24"/>
                <w:highlight w:val="none"/>
                <w:lang w:val="en-US" w:eastAsia="zh-CN"/>
              </w:rPr>
              <w:t>所在城市</w:t>
            </w:r>
            <w:r>
              <w:rPr>
                <w:rFonts w:hint="eastAsia" w:ascii="楷体" w:hAnsi="楷体" w:eastAsia="楷体" w:cs="楷体"/>
                <w:color w:val="auto"/>
                <w:sz w:val="24"/>
                <w:szCs w:val="24"/>
                <w:highlight w:val="none"/>
                <w:u w:val="none"/>
                <w:lang w:val="en-US" w:eastAsia="zh-CN"/>
              </w:rPr>
              <w:t>的要求执行。</w:t>
            </w:r>
          </w:p>
        </w:tc>
      </w:tr>
      <w:tr w14:paraId="0F79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1B6EA49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3372" w:type="dxa"/>
            <w:vMerge w:val="restart"/>
            <w:noWrap w:val="0"/>
            <w:vAlign w:val="center"/>
          </w:tcPr>
          <w:p w14:paraId="5C2C72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卫生消毒</w:t>
            </w:r>
          </w:p>
        </w:tc>
        <w:tc>
          <w:tcPr>
            <w:tcW w:w="9978" w:type="dxa"/>
            <w:noWrap w:val="0"/>
            <w:vAlign w:val="center"/>
          </w:tcPr>
          <w:p w14:paraId="43EAE2F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（1）办公用房区域、公共场所区域和周围环境预防性卫生消毒，</w:t>
            </w:r>
            <w:r>
              <w:rPr>
                <w:rFonts w:hint="eastAsia" w:ascii="楷体" w:hAnsi="楷体" w:eastAsia="楷体" w:cs="楷体"/>
                <w:color w:val="auto"/>
                <w:sz w:val="24"/>
                <w:szCs w:val="24"/>
                <w:highlight w:val="none"/>
                <w:u w:val="none"/>
                <w:lang w:val="en-US" w:eastAsia="zh-CN"/>
              </w:rPr>
              <w:t>消毒后及时通风，每周</w:t>
            </w:r>
            <w:r>
              <w:rPr>
                <w:rFonts w:hint="eastAsia" w:ascii="楷体" w:hAnsi="楷体" w:eastAsia="楷体" w:cs="楷体"/>
                <w:b w:val="0"/>
                <w:bCs w:val="0"/>
                <w:color w:val="auto"/>
                <w:kern w:val="0"/>
                <w:sz w:val="24"/>
                <w:szCs w:val="24"/>
                <w:highlight w:val="none"/>
                <w:lang w:val="en-US" w:eastAsia="zh-CN"/>
              </w:rPr>
              <w:t>至少开展</w:t>
            </w:r>
            <w:r>
              <w:rPr>
                <w:rFonts w:hint="eastAsia" w:ascii="楷体" w:hAnsi="楷体" w:eastAsia="楷体" w:cs="楷体"/>
                <w:color w:val="auto"/>
                <w:sz w:val="24"/>
                <w:szCs w:val="24"/>
                <w:highlight w:val="none"/>
                <w:u w:val="none"/>
                <w:lang w:val="en-US" w:eastAsia="zh-CN"/>
              </w:rPr>
              <w:t>1次作业。</w:t>
            </w:r>
          </w:p>
        </w:tc>
      </w:tr>
      <w:tr w14:paraId="15F52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03CC0F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53F83D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1B9D00F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（2）采取综合措施消灭老鼠、蟑螂，控制室内外蚊虫孳生，达到基本无蝇</w:t>
            </w:r>
            <w:r>
              <w:rPr>
                <w:rFonts w:hint="eastAsia" w:ascii="楷体" w:hAnsi="楷体" w:eastAsia="楷体" w:cs="楷体"/>
                <w:color w:val="auto"/>
                <w:sz w:val="24"/>
                <w:szCs w:val="24"/>
                <w:highlight w:val="none"/>
                <w:u w:val="none"/>
                <w:lang w:val="en-US" w:eastAsia="zh-CN"/>
              </w:rPr>
              <w:t>，每季度</w:t>
            </w:r>
            <w:r>
              <w:rPr>
                <w:rFonts w:hint="eastAsia" w:ascii="楷体" w:hAnsi="楷体" w:eastAsia="楷体" w:cs="楷体"/>
                <w:b w:val="0"/>
                <w:bCs w:val="0"/>
                <w:color w:val="auto"/>
                <w:kern w:val="0"/>
                <w:sz w:val="24"/>
                <w:szCs w:val="24"/>
                <w:highlight w:val="none"/>
                <w:lang w:val="en-US" w:eastAsia="zh-CN"/>
              </w:rPr>
              <w:t>至少开展</w:t>
            </w:r>
            <w:r>
              <w:rPr>
                <w:rFonts w:hint="eastAsia" w:ascii="楷体" w:hAnsi="楷体" w:eastAsia="楷体" w:cs="楷体"/>
                <w:color w:val="auto"/>
                <w:sz w:val="24"/>
                <w:szCs w:val="24"/>
                <w:highlight w:val="none"/>
                <w:u w:val="none"/>
                <w:lang w:val="en-US" w:eastAsia="zh-CN"/>
              </w:rPr>
              <w:t>1次作业。</w:t>
            </w:r>
          </w:p>
        </w:tc>
      </w:tr>
      <w:tr w14:paraId="532F7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3F9EEA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72" w:type="dxa"/>
            <w:vMerge w:val="continue"/>
            <w:noWrap w:val="0"/>
            <w:vAlign w:val="center"/>
          </w:tcPr>
          <w:p w14:paraId="631A46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9978" w:type="dxa"/>
            <w:noWrap w:val="0"/>
            <w:vAlign w:val="center"/>
          </w:tcPr>
          <w:p w14:paraId="11AFC95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（3）发生公共卫生事件时，邀请专业单位开展消毒、检测等工作。</w:t>
            </w:r>
          </w:p>
        </w:tc>
      </w:tr>
    </w:tbl>
    <w:p w14:paraId="21D78B8C">
      <w:pPr>
        <w:pStyle w:val="3"/>
        <w:bidi w:val="0"/>
        <w:rPr>
          <w:rFonts w:hint="eastAsia" w:ascii="楷体" w:hAnsi="楷体" w:eastAsia="楷体" w:cs="楷体"/>
          <w:sz w:val="24"/>
          <w:szCs w:val="24"/>
          <w:highlight w:val="none"/>
          <w:lang w:val="en-US" w:eastAsia="zh-CN"/>
        </w:rPr>
      </w:pPr>
    </w:p>
    <w:p w14:paraId="5BA679D0">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3.4.1具体清洁要求</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926"/>
        <w:gridCol w:w="5740"/>
      </w:tblGrid>
      <w:tr w14:paraId="471E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F7B8A46">
            <w:pPr>
              <w:jc w:val="center"/>
              <w:rPr>
                <w:rFonts w:hint="eastAsia" w:ascii="楷体" w:hAnsi="楷体" w:eastAsia="楷体" w:cs="楷体"/>
                <w:b/>
                <w:bCs/>
                <w:sz w:val="24"/>
                <w:szCs w:val="24"/>
                <w:highlight w:val="none"/>
                <w:vertAlign w:val="baseline"/>
                <w:lang w:val="en-US" w:eastAsia="zh-CN"/>
              </w:rPr>
            </w:pPr>
            <w:r>
              <w:rPr>
                <w:rFonts w:hint="eastAsia" w:ascii="楷体" w:hAnsi="楷体" w:eastAsia="楷体" w:cs="楷体"/>
                <w:b/>
                <w:bCs/>
                <w:sz w:val="24"/>
                <w:szCs w:val="24"/>
                <w:highlight w:val="none"/>
                <w:vertAlign w:val="baseline"/>
                <w:lang w:val="en-US" w:eastAsia="zh-CN"/>
              </w:rPr>
              <w:t>序号</w:t>
            </w:r>
          </w:p>
        </w:tc>
        <w:tc>
          <w:tcPr>
            <w:tcW w:w="3368" w:type="dxa"/>
            <w:noWrap w:val="0"/>
            <w:vAlign w:val="center"/>
          </w:tcPr>
          <w:p w14:paraId="2814AA6F">
            <w:pPr>
              <w:jc w:val="center"/>
              <w:rPr>
                <w:rFonts w:hint="eastAsia" w:ascii="楷体" w:hAnsi="楷体" w:eastAsia="楷体" w:cs="楷体"/>
                <w:b/>
                <w:bCs/>
                <w:sz w:val="24"/>
                <w:szCs w:val="24"/>
                <w:highlight w:val="none"/>
                <w:vertAlign w:val="baseline"/>
                <w:lang w:val="en-US" w:eastAsia="zh-CN"/>
              </w:rPr>
            </w:pPr>
            <w:r>
              <w:rPr>
                <w:rFonts w:hint="eastAsia" w:ascii="楷体" w:hAnsi="楷体" w:eastAsia="楷体" w:cs="楷体"/>
                <w:b/>
                <w:bCs/>
                <w:sz w:val="24"/>
                <w:szCs w:val="24"/>
                <w:highlight w:val="none"/>
                <w:vertAlign w:val="baseline"/>
                <w:lang w:val="en-US" w:eastAsia="zh-CN"/>
              </w:rPr>
              <w:t>材质</w:t>
            </w:r>
          </w:p>
        </w:tc>
        <w:tc>
          <w:tcPr>
            <w:tcW w:w="9947" w:type="dxa"/>
            <w:noWrap w:val="0"/>
            <w:vAlign w:val="center"/>
          </w:tcPr>
          <w:p w14:paraId="7F7891CA">
            <w:pPr>
              <w:jc w:val="center"/>
              <w:rPr>
                <w:rFonts w:hint="eastAsia" w:ascii="楷体" w:hAnsi="楷体" w:eastAsia="楷体" w:cs="楷体"/>
                <w:b/>
                <w:bCs/>
                <w:sz w:val="24"/>
                <w:szCs w:val="24"/>
                <w:highlight w:val="none"/>
                <w:vertAlign w:val="baseline"/>
                <w:lang w:val="en-US" w:eastAsia="zh-CN"/>
              </w:rPr>
            </w:pPr>
            <w:r>
              <w:rPr>
                <w:rFonts w:hint="eastAsia" w:ascii="楷体" w:hAnsi="楷体" w:eastAsia="楷体" w:cs="楷体"/>
                <w:b/>
                <w:bCs/>
                <w:sz w:val="24"/>
                <w:szCs w:val="24"/>
                <w:highlight w:val="none"/>
                <w:vertAlign w:val="baseline"/>
                <w:lang w:val="en-US" w:eastAsia="zh-CN"/>
              </w:rPr>
              <w:t>清洁要求</w:t>
            </w:r>
          </w:p>
        </w:tc>
      </w:tr>
      <w:tr w14:paraId="3FC89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85706F6">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w:t>
            </w:r>
          </w:p>
        </w:tc>
        <w:tc>
          <w:tcPr>
            <w:tcW w:w="3368" w:type="dxa"/>
            <w:vMerge w:val="restart"/>
            <w:noWrap w:val="0"/>
            <w:vAlign w:val="center"/>
          </w:tcPr>
          <w:p w14:paraId="60E68140">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环氧地坪地面</w:t>
            </w:r>
          </w:p>
        </w:tc>
        <w:tc>
          <w:tcPr>
            <w:tcW w:w="9947" w:type="dxa"/>
            <w:noWrap w:val="0"/>
            <w:vAlign w:val="center"/>
          </w:tcPr>
          <w:p w14:paraId="10B5392A">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vertAlign w:val="baseline"/>
                <w:lang w:val="en-US" w:eastAsia="zh-CN"/>
              </w:rPr>
              <w:t>清理垃圾：清理地面上的垃圾和杂物。</w:t>
            </w:r>
          </w:p>
        </w:tc>
      </w:tr>
      <w:tr w14:paraId="48AB0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22E5AD1">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501E971A">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0716470B">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6FE28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ADABF93">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783C0E04">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3065CB41">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（3）</w:t>
            </w:r>
            <w:r>
              <w:rPr>
                <w:rFonts w:hint="eastAsia" w:ascii="楷体" w:hAnsi="楷体" w:eastAsia="楷体" w:cs="楷体"/>
                <w:sz w:val="24"/>
                <w:szCs w:val="24"/>
                <w:highlight w:val="none"/>
                <w:vertAlign w:val="baseline"/>
                <w:lang w:val="en-US" w:eastAsia="zh-CN"/>
              </w:rPr>
              <w:t>滚刷或颗粒机进行深层清洗：对于顽固沉积物，需要使用滚刷或颗粒机进行深层清洗。</w:t>
            </w:r>
          </w:p>
        </w:tc>
      </w:tr>
      <w:tr w14:paraId="1BD8F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1426DB6">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174CF1D5">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7ACCCEE2">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（4）</w:t>
            </w:r>
            <w:r>
              <w:rPr>
                <w:rFonts w:hint="eastAsia" w:ascii="楷体" w:hAnsi="楷体" w:eastAsia="楷体" w:cs="楷体"/>
                <w:sz w:val="24"/>
                <w:szCs w:val="24"/>
                <w:highlight w:val="none"/>
                <w:vertAlign w:val="baseline"/>
                <w:lang w:val="en-US" w:eastAsia="zh-CN"/>
              </w:rPr>
              <w:t>浸泡：将清洁剂或去污剂浸泡在环氧地坪上，加强去除污渍的效果。</w:t>
            </w:r>
          </w:p>
        </w:tc>
      </w:tr>
      <w:tr w14:paraId="2A2AF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9A8DAC0">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329178FD">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603BB50B">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w:t>
            </w:r>
            <w:r>
              <w:rPr>
                <w:rFonts w:hint="eastAsia" w:ascii="楷体" w:hAnsi="楷体" w:eastAsia="楷体" w:cs="楷体"/>
                <w:sz w:val="24"/>
                <w:szCs w:val="24"/>
                <w:highlight w:val="none"/>
                <w:vertAlign w:val="baseline"/>
                <w:lang w:val="en-US" w:eastAsia="zh-CN"/>
              </w:rPr>
              <w:t>冲洗：用清水将地面冲洗干净，以去除残留的清洁剂或去污剂。</w:t>
            </w:r>
          </w:p>
        </w:tc>
      </w:tr>
      <w:tr w14:paraId="170D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0D9C2BC">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w:t>
            </w:r>
          </w:p>
        </w:tc>
        <w:tc>
          <w:tcPr>
            <w:tcW w:w="3368" w:type="dxa"/>
            <w:vMerge w:val="restart"/>
            <w:noWrap w:val="0"/>
            <w:vAlign w:val="center"/>
          </w:tcPr>
          <w:p w14:paraId="39ACD96F">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耐磨漆地面</w:t>
            </w:r>
          </w:p>
        </w:tc>
        <w:tc>
          <w:tcPr>
            <w:tcW w:w="9947" w:type="dxa"/>
            <w:noWrap w:val="0"/>
            <w:vAlign w:val="center"/>
          </w:tcPr>
          <w:p w14:paraId="504EAD80">
            <w:pPr>
              <w:ind w:firstLine="240" w:firstLineChars="100"/>
              <w:jc w:val="both"/>
              <w:rPr>
                <w:rFonts w:hint="eastAsia" w:ascii="楷体" w:hAnsi="楷体" w:eastAsia="楷体" w:cs="楷体"/>
                <w:sz w:val="24"/>
                <w:szCs w:val="24"/>
                <w:highlight w:val="none"/>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rPr>
              <w:t>日常清洁：使用软质拖把或地板清洁机，配合清水和中性清洁剂进行清洁。避免使用酸性或碱性清洁剂，以免损坏地面表面。定期清理地面上的污渍和杂物，保持地面干净整洁。</w:t>
            </w:r>
          </w:p>
        </w:tc>
      </w:tr>
      <w:tr w14:paraId="4720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C8678A5">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60950818">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65C06D94">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rPr>
              <w:t>打蜡：为了增加耐磨地面的光亮度和耐磨性，可以进行打蜡处理。使用适合聚氨酯地面的蜡进行均匀涂抹，待蜡干燥后使用抛光机或拖把清理地面，使其变得光滑而有光泽。</w:t>
            </w:r>
          </w:p>
        </w:tc>
      </w:tr>
      <w:tr w14:paraId="46137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7C61C9C">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3</w:t>
            </w:r>
          </w:p>
        </w:tc>
        <w:tc>
          <w:tcPr>
            <w:tcW w:w="3368" w:type="dxa"/>
            <w:vMerge w:val="restart"/>
            <w:noWrap w:val="0"/>
            <w:vAlign w:val="center"/>
          </w:tcPr>
          <w:p w14:paraId="33BBE5C6">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瓷砖地面</w:t>
            </w:r>
          </w:p>
        </w:tc>
        <w:tc>
          <w:tcPr>
            <w:tcW w:w="9947" w:type="dxa"/>
            <w:noWrap w:val="0"/>
            <w:vAlign w:val="center"/>
          </w:tcPr>
          <w:p w14:paraId="00C7C029">
            <w:pPr>
              <w:ind w:firstLine="240" w:firstLineChars="100"/>
              <w:jc w:val="both"/>
              <w:rPr>
                <w:rFonts w:hint="eastAsia" w:ascii="楷体" w:hAnsi="楷体" w:eastAsia="楷体" w:cs="楷体"/>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rPr>
              <w:t>日常清洁：</w:t>
            </w:r>
            <w:r>
              <w:rPr>
                <w:rFonts w:hint="eastAsia" w:ascii="楷体" w:hAnsi="楷体" w:eastAsia="楷体" w:cs="楷体"/>
                <w:sz w:val="24"/>
                <w:szCs w:val="24"/>
                <w:highlight w:val="none"/>
                <w:lang w:val="en-US" w:eastAsia="zh-CN"/>
              </w:rPr>
              <w:t>推尘，保持地面干净无杂物。</w:t>
            </w:r>
          </w:p>
        </w:tc>
      </w:tr>
      <w:tr w14:paraId="35217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6BFFC42">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376B4290">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724FCA14">
            <w:pPr>
              <w:ind w:firstLine="240" w:firstLineChars="100"/>
              <w:jc w:val="both"/>
              <w:rPr>
                <w:rFonts w:hint="eastAsia" w:ascii="楷体" w:hAnsi="楷体" w:eastAsia="楷体" w:cs="楷体"/>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lang w:val="en-US" w:eastAsia="zh-CN"/>
              </w:rPr>
              <w:t>深度清洁：使用洗洁精或肥皂水清理。</w:t>
            </w:r>
          </w:p>
        </w:tc>
      </w:tr>
      <w:tr w14:paraId="5474A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2DA6611">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4</w:t>
            </w:r>
          </w:p>
        </w:tc>
        <w:tc>
          <w:tcPr>
            <w:tcW w:w="3368" w:type="dxa"/>
            <w:vMerge w:val="restart"/>
            <w:noWrap w:val="0"/>
            <w:vAlign w:val="center"/>
          </w:tcPr>
          <w:p w14:paraId="40123015">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石材地面</w:t>
            </w:r>
          </w:p>
        </w:tc>
        <w:tc>
          <w:tcPr>
            <w:tcW w:w="9947" w:type="dxa"/>
            <w:noWrap w:val="0"/>
            <w:vAlign w:val="center"/>
          </w:tcPr>
          <w:p w14:paraId="0692DB16">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rPr>
              <w:t>日常清洁：</w:t>
            </w:r>
            <w:r>
              <w:rPr>
                <w:rFonts w:hint="eastAsia" w:ascii="楷体" w:hAnsi="楷体" w:eastAsia="楷体" w:cs="楷体"/>
                <w:sz w:val="24"/>
                <w:szCs w:val="24"/>
                <w:highlight w:val="none"/>
                <w:lang w:val="en-US" w:eastAsia="zh-CN"/>
              </w:rPr>
              <w:t>推尘，保持地面干净无杂物。</w:t>
            </w:r>
            <w:r>
              <w:rPr>
                <w:rFonts w:hint="eastAsia" w:ascii="楷体" w:hAnsi="楷体" w:eastAsia="楷体" w:cs="楷体"/>
                <w:sz w:val="24"/>
                <w:szCs w:val="24"/>
                <w:highlight w:val="none"/>
                <w:vertAlign w:val="baseline"/>
                <w:lang w:val="en-US" w:eastAsia="zh-CN"/>
              </w:rPr>
              <w:t>。</w:t>
            </w:r>
          </w:p>
        </w:tc>
      </w:tr>
      <w:tr w14:paraId="565EC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39CE58E">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4DE36624">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19C586F1">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b w:val="0"/>
                <w:bCs w:val="0"/>
                <w:color w:val="auto"/>
                <w:kern w:val="0"/>
                <w:sz w:val="24"/>
                <w:szCs w:val="24"/>
                <w:highlight w:val="none"/>
                <w:lang w:val="en-US" w:eastAsia="zh-CN"/>
              </w:rPr>
              <w:t xml:space="preserve"> （2）启动晶面机，使用中性清洁剂清洁，避免使用强酸或强碱清洁剂，定期进行基础维护。</w:t>
            </w:r>
          </w:p>
        </w:tc>
      </w:tr>
      <w:tr w14:paraId="43E13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317DE65">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5</w:t>
            </w:r>
          </w:p>
        </w:tc>
        <w:tc>
          <w:tcPr>
            <w:tcW w:w="3368" w:type="dxa"/>
            <w:vMerge w:val="restart"/>
            <w:noWrap w:val="0"/>
            <w:vAlign w:val="center"/>
          </w:tcPr>
          <w:p w14:paraId="6071D90A">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水磨石地面</w:t>
            </w:r>
          </w:p>
        </w:tc>
        <w:tc>
          <w:tcPr>
            <w:tcW w:w="9947" w:type="dxa"/>
            <w:noWrap w:val="0"/>
            <w:vAlign w:val="center"/>
          </w:tcPr>
          <w:p w14:paraId="6AB0E2F4">
            <w:pPr>
              <w:ind w:firstLine="240" w:firstLineChars="100"/>
              <w:jc w:val="both"/>
              <w:rPr>
                <w:rFonts w:hint="eastAsia" w:ascii="楷体" w:hAnsi="楷体" w:eastAsia="楷体" w:cs="楷体"/>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rPr>
              <w:t>日常清洁：</w:t>
            </w:r>
            <w:r>
              <w:rPr>
                <w:rFonts w:hint="eastAsia" w:ascii="楷体" w:hAnsi="楷体" w:eastAsia="楷体" w:cs="楷体"/>
                <w:sz w:val="24"/>
                <w:szCs w:val="24"/>
                <w:highlight w:val="none"/>
                <w:lang w:val="en-US" w:eastAsia="zh-CN"/>
              </w:rPr>
              <w:t>推尘，保持地面干净无杂物。</w:t>
            </w:r>
          </w:p>
        </w:tc>
      </w:tr>
      <w:tr w14:paraId="0C173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2C860E4">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5ABC69D3">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62C7889C">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lang w:val="en-US" w:eastAsia="zh-CN"/>
              </w:rPr>
              <w:t>深度清洁：使用洗洁精或肥皂水清理。</w:t>
            </w:r>
          </w:p>
        </w:tc>
      </w:tr>
      <w:tr w14:paraId="021AD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BF5EABA">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6</w:t>
            </w:r>
          </w:p>
        </w:tc>
        <w:tc>
          <w:tcPr>
            <w:tcW w:w="3368" w:type="dxa"/>
            <w:vMerge w:val="restart"/>
            <w:noWrap w:val="0"/>
            <w:vAlign w:val="center"/>
          </w:tcPr>
          <w:p w14:paraId="1543492F">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地胶板地面</w:t>
            </w:r>
          </w:p>
        </w:tc>
        <w:tc>
          <w:tcPr>
            <w:tcW w:w="9947" w:type="dxa"/>
            <w:noWrap w:val="0"/>
            <w:vAlign w:val="center"/>
          </w:tcPr>
          <w:p w14:paraId="75A46998">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vertAlign w:val="baseline"/>
                <w:lang w:val="en-US" w:eastAsia="zh-CN"/>
              </w:rPr>
              <w:t>定期保养。使用中性清洁剂清洁，避免使用强酸或强碱清洁剂，定期进行基础维护。</w:t>
            </w:r>
          </w:p>
        </w:tc>
      </w:tr>
      <w:tr w14:paraId="7B2AC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778D906">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1B0D6476">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1EC56341">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vertAlign w:val="baseline"/>
                <w:lang w:val="en-US" w:eastAsia="zh-CN"/>
              </w:rPr>
              <w:t>日常维护。使用湿润的拖把清洁，污染严重时局部清洁。</w:t>
            </w:r>
          </w:p>
        </w:tc>
      </w:tr>
      <w:tr w14:paraId="631E2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B435F78">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7</w:t>
            </w:r>
          </w:p>
        </w:tc>
        <w:tc>
          <w:tcPr>
            <w:tcW w:w="3368" w:type="dxa"/>
            <w:vMerge w:val="restart"/>
            <w:noWrap w:val="0"/>
            <w:vAlign w:val="center"/>
          </w:tcPr>
          <w:p w14:paraId="0DE348E1">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地板地面</w:t>
            </w:r>
          </w:p>
        </w:tc>
        <w:tc>
          <w:tcPr>
            <w:tcW w:w="9947" w:type="dxa"/>
            <w:noWrap w:val="0"/>
            <w:vAlign w:val="center"/>
          </w:tcPr>
          <w:p w14:paraId="4C8BB570">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vertAlign w:val="baseline"/>
                <w:lang w:val="en-US" w:eastAsia="zh-CN"/>
              </w:rPr>
              <w:t>定期保养。使用中性清洁剂清洁，避免使用强酸或强碱清洁剂，定期进行基础维护。</w:t>
            </w:r>
          </w:p>
        </w:tc>
      </w:tr>
      <w:tr w14:paraId="117D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1B40D0C">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63030904">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49293602">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vertAlign w:val="baseline"/>
                <w:lang w:val="en-US" w:eastAsia="zh-CN"/>
              </w:rPr>
              <w:t>日常维护。使用湿润的拖把清洁，污染严重时局部清洁。</w:t>
            </w:r>
          </w:p>
        </w:tc>
      </w:tr>
      <w:tr w14:paraId="571E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7E986E9">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8</w:t>
            </w:r>
          </w:p>
        </w:tc>
        <w:tc>
          <w:tcPr>
            <w:tcW w:w="3368" w:type="dxa"/>
            <w:vMerge w:val="restart"/>
            <w:noWrap w:val="0"/>
            <w:vAlign w:val="center"/>
          </w:tcPr>
          <w:p w14:paraId="4DE325D2">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地毯地面</w:t>
            </w:r>
          </w:p>
        </w:tc>
        <w:tc>
          <w:tcPr>
            <w:tcW w:w="9947" w:type="dxa"/>
            <w:noWrap w:val="0"/>
            <w:vAlign w:val="center"/>
          </w:tcPr>
          <w:p w14:paraId="7D2A1C9D">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sz w:val="24"/>
                <w:szCs w:val="24"/>
                <w:highlight w:val="none"/>
                <w:vertAlign w:val="baseline"/>
                <w:lang w:val="en-US" w:eastAsia="zh-CN"/>
              </w:rPr>
              <w:t>日常用吸尘机除尘，局部脏污用湿布配中性清洁液重点清洁。</w:t>
            </w:r>
          </w:p>
        </w:tc>
      </w:tr>
      <w:tr w14:paraId="488BE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AD7E139">
            <w:pPr>
              <w:jc w:val="center"/>
              <w:rPr>
                <w:rFonts w:hint="eastAsia" w:ascii="楷体" w:hAnsi="楷体" w:eastAsia="楷体" w:cs="楷体"/>
                <w:sz w:val="24"/>
                <w:szCs w:val="24"/>
                <w:highlight w:val="none"/>
                <w:vertAlign w:val="baseline"/>
                <w:lang w:val="en-US" w:eastAsia="zh-CN"/>
              </w:rPr>
            </w:pPr>
          </w:p>
        </w:tc>
        <w:tc>
          <w:tcPr>
            <w:tcW w:w="3368" w:type="dxa"/>
            <w:vMerge w:val="continue"/>
            <w:noWrap w:val="0"/>
            <w:vAlign w:val="center"/>
          </w:tcPr>
          <w:p w14:paraId="6BB51969">
            <w:pPr>
              <w:jc w:val="both"/>
              <w:rPr>
                <w:rFonts w:hint="eastAsia" w:ascii="楷体" w:hAnsi="楷体" w:eastAsia="楷体" w:cs="楷体"/>
                <w:sz w:val="24"/>
                <w:szCs w:val="24"/>
                <w:highlight w:val="none"/>
                <w:vertAlign w:val="baseline"/>
                <w:lang w:val="en-US" w:eastAsia="zh-CN"/>
              </w:rPr>
            </w:pPr>
          </w:p>
        </w:tc>
        <w:tc>
          <w:tcPr>
            <w:tcW w:w="9947" w:type="dxa"/>
            <w:noWrap w:val="0"/>
            <w:vAlign w:val="center"/>
          </w:tcPr>
          <w:p w14:paraId="6853E6A8">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w:t>
            </w:r>
            <w:r>
              <w:rPr>
                <w:rFonts w:hint="eastAsia" w:ascii="楷体" w:hAnsi="楷体" w:eastAsia="楷体" w:cs="楷体"/>
                <w:sz w:val="24"/>
                <w:szCs w:val="24"/>
                <w:highlight w:val="none"/>
                <w:vertAlign w:val="baseline"/>
                <w:lang w:val="en-US" w:eastAsia="zh-CN"/>
              </w:rPr>
              <w:t>用地毯清洗机进行整体清洗，除螨。</w:t>
            </w:r>
          </w:p>
        </w:tc>
      </w:tr>
      <w:tr w14:paraId="7F18A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D44A69B">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9</w:t>
            </w:r>
          </w:p>
        </w:tc>
        <w:tc>
          <w:tcPr>
            <w:tcW w:w="3368" w:type="dxa"/>
            <w:noWrap w:val="0"/>
            <w:vAlign w:val="center"/>
          </w:tcPr>
          <w:p w14:paraId="48008C56">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乳胶漆内墙</w:t>
            </w:r>
          </w:p>
        </w:tc>
        <w:tc>
          <w:tcPr>
            <w:tcW w:w="9947" w:type="dxa"/>
            <w:noWrap w:val="0"/>
            <w:vAlign w:val="center"/>
          </w:tcPr>
          <w:p w14:paraId="0DD08030">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sz w:val="24"/>
                <w:szCs w:val="24"/>
                <w:highlight w:val="none"/>
                <w:vertAlign w:val="baseline"/>
                <w:lang w:val="en-US" w:eastAsia="zh-CN"/>
              </w:rPr>
              <w:t>有污渍时用半干布擦拭。</w:t>
            </w:r>
          </w:p>
        </w:tc>
      </w:tr>
      <w:tr w14:paraId="4B812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18A9F19">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10</w:t>
            </w:r>
          </w:p>
        </w:tc>
        <w:tc>
          <w:tcPr>
            <w:tcW w:w="3368" w:type="dxa"/>
            <w:noWrap w:val="0"/>
            <w:vAlign w:val="center"/>
          </w:tcPr>
          <w:p w14:paraId="77A79983">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墙纸内墙</w:t>
            </w:r>
          </w:p>
        </w:tc>
        <w:tc>
          <w:tcPr>
            <w:tcW w:w="9947" w:type="dxa"/>
            <w:noWrap w:val="0"/>
            <w:vAlign w:val="center"/>
          </w:tcPr>
          <w:p w14:paraId="12F7EBCF">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sz w:val="24"/>
                <w:szCs w:val="24"/>
                <w:highlight w:val="none"/>
                <w:vertAlign w:val="baseline"/>
                <w:lang w:val="en-US" w:eastAsia="zh-CN"/>
              </w:rPr>
              <w:t>有污渍时用半干布擦拭。</w:t>
            </w:r>
          </w:p>
        </w:tc>
      </w:tr>
      <w:tr w14:paraId="577D5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96274EB">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11</w:t>
            </w:r>
          </w:p>
        </w:tc>
        <w:tc>
          <w:tcPr>
            <w:tcW w:w="3368" w:type="dxa"/>
            <w:noWrap w:val="0"/>
            <w:vAlign w:val="center"/>
          </w:tcPr>
          <w:p w14:paraId="5BF6F226">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木饰面内墙</w:t>
            </w:r>
          </w:p>
        </w:tc>
        <w:tc>
          <w:tcPr>
            <w:tcW w:w="9947" w:type="dxa"/>
            <w:noWrap w:val="0"/>
            <w:vAlign w:val="center"/>
          </w:tcPr>
          <w:p w14:paraId="28C52143">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sz w:val="24"/>
                <w:szCs w:val="24"/>
                <w:highlight w:val="none"/>
                <w:vertAlign w:val="baseline"/>
                <w:lang w:val="en-US" w:eastAsia="zh-CN"/>
              </w:rPr>
              <w:t>有污渍时用中性清洁剂、半干布擦拭。</w:t>
            </w:r>
          </w:p>
        </w:tc>
      </w:tr>
      <w:tr w14:paraId="18D35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8EA973F">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12</w:t>
            </w:r>
          </w:p>
        </w:tc>
        <w:tc>
          <w:tcPr>
            <w:tcW w:w="3368" w:type="dxa"/>
            <w:noWrap w:val="0"/>
            <w:vAlign w:val="center"/>
          </w:tcPr>
          <w:p w14:paraId="405E22A0">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石材内墙</w:t>
            </w:r>
          </w:p>
        </w:tc>
        <w:tc>
          <w:tcPr>
            <w:tcW w:w="9947" w:type="dxa"/>
            <w:noWrap w:val="0"/>
            <w:vAlign w:val="center"/>
          </w:tcPr>
          <w:p w14:paraId="4776F485">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sz w:val="24"/>
                <w:szCs w:val="24"/>
                <w:highlight w:val="none"/>
                <w:vertAlign w:val="baseline"/>
                <w:lang w:val="en-US" w:eastAsia="zh-CN"/>
              </w:rPr>
              <w:t>有污渍时用半干布擦拭。</w:t>
            </w:r>
          </w:p>
        </w:tc>
      </w:tr>
      <w:tr w14:paraId="6405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027F192">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13</w:t>
            </w:r>
          </w:p>
        </w:tc>
        <w:tc>
          <w:tcPr>
            <w:tcW w:w="3368" w:type="dxa"/>
            <w:noWrap w:val="0"/>
            <w:vAlign w:val="center"/>
          </w:tcPr>
          <w:p w14:paraId="0ED2A402">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金属板内墙</w:t>
            </w:r>
          </w:p>
        </w:tc>
        <w:tc>
          <w:tcPr>
            <w:tcW w:w="9947" w:type="dxa"/>
            <w:noWrap w:val="0"/>
            <w:vAlign w:val="center"/>
          </w:tcPr>
          <w:p w14:paraId="46EA865A">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sz w:val="24"/>
                <w:szCs w:val="24"/>
                <w:highlight w:val="none"/>
                <w:vertAlign w:val="baseline"/>
                <w:lang w:val="en-US" w:eastAsia="zh-CN"/>
              </w:rPr>
              <w:t>有污渍时用半干布擦拭。</w:t>
            </w:r>
          </w:p>
        </w:tc>
      </w:tr>
      <w:tr w14:paraId="17EB5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A7F7EFC">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14</w:t>
            </w:r>
          </w:p>
        </w:tc>
        <w:tc>
          <w:tcPr>
            <w:tcW w:w="3368" w:type="dxa"/>
            <w:noWrap w:val="0"/>
            <w:vAlign w:val="center"/>
          </w:tcPr>
          <w:p w14:paraId="6E8EE104">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涂料外墙</w:t>
            </w:r>
          </w:p>
        </w:tc>
        <w:tc>
          <w:tcPr>
            <w:tcW w:w="9947" w:type="dxa"/>
            <w:noWrap w:val="0"/>
            <w:vAlign w:val="center"/>
          </w:tcPr>
          <w:p w14:paraId="2C571EB9">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677A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AD25675">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15</w:t>
            </w:r>
          </w:p>
        </w:tc>
        <w:tc>
          <w:tcPr>
            <w:tcW w:w="3368" w:type="dxa"/>
            <w:noWrap w:val="0"/>
            <w:vAlign w:val="center"/>
          </w:tcPr>
          <w:p w14:paraId="03AF6C72">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真石漆外墙</w:t>
            </w:r>
          </w:p>
        </w:tc>
        <w:tc>
          <w:tcPr>
            <w:tcW w:w="9947" w:type="dxa"/>
            <w:noWrap w:val="0"/>
            <w:vAlign w:val="center"/>
          </w:tcPr>
          <w:p w14:paraId="34BEB88B">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05367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29BF38C">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16</w:t>
            </w:r>
          </w:p>
        </w:tc>
        <w:tc>
          <w:tcPr>
            <w:tcW w:w="3368" w:type="dxa"/>
            <w:noWrap w:val="0"/>
            <w:vAlign w:val="center"/>
          </w:tcPr>
          <w:p w14:paraId="735C74AD">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瓷砖外墙</w:t>
            </w:r>
          </w:p>
        </w:tc>
        <w:tc>
          <w:tcPr>
            <w:tcW w:w="9947" w:type="dxa"/>
            <w:noWrap w:val="0"/>
            <w:vAlign w:val="center"/>
          </w:tcPr>
          <w:p w14:paraId="7F0BC02C">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09EF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C5D3A40">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17</w:t>
            </w:r>
          </w:p>
        </w:tc>
        <w:tc>
          <w:tcPr>
            <w:tcW w:w="3368" w:type="dxa"/>
            <w:noWrap w:val="0"/>
            <w:vAlign w:val="center"/>
          </w:tcPr>
          <w:p w14:paraId="6494C755">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保温一体板外墙</w:t>
            </w:r>
          </w:p>
        </w:tc>
        <w:tc>
          <w:tcPr>
            <w:tcW w:w="9947" w:type="dxa"/>
            <w:noWrap w:val="0"/>
            <w:vAlign w:val="center"/>
          </w:tcPr>
          <w:p w14:paraId="064F98E0">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09B20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4D4D56F">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18</w:t>
            </w:r>
          </w:p>
        </w:tc>
        <w:tc>
          <w:tcPr>
            <w:tcW w:w="3368" w:type="dxa"/>
            <w:noWrap w:val="0"/>
            <w:vAlign w:val="center"/>
          </w:tcPr>
          <w:p w14:paraId="608F9869">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铝板外墙</w:t>
            </w:r>
          </w:p>
        </w:tc>
        <w:tc>
          <w:tcPr>
            <w:tcW w:w="9947" w:type="dxa"/>
            <w:noWrap w:val="0"/>
            <w:vAlign w:val="center"/>
          </w:tcPr>
          <w:p w14:paraId="6BEA2487">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4E55B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BCE19E3">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19</w:t>
            </w:r>
          </w:p>
        </w:tc>
        <w:tc>
          <w:tcPr>
            <w:tcW w:w="3368" w:type="dxa"/>
            <w:noWrap w:val="0"/>
            <w:vAlign w:val="center"/>
          </w:tcPr>
          <w:p w14:paraId="29ECE82A">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干挂石材外墙</w:t>
            </w:r>
          </w:p>
        </w:tc>
        <w:tc>
          <w:tcPr>
            <w:tcW w:w="9947" w:type="dxa"/>
            <w:noWrap w:val="0"/>
            <w:vAlign w:val="center"/>
          </w:tcPr>
          <w:p w14:paraId="013DE011">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r w14:paraId="718C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C9392C0">
            <w:pPr>
              <w:jc w:val="center"/>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20</w:t>
            </w:r>
          </w:p>
        </w:tc>
        <w:tc>
          <w:tcPr>
            <w:tcW w:w="3368" w:type="dxa"/>
            <w:noWrap w:val="0"/>
            <w:vAlign w:val="center"/>
          </w:tcPr>
          <w:p w14:paraId="1D4AEF5C">
            <w:pPr>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sz w:val="24"/>
                <w:szCs w:val="24"/>
                <w:highlight w:val="none"/>
                <w:vertAlign w:val="baseline"/>
                <w:lang w:val="en-US" w:eastAsia="zh-CN"/>
              </w:rPr>
              <w:t>玻璃幕墙外墙</w:t>
            </w:r>
          </w:p>
        </w:tc>
        <w:tc>
          <w:tcPr>
            <w:tcW w:w="9947" w:type="dxa"/>
            <w:noWrap w:val="0"/>
            <w:vAlign w:val="center"/>
          </w:tcPr>
          <w:p w14:paraId="07C58E3A">
            <w:pPr>
              <w:ind w:firstLine="240" w:firstLineChars="100"/>
              <w:jc w:val="both"/>
              <w:rPr>
                <w:rFonts w:hint="eastAsia" w:ascii="楷体" w:hAnsi="楷体" w:eastAsia="楷体" w:cs="楷体"/>
                <w:sz w:val="24"/>
                <w:szCs w:val="24"/>
                <w:highlight w:val="none"/>
                <w:vertAlign w:val="baseline"/>
                <w:lang w:val="en-US" w:eastAsia="zh-CN"/>
              </w:rPr>
            </w:pPr>
            <w:r>
              <w:rPr>
                <w:rFonts w:hint="eastAsia" w:ascii="楷体" w:hAnsi="楷体" w:eastAsia="楷体" w:cs="楷体"/>
                <w:b w:val="0"/>
                <w:bCs w:val="0"/>
                <w:color w:val="auto"/>
                <w:kern w:val="0"/>
                <w:sz w:val="24"/>
                <w:szCs w:val="24"/>
                <w:highlight w:val="none"/>
                <w:lang w:val="en-US" w:eastAsia="zh-CN"/>
              </w:rPr>
              <w:sym w:font="Wingdings 2" w:char="00A3"/>
            </w:r>
            <w:r>
              <w:rPr>
                <w:rFonts w:hint="eastAsia" w:ascii="楷体" w:hAnsi="楷体" w:eastAsia="楷体" w:cs="楷体"/>
                <w:sz w:val="24"/>
                <w:szCs w:val="24"/>
                <w:highlight w:val="none"/>
                <w:vertAlign w:val="baseline"/>
                <w:lang w:val="en-US" w:eastAsia="zh-CN"/>
              </w:rPr>
              <w:t>定期专业清洗。</w:t>
            </w:r>
          </w:p>
        </w:tc>
      </w:tr>
    </w:tbl>
    <w:p w14:paraId="3C7B5F3E">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注：根据物业用材情况选择清洁要求</w:t>
      </w:r>
    </w:p>
    <w:p w14:paraId="320DBE90">
      <w:pPr>
        <w:bidi w:val="0"/>
        <w:rPr>
          <w:rFonts w:hint="eastAsia" w:ascii="楷体" w:hAnsi="楷体" w:eastAsia="楷体" w:cs="楷体"/>
          <w:sz w:val="24"/>
          <w:szCs w:val="24"/>
          <w:highlight w:val="none"/>
          <w:lang w:val="en-US" w:eastAsia="zh-CN"/>
        </w:rPr>
      </w:pPr>
    </w:p>
    <w:p w14:paraId="620C8EE7">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3.5绿化服务</w:t>
      </w:r>
    </w:p>
    <w:tbl>
      <w:tblPr>
        <w:tblStyle w:val="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2"/>
        <w:gridCol w:w="5814"/>
      </w:tblGrid>
      <w:tr w14:paraId="703C7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6EF49488">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369" w:type="dxa"/>
            <w:noWrap w:val="0"/>
            <w:vAlign w:val="center"/>
          </w:tcPr>
          <w:p w14:paraId="31C343D2">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9934" w:type="dxa"/>
            <w:noWrap w:val="0"/>
            <w:vAlign w:val="center"/>
          </w:tcPr>
          <w:p w14:paraId="4C8219D4">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3B34F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3B2DFF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3369" w:type="dxa"/>
            <w:vMerge w:val="restart"/>
            <w:noWrap w:val="0"/>
            <w:vAlign w:val="center"/>
          </w:tcPr>
          <w:p w14:paraId="5DDB4F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kern w:val="2"/>
                <w:sz w:val="24"/>
                <w:szCs w:val="24"/>
                <w:highlight w:val="none"/>
                <w:lang w:val="en-US" w:eastAsia="zh-CN" w:bidi="ar-SA"/>
              </w:rPr>
            </w:pPr>
            <w:r>
              <w:rPr>
                <w:rFonts w:hint="eastAsia" w:ascii="楷体" w:hAnsi="楷体" w:eastAsia="楷体" w:cs="楷体"/>
                <w:sz w:val="24"/>
                <w:szCs w:val="24"/>
                <w:highlight w:val="none"/>
                <w:lang w:val="en-US" w:eastAsia="zh-CN"/>
              </w:rPr>
              <w:t>基本要求</w:t>
            </w:r>
          </w:p>
        </w:tc>
        <w:tc>
          <w:tcPr>
            <w:tcW w:w="9934" w:type="dxa"/>
            <w:noWrap w:val="0"/>
            <w:vAlign w:val="center"/>
          </w:tcPr>
          <w:p w14:paraId="47B1324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（1）制定绿化服务的工作制度及工作计划，并按照执行。</w:t>
            </w:r>
          </w:p>
        </w:tc>
      </w:tr>
      <w:tr w14:paraId="2E5F6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0099F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7D3BF2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682E4AC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（2）做好绿化服务工作记录，填写规范。</w:t>
            </w:r>
          </w:p>
        </w:tc>
      </w:tr>
      <w:tr w14:paraId="65E49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3BB9A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0F4C88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741D251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（3）作业时采取安全防护措施，防止对作业人员或他人造成伤害。</w:t>
            </w:r>
          </w:p>
        </w:tc>
      </w:tr>
      <w:tr w14:paraId="42090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6A924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5B5CE0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kern w:val="2"/>
                <w:sz w:val="24"/>
                <w:szCs w:val="24"/>
                <w:highlight w:val="none"/>
                <w:lang w:val="en-US" w:eastAsia="zh-CN" w:bidi="ar-SA"/>
              </w:rPr>
            </w:pPr>
          </w:p>
        </w:tc>
        <w:tc>
          <w:tcPr>
            <w:tcW w:w="9934" w:type="dxa"/>
            <w:noWrap w:val="0"/>
            <w:vAlign w:val="center"/>
          </w:tcPr>
          <w:p w14:paraId="41FA96E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（4）相关耗材的环保、安全性应当符合规定要求。</w:t>
            </w:r>
          </w:p>
        </w:tc>
      </w:tr>
      <w:tr w14:paraId="4AE47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610E43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3369" w:type="dxa"/>
            <w:vMerge w:val="restart"/>
            <w:noWrap w:val="0"/>
            <w:vAlign w:val="center"/>
          </w:tcPr>
          <w:p w14:paraId="14B4B2D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kern w:val="2"/>
                <w:sz w:val="24"/>
                <w:szCs w:val="24"/>
                <w:highlight w:val="none"/>
                <w:lang w:val="en-US" w:eastAsia="zh-CN" w:bidi="ar-SA"/>
              </w:rPr>
            </w:pPr>
            <w:r>
              <w:rPr>
                <w:rFonts w:hint="eastAsia" w:ascii="楷体" w:hAnsi="楷体" w:eastAsia="楷体" w:cs="楷体"/>
                <w:sz w:val="24"/>
                <w:szCs w:val="24"/>
                <w:highlight w:val="none"/>
                <w:lang w:val="en-US" w:eastAsia="zh-CN"/>
              </w:rPr>
              <w:t>室外绿化养护</w:t>
            </w:r>
          </w:p>
        </w:tc>
        <w:tc>
          <w:tcPr>
            <w:tcW w:w="9934" w:type="dxa"/>
            <w:noWrap w:val="0"/>
            <w:vAlign w:val="center"/>
          </w:tcPr>
          <w:p w14:paraId="2E5B61C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w:t>
            </w:r>
            <w:r>
              <w:rPr>
                <w:rFonts w:hint="eastAsia" w:ascii="楷体" w:hAnsi="楷体" w:eastAsia="楷体" w:cs="楷体"/>
                <w:color w:val="auto"/>
                <w:sz w:val="24"/>
                <w:szCs w:val="24"/>
                <w:highlight w:val="none"/>
                <w:u w:val="none"/>
                <w:lang w:val="en-US" w:eastAsia="zh-CN"/>
              </w:rPr>
              <w:t>根据生长环境、植物特性进行除草、灌溉、施肥、整形修剪、防治病虫害等。</w:t>
            </w:r>
          </w:p>
        </w:tc>
      </w:tr>
      <w:tr w14:paraId="04B6C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B6110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7B85B1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05882E7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（2）枯死花草树木，必须在 15 天之内清除，需要补栽补种的花草树木及时上报给甲方。</w:t>
            </w:r>
            <w:r>
              <w:rPr>
                <w:rFonts w:hint="eastAsia" w:ascii="楷体" w:hAnsi="楷体" w:eastAsia="楷体" w:cs="楷体"/>
                <w:color w:val="auto"/>
                <w:sz w:val="24"/>
                <w:szCs w:val="24"/>
                <w:highlight w:val="none"/>
                <w:u w:val="none"/>
                <w:lang w:val="en-US" w:eastAsia="zh-CN"/>
              </w:rPr>
              <w:t>。</w:t>
            </w:r>
          </w:p>
        </w:tc>
      </w:tr>
      <w:tr w14:paraId="2A93F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D1E1B9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62EB8F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05EA44F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（3）定期修剪树木、花卉等，</w:t>
            </w:r>
            <w:r>
              <w:rPr>
                <w:rFonts w:hint="eastAsia" w:ascii="楷体" w:hAnsi="楷体" w:eastAsia="楷体" w:cs="楷体"/>
                <w:color w:val="auto"/>
                <w:sz w:val="24"/>
                <w:szCs w:val="24"/>
                <w:highlight w:val="none"/>
                <w:u w:val="none"/>
                <w:lang w:val="en-US" w:eastAsia="zh-CN"/>
              </w:rPr>
              <w:t>灌乔木生长正常、造型美观自然、花枝新鲜，无枯叶、无病虫、无死树缺株。</w:t>
            </w:r>
          </w:p>
        </w:tc>
      </w:tr>
      <w:tr w14:paraId="63D35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C0FB4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0E25E7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6ECD1C7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w:t>
            </w:r>
            <w:r>
              <w:rPr>
                <w:rFonts w:hint="eastAsia" w:ascii="楷体" w:hAnsi="楷体" w:eastAsia="楷体" w:cs="楷体"/>
                <w:color w:val="auto"/>
                <w:sz w:val="24"/>
                <w:szCs w:val="24"/>
                <w:highlight w:val="none"/>
                <w:u w:val="none"/>
                <w:lang w:val="en-US" w:eastAsia="zh-CN"/>
              </w:rPr>
              <w:t>绿篱生长造型正常，颜色正常，修剪及时，基本无死株和干死株，有虫株率在10%以下。</w:t>
            </w:r>
          </w:p>
        </w:tc>
      </w:tr>
      <w:tr w14:paraId="0232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9CC5C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1E4FA5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551240D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w:t>
            </w:r>
            <w:r>
              <w:rPr>
                <w:rFonts w:hint="eastAsia" w:ascii="楷体" w:hAnsi="楷体" w:eastAsia="楷体" w:cs="楷体"/>
                <w:color w:val="auto"/>
                <w:sz w:val="24"/>
                <w:szCs w:val="24"/>
                <w:highlight w:val="none"/>
                <w:u w:val="none"/>
                <w:lang w:val="en-US" w:eastAsia="zh-CN"/>
              </w:rPr>
              <w:t>清除花坛和花景的花蒂、黄叶、杂草、垃圾，做好病虫害防治。</w:t>
            </w:r>
          </w:p>
        </w:tc>
      </w:tr>
      <w:tr w14:paraId="053C8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54D05E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4916D06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3B38F45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w:t>
            </w:r>
            <w:r>
              <w:rPr>
                <w:rFonts w:hint="eastAsia" w:ascii="楷体" w:hAnsi="楷体" w:eastAsia="楷体" w:cs="楷体"/>
                <w:color w:val="auto"/>
                <w:sz w:val="24"/>
                <w:szCs w:val="24"/>
                <w:highlight w:val="none"/>
                <w:u w:val="none"/>
                <w:lang w:val="en-US" w:eastAsia="zh-CN"/>
              </w:rPr>
              <w:t>水池水面定期清理，无枯枝落叶、水质清洁。</w:t>
            </w:r>
          </w:p>
        </w:tc>
      </w:tr>
      <w:tr w14:paraId="6C82B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49086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2DA247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113B863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（7）根据病虫害发生规律实施综合治理，通常在病虫率高时，以药剂杀死病虫，以确保植物良好生长。产生垃圾的主要区域和路段做到日产日清。</w:t>
            </w:r>
          </w:p>
        </w:tc>
      </w:tr>
      <w:tr w14:paraId="1A6E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4FF5C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34BA9F7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9934" w:type="dxa"/>
            <w:noWrap w:val="0"/>
            <w:vAlign w:val="center"/>
          </w:tcPr>
          <w:p w14:paraId="444D938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（8）雨雪、冰冻等恶劣天气来临前，专人巡查，对绿植做好预防措施，排除安全隐患。</w:t>
            </w:r>
          </w:p>
        </w:tc>
      </w:tr>
      <w:tr w14:paraId="17BFA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039E9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3369" w:type="dxa"/>
            <w:vMerge w:val="continue"/>
            <w:noWrap w:val="0"/>
            <w:vAlign w:val="center"/>
          </w:tcPr>
          <w:p w14:paraId="1FC98D8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kern w:val="2"/>
                <w:sz w:val="24"/>
                <w:szCs w:val="24"/>
                <w:highlight w:val="none"/>
                <w:lang w:val="en-US" w:eastAsia="zh-CN" w:bidi="ar-SA"/>
              </w:rPr>
            </w:pPr>
          </w:p>
        </w:tc>
        <w:tc>
          <w:tcPr>
            <w:tcW w:w="9934" w:type="dxa"/>
            <w:noWrap w:val="0"/>
            <w:vAlign w:val="center"/>
          </w:tcPr>
          <w:p w14:paraId="5A83F49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（9）恶劣天气后，及时清除倒树断枝，疏通道路，尽快恢复原状。</w:t>
            </w:r>
          </w:p>
        </w:tc>
      </w:tr>
    </w:tbl>
    <w:p w14:paraId="3A08FC57">
      <w:pPr>
        <w:pStyle w:val="3"/>
        <w:rPr>
          <w:rFonts w:hint="eastAsia" w:ascii="楷体" w:hAnsi="楷体" w:eastAsia="楷体" w:cs="楷体"/>
          <w:sz w:val="24"/>
          <w:szCs w:val="24"/>
          <w:highlight w:val="none"/>
        </w:rPr>
      </w:pPr>
    </w:p>
    <w:p w14:paraId="3CB17EB5">
      <w:pPr>
        <w:pStyle w:val="3"/>
        <w:rPr>
          <w:rFonts w:hint="eastAsia" w:ascii="楷体" w:hAnsi="楷体" w:eastAsia="楷体" w:cs="楷体"/>
          <w:b/>
          <w:bCs w:val="0"/>
          <w:i w:val="0"/>
          <w:iCs w:val="0"/>
          <w:sz w:val="24"/>
          <w:szCs w:val="24"/>
          <w:highlight w:val="none"/>
          <w:u w:val="none"/>
          <w:lang w:val="en-US" w:eastAsia="zh-CN"/>
        </w:rPr>
      </w:pPr>
      <w:r>
        <w:rPr>
          <w:rFonts w:hint="eastAsia" w:ascii="楷体" w:hAnsi="楷体" w:eastAsia="楷体" w:cs="楷体"/>
          <w:b/>
          <w:bCs w:val="0"/>
          <w:i w:val="0"/>
          <w:iCs w:val="0"/>
          <w:sz w:val="24"/>
          <w:szCs w:val="24"/>
          <w:highlight w:val="none"/>
          <w:u w:val="none"/>
          <w:lang w:val="en-US" w:eastAsia="zh-CN"/>
        </w:rPr>
        <w:t>3.6</w:t>
      </w:r>
      <w:r>
        <w:rPr>
          <w:rFonts w:hint="eastAsia" w:ascii="楷体" w:hAnsi="楷体" w:eastAsia="楷体" w:cs="楷体"/>
          <w:color w:val="auto"/>
          <w:kern w:val="2"/>
          <w:sz w:val="24"/>
          <w:szCs w:val="24"/>
          <w:highlight w:val="none"/>
          <w:u w:val="none"/>
          <w:lang w:val="en-US" w:eastAsia="zh-CN" w:bidi="ar-SA"/>
        </w:rPr>
        <w:t>保安服务</w:t>
      </w:r>
    </w:p>
    <w:tbl>
      <w:tblPr>
        <w:tblStyle w:val="6"/>
        <w:tblW w:w="49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0"/>
        <w:gridCol w:w="5786"/>
      </w:tblGrid>
      <w:tr w14:paraId="687F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noWrap w:val="0"/>
            <w:vAlign w:val="center"/>
          </w:tcPr>
          <w:p w14:paraId="3B0BCA93">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1970" w:type="dxa"/>
            <w:noWrap w:val="0"/>
            <w:vAlign w:val="center"/>
          </w:tcPr>
          <w:p w14:paraId="51FE86FC">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5786" w:type="dxa"/>
            <w:noWrap w:val="0"/>
            <w:vAlign w:val="center"/>
          </w:tcPr>
          <w:p w14:paraId="06B47467">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22BA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2186CA9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1</w:t>
            </w:r>
          </w:p>
        </w:tc>
        <w:tc>
          <w:tcPr>
            <w:tcW w:w="1970" w:type="dxa"/>
            <w:vMerge w:val="restart"/>
            <w:noWrap w:val="0"/>
            <w:vAlign w:val="center"/>
          </w:tcPr>
          <w:p w14:paraId="2B7DFB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基本要求</w:t>
            </w:r>
          </w:p>
        </w:tc>
        <w:tc>
          <w:tcPr>
            <w:tcW w:w="5786" w:type="dxa"/>
            <w:noWrap w:val="0"/>
            <w:vAlign w:val="center"/>
          </w:tcPr>
          <w:p w14:paraId="61B01C7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（1）建立保安服务相关制度，并按照执行。</w:t>
            </w:r>
          </w:p>
        </w:tc>
      </w:tr>
      <w:tr w14:paraId="2852C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0EAE47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5CAA6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0F55EF1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（2）对巡查、值守及异常情况等做好相关记录，填写规范，保存完好。</w:t>
            </w:r>
          </w:p>
        </w:tc>
      </w:tr>
      <w:tr w14:paraId="41B29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0F485B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444EB6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959908F">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（3）配备保安服务必要的器材。</w:t>
            </w:r>
          </w:p>
        </w:tc>
      </w:tr>
      <w:tr w14:paraId="6A75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30E8E6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2</w:t>
            </w:r>
          </w:p>
        </w:tc>
        <w:tc>
          <w:tcPr>
            <w:tcW w:w="1970" w:type="dxa"/>
            <w:vMerge w:val="restart"/>
            <w:noWrap w:val="0"/>
            <w:vAlign w:val="center"/>
          </w:tcPr>
          <w:p w14:paraId="49949B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出入管理</w:t>
            </w:r>
          </w:p>
        </w:tc>
        <w:tc>
          <w:tcPr>
            <w:tcW w:w="5786" w:type="dxa"/>
            <w:noWrap w:val="0"/>
            <w:vAlign w:val="center"/>
          </w:tcPr>
          <w:p w14:paraId="03529F0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（1）主出入口应当实行 24小时值班制。</w:t>
            </w:r>
          </w:p>
        </w:tc>
      </w:tr>
      <w:tr w14:paraId="39399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1DF57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46368E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68E74DC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（2）设置门岗。</w:t>
            </w:r>
          </w:p>
        </w:tc>
      </w:tr>
      <w:tr w14:paraId="4499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68D4FA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579BD5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70124EB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（3）在出入口对外来人员及其携带大件物品、外来车辆进行询问和记录，并与相关部门取得联系，同意后方可进入。</w:t>
            </w:r>
          </w:p>
        </w:tc>
      </w:tr>
      <w:tr w14:paraId="702C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7D53DA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7FDDD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45341A3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（4）大件物品搬出有相关部门开具的证明和清单，经核实后放行。</w:t>
            </w:r>
          </w:p>
        </w:tc>
      </w:tr>
      <w:tr w14:paraId="1B797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734" w:type="dxa"/>
            <w:vMerge w:val="continue"/>
            <w:noWrap w:val="0"/>
            <w:vAlign w:val="center"/>
          </w:tcPr>
          <w:p w14:paraId="4A8B33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E4A46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09C81BB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（5）排查可疑人员，对于不出示证件、不按规定登记、不听劝阻而强行闯入者，及时劝离，必要时通知公安机关进行处理。</w:t>
            </w:r>
          </w:p>
        </w:tc>
      </w:tr>
      <w:tr w14:paraId="4C23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207F0E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8EF00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63056CB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（6）配合相关部门积极疏导上访人员，有效疏导如出入口人群集聚、车辆拥堵、货物堵塞道路等情况。</w:t>
            </w:r>
          </w:p>
        </w:tc>
      </w:tr>
      <w:tr w14:paraId="08D7A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6ED4D2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CFB32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2EEA5BB2">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477F6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49C67D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w:t>
            </w:r>
          </w:p>
        </w:tc>
        <w:tc>
          <w:tcPr>
            <w:tcW w:w="1970" w:type="dxa"/>
            <w:vMerge w:val="restart"/>
            <w:noWrap w:val="0"/>
            <w:vAlign w:val="center"/>
          </w:tcPr>
          <w:p w14:paraId="3986D6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值班</w:t>
            </w:r>
            <w:r>
              <w:rPr>
                <w:rFonts w:hint="eastAsia" w:ascii="楷体" w:hAnsi="楷体" w:eastAsia="楷体" w:cs="楷体"/>
                <w:sz w:val="24"/>
                <w:szCs w:val="24"/>
                <w:highlight w:val="none"/>
              </w:rPr>
              <w:t>巡查</w:t>
            </w:r>
          </w:p>
        </w:tc>
        <w:tc>
          <w:tcPr>
            <w:tcW w:w="5786" w:type="dxa"/>
            <w:noWrap w:val="0"/>
            <w:vAlign w:val="center"/>
          </w:tcPr>
          <w:p w14:paraId="1E4A6AD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（1）建立24小时值班巡查制度。</w:t>
            </w:r>
          </w:p>
        </w:tc>
      </w:tr>
      <w:tr w14:paraId="465E5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3E6F2C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8CDB4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5786" w:type="dxa"/>
            <w:noWrap w:val="0"/>
            <w:vAlign w:val="center"/>
          </w:tcPr>
          <w:p w14:paraId="325F58B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（2）制定巡查路线，按照指定时间和路线执行，加强重点区域、重点部位及装修区域的巡查。</w:t>
            </w:r>
          </w:p>
        </w:tc>
      </w:tr>
      <w:tr w14:paraId="219C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56D12B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DE11D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val="en-US" w:eastAsia="zh-CN"/>
              </w:rPr>
            </w:pPr>
          </w:p>
        </w:tc>
        <w:tc>
          <w:tcPr>
            <w:tcW w:w="5786" w:type="dxa"/>
            <w:noWrap w:val="0"/>
            <w:vAlign w:val="center"/>
          </w:tcPr>
          <w:p w14:paraId="4524CE0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（3）巡查期间保持通信设施设备畅通，遇到异常情况立即上报并在现场采取相应措施。</w:t>
            </w:r>
          </w:p>
        </w:tc>
      </w:tr>
      <w:tr w14:paraId="30890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3FE958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8B0BD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1EBB0021">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（4）收到监控室指令后，巡查人员及时到达指定地点并迅速采取相应措施。</w:t>
            </w:r>
          </w:p>
        </w:tc>
      </w:tr>
      <w:tr w14:paraId="119D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261C06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4</w:t>
            </w:r>
          </w:p>
        </w:tc>
        <w:tc>
          <w:tcPr>
            <w:tcW w:w="1970" w:type="dxa"/>
            <w:vMerge w:val="restart"/>
            <w:noWrap w:val="0"/>
            <w:vAlign w:val="center"/>
          </w:tcPr>
          <w:p w14:paraId="5A0D6A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监控</w:t>
            </w:r>
            <w:r>
              <w:rPr>
                <w:rFonts w:hint="eastAsia" w:ascii="楷体" w:hAnsi="楷体" w:eastAsia="楷体" w:cs="楷体"/>
                <w:sz w:val="24"/>
                <w:szCs w:val="24"/>
                <w:highlight w:val="none"/>
                <w:lang w:val="en-US" w:eastAsia="zh-CN"/>
              </w:rPr>
              <w:t>值守</w:t>
            </w:r>
          </w:p>
        </w:tc>
        <w:tc>
          <w:tcPr>
            <w:tcW w:w="5786" w:type="dxa"/>
            <w:noWrap w:val="0"/>
            <w:vAlign w:val="center"/>
          </w:tcPr>
          <w:p w14:paraId="4E17D336">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（1）监控室环境符合系统设备运行要求，定期进行检查和检测，确保系统功能正常。</w:t>
            </w:r>
          </w:p>
        </w:tc>
      </w:tr>
      <w:tr w14:paraId="390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6DC38CB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71100C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3F90A65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（2）监控设备24小时正常运行，监控室实行专人24小时值班制度。</w:t>
            </w:r>
          </w:p>
        </w:tc>
      </w:tr>
      <w:tr w14:paraId="4A018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1E142F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40B364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3B02C56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（3）监控记录画面清晰，视频监控无死角、无盲区。</w:t>
            </w:r>
          </w:p>
        </w:tc>
      </w:tr>
      <w:tr w14:paraId="24B5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5BD414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FAA09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6095CF9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（4）值班期间遵守操作规程和保密制度，做好监控记录的保存工作。</w:t>
            </w:r>
          </w:p>
        </w:tc>
      </w:tr>
      <w:tr w14:paraId="011F8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2EB486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46C499C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B1FC44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（5）监控记录保持完整，保存时间不应少于90天。</w:t>
            </w:r>
          </w:p>
        </w:tc>
      </w:tr>
      <w:tr w14:paraId="41DE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734" w:type="dxa"/>
            <w:vMerge w:val="continue"/>
            <w:noWrap w:val="0"/>
            <w:vAlign w:val="center"/>
          </w:tcPr>
          <w:p w14:paraId="6663CE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0B3171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3CAD38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（6）无关人员进入监控室或查阅监控记录，经授权人批准并做好相关记录。</w:t>
            </w:r>
          </w:p>
        </w:tc>
      </w:tr>
      <w:tr w14:paraId="56CA2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3CC3B4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0D43A1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15AD35D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（7）监控室收到火情等报警信号、其他异常情况信号后，及时报警并安排其他安保人员前往现场进行处理。</w:t>
            </w:r>
          </w:p>
        </w:tc>
      </w:tr>
      <w:tr w14:paraId="20A9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3387ED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5</w:t>
            </w:r>
          </w:p>
        </w:tc>
        <w:tc>
          <w:tcPr>
            <w:tcW w:w="1970" w:type="dxa"/>
            <w:vMerge w:val="restart"/>
            <w:noWrap w:val="0"/>
            <w:vAlign w:val="center"/>
          </w:tcPr>
          <w:p w14:paraId="35DE01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车辆停放</w:t>
            </w:r>
          </w:p>
        </w:tc>
        <w:tc>
          <w:tcPr>
            <w:tcW w:w="5786" w:type="dxa"/>
            <w:noWrap w:val="0"/>
            <w:vAlign w:val="center"/>
          </w:tcPr>
          <w:p w14:paraId="0B778F79">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（1）车辆行驶路线设置合理、规范，导向标志完整、清晰。</w:t>
            </w:r>
          </w:p>
        </w:tc>
      </w:tr>
      <w:tr w14:paraId="7A3D5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132078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40F60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7E422BE">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（2）合理规划车辆停放区域，张贴车辆引导标识，对车辆及停放区域实行规范管理。</w:t>
            </w:r>
          </w:p>
        </w:tc>
      </w:tr>
      <w:tr w14:paraId="27EA6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59D784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68BB36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16759F85">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（3）严禁在办公楼的公用走道、楼梯间、安全出口处等公共区域停放车辆或充电。</w:t>
            </w:r>
          </w:p>
        </w:tc>
      </w:tr>
      <w:tr w14:paraId="73347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22B925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5B921F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6DFBE83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（4）非机动车定点有序停放。</w:t>
            </w:r>
          </w:p>
        </w:tc>
      </w:tr>
      <w:tr w14:paraId="5EF1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402F3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D9224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2C041D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（5）发现车辆异常情况及时通知车主，并做好登记；发生交通事故、自然灾害等意外事故时及时赶赴现场疏导和协助处理，响应时间不超过3分钟。</w:t>
            </w:r>
          </w:p>
        </w:tc>
      </w:tr>
      <w:tr w14:paraId="20953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6E5FD6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6</w:t>
            </w:r>
          </w:p>
        </w:tc>
        <w:tc>
          <w:tcPr>
            <w:tcW w:w="1970" w:type="dxa"/>
            <w:vMerge w:val="restart"/>
            <w:noWrap w:val="0"/>
            <w:vAlign w:val="center"/>
          </w:tcPr>
          <w:p w14:paraId="0C9258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lang w:eastAsia="zh-CN"/>
              </w:rPr>
            </w:pPr>
            <w:r>
              <w:rPr>
                <w:rFonts w:hint="eastAsia" w:ascii="楷体" w:hAnsi="楷体" w:eastAsia="楷体" w:cs="楷体"/>
                <w:sz w:val="24"/>
                <w:szCs w:val="24"/>
                <w:highlight w:val="none"/>
              </w:rPr>
              <w:t>消防安全管理</w:t>
            </w:r>
          </w:p>
        </w:tc>
        <w:tc>
          <w:tcPr>
            <w:tcW w:w="5786" w:type="dxa"/>
            <w:noWrap w:val="0"/>
            <w:vAlign w:val="center"/>
          </w:tcPr>
          <w:p w14:paraId="18CC431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（1）建立消防安全责任制，确定各级消防安全责任人及其职责。</w:t>
            </w:r>
          </w:p>
        </w:tc>
      </w:tr>
      <w:tr w14:paraId="7D85E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188912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245982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33213EBA">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（2）公共场所、楼栋内灭火器材的管理看护，楼栋内的安全巡查，协助消防火灾的扑灭、疏散及演练等。</w:t>
            </w:r>
          </w:p>
        </w:tc>
      </w:tr>
      <w:tr w14:paraId="20258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732C58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53CA17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17C462E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（3）消火栓、应急照明、应急物资、消防及人员逃生通道、消防车通道可随时正常使用。</w:t>
            </w:r>
          </w:p>
        </w:tc>
      </w:tr>
      <w:tr w14:paraId="37C4A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34D0F1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23D4A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09345990">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（4）易燃易爆品设专区专人管理，做好相关记录。</w:t>
            </w:r>
          </w:p>
        </w:tc>
      </w:tr>
      <w:tr w14:paraId="50FB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694ECC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5C2D69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6A426D9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（5）定期组织消防安全宣传，每半年至少开展1次消防演练。</w:t>
            </w:r>
          </w:p>
        </w:tc>
      </w:tr>
      <w:tr w14:paraId="09C3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286521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7</w:t>
            </w:r>
          </w:p>
        </w:tc>
        <w:tc>
          <w:tcPr>
            <w:tcW w:w="1970" w:type="dxa"/>
            <w:vMerge w:val="restart"/>
            <w:noWrap w:val="0"/>
            <w:vAlign w:val="center"/>
          </w:tcPr>
          <w:p w14:paraId="44EA8B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突发事件处理</w:t>
            </w:r>
          </w:p>
        </w:tc>
        <w:tc>
          <w:tcPr>
            <w:tcW w:w="5786" w:type="dxa"/>
            <w:noWrap w:val="0"/>
            <w:vAlign w:val="center"/>
          </w:tcPr>
          <w:p w14:paraId="0238F40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（1）制定突发事件安全责任书，明确突发事件责任人及应承担的安全责任。</w:t>
            </w:r>
          </w:p>
        </w:tc>
      </w:tr>
      <w:tr w14:paraId="66C03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193EFE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10C4EF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5477324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（2）建立应急突发事件处置队伍，明确各自的职责。</w:t>
            </w:r>
          </w:p>
        </w:tc>
      </w:tr>
      <w:tr w14:paraId="5DBC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FAEDA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22BE0F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4297B9CD">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（3）识别、分析各种潜在风险，针对不同风险类型制定相应解决方案，并配备应急物资。</w:t>
            </w:r>
          </w:p>
        </w:tc>
      </w:tr>
      <w:tr w14:paraId="6C76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6DD46E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85607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387491E3">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（4）每半年至少开展1次突发事件应急演练，并有相应记录。</w:t>
            </w:r>
          </w:p>
        </w:tc>
      </w:tr>
      <w:tr w14:paraId="5F2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0DF9B5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4FFC81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7C9A8A58">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（5）发生意外事件时，及时采取应急措施，维护办公区域物业服务正常进行，保护人身财产安全。</w:t>
            </w:r>
          </w:p>
        </w:tc>
      </w:tr>
      <w:tr w14:paraId="5BEAC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740C2E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57F17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362710B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5091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55D1C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395130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12977A2C">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（7）事故处理后，及时形成事故应急总结报告，完善应急救援工作方案。</w:t>
            </w:r>
          </w:p>
        </w:tc>
      </w:tr>
      <w:tr w14:paraId="04EFC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restart"/>
            <w:noWrap w:val="0"/>
            <w:vAlign w:val="center"/>
          </w:tcPr>
          <w:p w14:paraId="29A94C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8</w:t>
            </w:r>
          </w:p>
        </w:tc>
        <w:tc>
          <w:tcPr>
            <w:tcW w:w="1970" w:type="dxa"/>
            <w:vMerge w:val="restart"/>
            <w:noWrap w:val="0"/>
            <w:vAlign w:val="center"/>
          </w:tcPr>
          <w:p w14:paraId="7BF545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r>
              <w:rPr>
                <w:rFonts w:hint="eastAsia" w:ascii="楷体" w:hAnsi="楷体" w:eastAsia="楷体" w:cs="楷体"/>
                <w:sz w:val="24"/>
                <w:szCs w:val="24"/>
                <w:highlight w:val="none"/>
              </w:rPr>
              <w:t>大型活动秩序</w:t>
            </w:r>
          </w:p>
        </w:tc>
        <w:tc>
          <w:tcPr>
            <w:tcW w:w="5786" w:type="dxa"/>
            <w:noWrap w:val="0"/>
            <w:vAlign w:val="center"/>
          </w:tcPr>
          <w:p w14:paraId="52BAEAD7">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（1）制定相应的活动秩序维护方案，合理安排人员，并对场所的安全隐患进行排查。</w:t>
            </w:r>
          </w:p>
        </w:tc>
      </w:tr>
      <w:tr w14:paraId="3178A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4175E58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25CF53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28D616BB">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（2）应当保障通道、出入口、停车场等区域畅通。</w:t>
            </w:r>
          </w:p>
        </w:tc>
      </w:tr>
      <w:tr w14:paraId="6C57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Merge w:val="continue"/>
            <w:noWrap w:val="0"/>
            <w:vAlign w:val="center"/>
          </w:tcPr>
          <w:p w14:paraId="5380DC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ascii="楷体" w:hAnsi="楷体" w:eastAsia="楷体" w:cs="楷体"/>
                <w:sz w:val="24"/>
                <w:szCs w:val="24"/>
                <w:highlight w:val="none"/>
                <w:lang w:val="en-US" w:eastAsia="zh-CN"/>
              </w:rPr>
            </w:pPr>
          </w:p>
        </w:tc>
        <w:tc>
          <w:tcPr>
            <w:tcW w:w="1970" w:type="dxa"/>
            <w:vMerge w:val="continue"/>
            <w:noWrap w:val="0"/>
            <w:vAlign w:val="center"/>
          </w:tcPr>
          <w:p w14:paraId="7227F6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ascii="楷体" w:hAnsi="楷体" w:eastAsia="楷体" w:cs="楷体"/>
                <w:sz w:val="24"/>
                <w:szCs w:val="24"/>
                <w:highlight w:val="none"/>
              </w:rPr>
            </w:pPr>
          </w:p>
        </w:tc>
        <w:tc>
          <w:tcPr>
            <w:tcW w:w="5786" w:type="dxa"/>
            <w:noWrap w:val="0"/>
            <w:vAlign w:val="center"/>
          </w:tcPr>
          <w:p w14:paraId="034C63D4">
            <w:pPr>
              <w:keepNext w:val="0"/>
              <w:keepLines w:val="0"/>
              <w:pageBreakBefore w:val="0"/>
              <w:widowControl/>
              <w:kinsoku/>
              <w:wordWrap/>
              <w:overflowPunct/>
              <w:topLinePunct w:val="0"/>
              <w:autoSpaceDE/>
              <w:autoSpaceDN/>
              <w:bidi w:val="0"/>
              <w:adjustRightInd/>
              <w:snapToGrid w:val="0"/>
              <w:spacing w:line="300" w:lineRule="auto"/>
              <w:ind w:left="0" w:firstLine="240" w:firstLineChars="100"/>
              <w:jc w:val="left"/>
              <w:textAlignment w:val="auto"/>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b w:val="0"/>
                <w:bCs w:val="0"/>
                <w:color w:val="auto"/>
                <w:kern w:val="0"/>
                <w:sz w:val="24"/>
                <w:szCs w:val="24"/>
                <w:highlight w:val="none"/>
                <w:lang w:val="en-US" w:eastAsia="zh-CN"/>
              </w:rPr>
              <w:t xml:space="preserve"> （3）活动举办过程中，做好现场秩序的维护和突发事故的处置工作，确保活动正常进行。</w:t>
            </w:r>
          </w:p>
        </w:tc>
      </w:tr>
    </w:tbl>
    <w:p w14:paraId="67A1E930">
      <w:pPr>
        <w:pStyle w:val="3"/>
        <w:bidi w:val="0"/>
        <w:rPr>
          <w:rFonts w:hint="eastAsia" w:ascii="楷体" w:hAnsi="楷体" w:eastAsia="楷体" w:cs="楷体"/>
          <w:sz w:val="24"/>
          <w:szCs w:val="24"/>
          <w:highlight w:val="none"/>
          <w:lang w:val="en-US" w:eastAsia="zh-CN"/>
        </w:rPr>
      </w:pPr>
    </w:p>
    <w:p w14:paraId="6713C6A8">
      <w:pPr>
        <w:pStyle w:val="3"/>
        <w:bidi w:val="0"/>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3.7会议服务</w:t>
      </w:r>
    </w:p>
    <w:tbl>
      <w:tblPr>
        <w:tblStyle w:val="6"/>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6"/>
      </w:tblGrid>
      <w:tr w14:paraId="4647E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07A6E27">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序号</w:t>
            </w:r>
          </w:p>
        </w:tc>
        <w:tc>
          <w:tcPr>
            <w:tcW w:w="3348" w:type="dxa"/>
            <w:noWrap w:val="0"/>
            <w:vAlign w:val="center"/>
          </w:tcPr>
          <w:p w14:paraId="576481D3">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服务内容</w:t>
            </w:r>
          </w:p>
        </w:tc>
        <w:tc>
          <w:tcPr>
            <w:tcW w:w="9867" w:type="dxa"/>
            <w:noWrap w:val="0"/>
            <w:vAlign w:val="center"/>
          </w:tcPr>
          <w:p w14:paraId="40E042C1">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服务标准</w:t>
            </w:r>
          </w:p>
        </w:tc>
      </w:tr>
      <w:tr w14:paraId="66542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0F6C55C">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1</w:t>
            </w:r>
          </w:p>
        </w:tc>
        <w:tc>
          <w:tcPr>
            <w:tcW w:w="3348" w:type="dxa"/>
            <w:noWrap w:val="0"/>
            <w:vAlign w:val="center"/>
          </w:tcPr>
          <w:p w14:paraId="596B6C07">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sz w:val="24"/>
                <w:szCs w:val="24"/>
                <w:highlight w:val="none"/>
                <w:u w:val="none"/>
                <w:lang w:val="en-US" w:eastAsia="zh-CN"/>
              </w:rPr>
              <w:t>会议受理</w:t>
            </w:r>
          </w:p>
        </w:tc>
        <w:tc>
          <w:tcPr>
            <w:tcW w:w="9867" w:type="dxa"/>
            <w:noWrap w:val="0"/>
            <w:vAlign w:val="center"/>
          </w:tcPr>
          <w:p w14:paraId="5C2C0DAC">
            <w:pPr>
              <w:pageBreakBefore w:val="0"/>
              <w:widowControl/>
              <w:numPr>
                <w:ilvl w:val="0"/>
                <w:numId w:val="0"/>
              </w:numPr>
              <w:kinsoku/>
              <w:wordWrap/>
              <w:overflowPunct/>
              <w:topLinePunct w:val="0"/>
              <w:bidi w:val="0"/>
              <w:snapToGrid w:val="0"/>
              <w:spacing w:line="300" w:lineRule="auto"/>
              <w:ind w:left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color w:val="auto"/>
                <w:sz w:val="24"/>
                <w:szCs w:val="24"/>
                <w:highlight w:val="none"/>
                <w:u w:val="none"/>
                <w:lang w:val="en-US" w:eastAsia="zh-CN"/>
              </w:rPr>
              <w:t>接受会议预订，记录会议需求。</w:t>
            </w:r>
          </w:p>
        </w:tc>
      </w:tr>
      <w:tr w14:paraId="55087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70A7EC8E">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2</w:t>
            </w:r>
          </w:p>
        </w:tc>
        <w:tc>
          <w:tcPr>
            <w:tcW w:w="3348" w:type="dxa"/>
            <w:noWrap w:val="0"/>
            <w:vAlign w:val="center"/>
          </w:tcPr>
          <w:p w14:paraId="6286F2F9">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sz w:val="24"/>
                <w:szCs w:val="24"/>
                <w:highlight w:val="none"/>
                <w:u w:val="none"/>
                <w:lang w:val="en-US" w:eastAsia="zh-CN"/>
              </w:rPr>
              <w:t>会前准备</w:t>
            </w:r>
          </w:p>
        </w:tc>
        <w:tc>
          <w:tcPr>
            <w:tcW w:w="9867" w:type="dxa"/>
            <w:noWrap w:val="0"/>
            <w:vAlign w:val="center"/>
          </w:tcPr>
          <w:p w14:paraId="04659F23">
            <w:pPr>
              <w:pageBreakBefore w:val="0"/>
              <w:widowControl/>
              <w:numPr>
                <w:ilvl w:val="0"/>
                <w:numId w:val="0"/>
              </w:numPr>
              <w:kinsoku/>
              <w:wordWrap/>
              <w:overflowPunct/>
              <w:topLinePunct w:val="0"/>
              <w:bidi w:val="0"/>
              <w:snapToGrid w:val="0"/>
              <w:spacing w:line="300" w:lineRule="auto"/>
              <w:ind w:left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color w:val="auto"/>
                <w:sz w:val="24"/>
                <w:szCs w:val="24"/>
                <w:highlight w:val="none"/>
                <w:u w:val="none"/>
                <w:lang w:val="en-US" w:eastAsia="zh-CN"/>
              </w:rPr>
              <w:t>根据会议需求、场地大小、用途，明确会议桌椅、物品、设备、文具等摆放规定，音、视频设施保障措施。</w:t>
            </w:r>
          </w:p>
        </w:tc>
      </w:tr>
      <w:tr w14:paraId="20597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C542B30">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3</w:t>
            </w:r>
          </w:p>
        </w:tc>
        <w:tc>
          <w:tcPr>
            <w:tcW w:w="3348" w:type="dxa"/>
            <w:noWrap w:val="0"/>
            <w:vAlign w:val="center"/>
          </w:tcPr>
          <w:p w14:paraId="6CCBD832">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sz w:val="24"/>
                <w:szCs w:val="24"/>
                <w:highlight w:val="none"/>
                <w:u w:val="none"/>
                <w:lang w:val="en-US" w:eastAsia="zh-CN"/>
              </w:rPr>
              <w:t>引导服务</w:t>
            </w:r>
          </w:p>
        </w:tc>
        <w:tc>
          <w:tcPr>
            <w:tcW w:w="9867" w:type="dxa"/>
            <w:noWrap w:val="0"/>
            <w:vAlign w:val="center"/>
          </w:tcPr>
          <w:p w14:paraId="7B6D54A2">
            <w:pPr>
              <w:pageBreakBefore w:val="0"/>
              <w:widowControl/>
              <w:numPr>
                <w:ilvl w:val="0"/>
                <w:numId w:val="0"/>
              </w:numPr>
              <w:kinsoku/>
              <w:wordWrap/>
              <w:overflowPunct/>
              <w:topLinePunct w:val="0"/>
              <w:bidi w:val="0"/>
              <w:snapToGrid w:val="0"/>
              <w:spacing w:line="300" w:lineRule="auto"/>
              <w:ind w:left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color w:val="auto"/>
                <w:sz w:val="24"/>
                <w:szCs w:val="24"/>
                <w:highlight w:val="none"/>
                <w:u w:val="none"/>
                <w:lang w:val="en-US" w:eastAsia="zh-CN"/>
              </w:rPr>
              <w:t>做好引导牌并放置在指定位置，引导人员引导手势规范，语言标准。</w:t>
            </w:r>
          </w:p>
        </w:tc>
      </w:tr>
      <w:tr w14:paraId="6EF2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5FBE2F55">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4</w:t>
            </w:r>
          </w:p>
        </w:tc>
        <w:tc>
          <w:tcPr>
            <w:tcW w:w="3348" w:type="dxa"/>
            <w:noWrap w:val="0"/>
            <w:vAlign w:val="center"/>
          </w:tcPr>
          <w:p w14:paraId="0B256EBA">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sz w:val="24"/>
                <w:szCs w:val="24"/>
                <w:highlight w:val="none"/>
                <w:u w:val="none"/>
                <w:lang w:val="en-US" w:eastAsia="zh-CN"/>
              </w:rPr>
              <w:t>会中服务</w:t>
            </w:r>
          </w:p>
        </w:tc>
        <w:tc>
          <w:tcPr>
            <w:tcW w:w="9867" w:type="dxa"/>
            <w:noWrap w:val="0"/>
            <w:vAlign w:val="center"/>
          </w:tcPr>
          <w:p w14:paraId="36AD6C26">
            <w:pPr>
              <w:pageBreakBefore w:val="0"/>
              <w:widowControl/>
              <w:numPr>
                <w:ilvl w:val="0"/>
                <w:numId w:val="0"/>
              </w:numPr>
              <w:kinsoku/>
              <w:wordWrap/>
              <w:overflowPunct/>
              <w:topLinePunct w:val="0"/>
              <w:bidi w:val="0"/>
              <w:snapToGrid w:val="0"/>
              <w:spacing w:line="300" w:lineRule="auto"/>
              <w:ind w:left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color w:val="auto"/>
                <w:sz w:val="24"/>
                <w:szCs w:val="24"/>
                <w:highlight w:val="none"/>
                <w:u w:val="none"/>
                <w:lang w:val="en-US" w:eastAsia="zh-CN"/>
              </w:rPr>
              <w:t>会议期间按要求加水。</w:t>
            </w:r>
          </w:p>
        </w:tc>
      </w:tr>
      <w:tr w14:paraId="031B1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EC711D6">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5</w:t>
            </w:r>
          </w:p>
        </w:tc>
        <w:tc>
          <w:tcPr>
            <w:tcW w:w="3348" w:type="dxa"/>
            <w:noWrap w:val="0"/>
            <w:vAlign w:val="center"/>
          </w:tcPr>
          <w:p w14:paraId="1B35EF14">
            <w:pPr>
              <w:pageBreakBefore w:val="0"/>
              <w:widowControl/>
              <w:numPr>
                <w:ilvl w:val="0"/>
                <w:numId w:val="0"/>
              </w:numPr>
              <w:kinsoku/>
              <w:wordWrap/>
              <w:overflowPunct/>
              <w:topLinePunct w:val="0"/>
              <w:bidi w:val="0"/>
              <w:snapToGrid w:val="0"/>
              <w:spacing w:line="300" w:lineRule="auto"/>
              <w:ind w:left="0" w:leftChars="0" w:firstLine="0" w:firstLine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color w:val="auto"/>
                <w:sz w:val="24"/>
                <w:szCs w:val="24"/>
                <w:highlight w:val="none"/>
                <w:u w:val="none"/>
                <w:lang w:val="en-US" w:eastAsia="zh-CN"/>
              </w:rPr>
              <w:t>会后整理</w:t>
            </w:r>
          </w:p>
        </w:tc>
        <w:tc>
          <w:tcPr>
            <w:tcW w:w="9867" w:type="dxa"/>
            <w:noWrap w:val="0"/>
            <w:vAlign w:val="center"/>
          </w:tcPr>
          <w:p w14:paraId="1B37B68A">
            <w:pPr>
              <w:pageBreakBefore w:val="0"/>
              <w:widowControl/>
              <w:numPr>
                <w:ilvl w:val="0"/>
                <w:numId w:val="0"/>
              </w:numPr>
              <w:kinsoku/>
              <w:wordWrap/>
              <w:overflowPunct/>
              <w:topLinePunct w:val="0"/>
              <w:bidi w:val="0"/>
              <w:snapToGrid w:val="0"/>
              <w:spacing w:line="300" w:lineRule="auto"/>
              <w:ind w:leftChars="0"/>
              <w:rPr>
                <w:rFonts w:hint="eastAsia" w:ascii="楷体" w:hAnsi="楷体" w:eastAsia="楷体" w:cs="楷体"/>
                <w:color w:val="auto"/>
                <w:kern w:val="2"/>
                <w:sz w:val="24"/>
                <w:szCs w:val="24"/>
                <w:highlight w:val="none"/>
                <w:u w:val="none"/>
                <w:lang w:val="en-US" w:eastAsia="zh-CN" w:bidi="ar-SA"/>
              </w:rPr>
            </w:pPr>
            <w:r>
              <w:rPr>
                <w:rFonts w:hint="eastAsia" w:ascii="楷体" w:hAnsi="楷体" w:eastAsia="楷体" w:cs="楷体"/>
                <w:b w:val="0"/>
                <w:bCs w:val="0"/>
                <w:color w:val="auto"/>
                <w:kern w:val="0"/>
                <w:sz w:val="24"/>
                <w:szCs w:val="24"/>
                <w:highlight w:val="none"/>
                <w:lang w:val="en-US" w:eastAsia="zh-CN"/>
              </w:rPr>
              <w:sym w:font="Wingdings 2" w:char="0052"/>
            </w:r>
            <w:r>
              <w:rPr>
                <w:rFonts w:hint="eastAsia" w:ascii="楷体" w:hAnsi="楷体" w:eastAsia="楷体" w:cs="楷体"/>
                <w:color w:val="auto"/>
                <w:sz w:val="24"/>
                <w:szCs w:val="24"/>
                <w:highlight w:val="none"/>
                <w:u w:val="none"/>
                <w:lang w:val="en-US" w:eastAsia="zh-CN"/>
              </w:rPr>
              <w:t>对会议现场进行检查，做好会场清扫工作。</w:t>
            </w:r>
          </w:p>
        </w:tc>
      </w:tr>
    </w:tbl>
    <w:p w14:paraId="5C00C6F6">
      <w:pPr>
        <w:pStyle w:val="2"/>
        <w:rPr>
          <w:rFonts w:hint="eastAsia" w:ascii="楷体" w:hAnsi="楷体" w:eastAsia="楷体" w:cs="楷体"/>
          <w:color w:val="auto"/>
          <w:sz w:val="24"/>
          <w:szCs w:val="24"/>
          <w:highlight w:val="none"/>
          <w:u w:val="none"/>
          <w:lang w:val="en-US" w:eastAsia="zh-CN"/>
        </w:rPr>
      </w:pPr>
    </w:p>
    <w:p w14:paraId="555CC07C">
      <w:pPr>
        <w:pStyle w:val="2"/>
        <w:rPr>
          <w:rFonts w:hint="eastAsia" w:ascii="楷体" w:hAnsi="楷体" w:eastAsia="楷体" w:cs="楷体"/>
          <w:color w:val="auto"/>
          <w:sz w:val="24"/>
          <w:szCs w:val="24"/>
          <w:highlight w:val="none"/>
          <w:u w:val="none"/>
          <w:lang w:val="en-US" w:eastAsia="zh-CN"/>
        </w:rPr>
      </w:pPr>
      <w:r>
        <w:rPr>
          <w:rFonts w:hint="eastAsia" w:ascii="楷体" w:hAnsi="楷体" w:eastAsia="楷体" w:cs="楷体"/>
          <w:color w:val="auto"/>
          <w:sz w:val="24"/>
          <w:szCs w:val="24"/>
          <w:highlight w:val="none"/>
          <w:u w:val="none"/>
          <w:lang w:val="en-US" w:eastAsia="zh-CN"/>
        </w:rPr>
        <w:t>4.供应商履行合同所需的设备</w:t>
      </w:r>
    </w:p>
    <w:p w14:paraId="61BD38C5">
      <w:pPr>
        <w:keepNext w:val="0"/>
        <w:keepLines w:val="0"/>
        <w:pageBreakBefore w:val="0"/>
        <w:widowControl w:val="0"/>
        <w:kinsoku/>
        <w:wordWrap/>
        <w:overflowPunct/>
        <w:topLinePunct w:val="0"/>
        <w:autoSpaceDE/>
        <w:autoSpaceDN/>
        <w:bidi w:val="0"/>
        <w:adjustRightInd/>
        <w:snapToGrid w:val="0"/>
        <w:ind w:firstLine="480" w:firstLineChars="200"/>
        <w:textAlignment w:val="auto"/>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采购人根据项目实际需求，需要供应商提供作业设备</w:t>
      </w:r>
      <w:r>
        <w:rPr>
          <w:rFonts w:hint="eastAsia" w:ascii="楷体" w:hAnsi="楷体" w:eastAsia="楷体" w:cs="楷体"/>
          <w:b w:val="0"/>
          <w:bCs w:val="0"/>
          <w:color w:val="auto"/>
          <w:sz w:val="24"/>
          <w:szCs w:val="24"/>
          <w:highlight w:val="none"/>
          <w:lang w:val="en-US" w:eastAsia="zh-CN"/>
        </w:rPr>
        <w:t>（自有或租赁）</w:t>
      </w:r>
      <w:r>
        <w:rPr>
          <w:rFonts w:hint="eastAsia" w:ascii="楷体" w:hAnsi="楷体" w:eastAsia="楷体" w:cs="楷体"/>
          <w:sz w:val="24"/>
          <w:szCs w:val="24"/>
          <w:highlight w:val="none"/>
          <w:lang w:val="en-US" w:eastAsia="zh-CN"/>
        </w:rPr>
        <w:t>用于物业管理服务的，在下表中列出：</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722"/>
        <w:gridCol w:w="3412"/>
        <w:gridCol w:w="874"/>
        <w:gridCol w:w="851"/>
      </w:tblGrid>
      <w:tr w14:paraId="3DDDA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3" w:type="dxa"/>
            <w:noWrap w:val="0"/>
            <w:vAlign w:val="center"/>
          </w:tcPr>
          <w:p w14:paraId="6DEB7F46">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rPr>
              <w:t>序号</w:t>
            </w:r>
          </w:p>
        </w:tc>
        <w:tc>
          <w:tcPr>
            <w:tcW w:w="2722" w:type="dxa"/>
            <w:noWrap w:val="0"/>
            <w:vAlign w:val="center"/>
          </w:tcPr>
          <w:p w14:paraId="460F6DD5">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rPr>
            </w:pPr>
            <w:r>
              <w:rPr>
                <w:rFonts w:hint="eastAsia" w:ascii="楷体" w:hAnsi="楷体" w:eastAsia="楷体" w:cs="楷体"/>
                <w:b/>
                <w:bCs/>
                <w:color w:val="auto"/>
                <w:kern w:val="0"/>
                <w:sz w:val="24"/>
                <w:szCs w:val="24"/>
                <w:highlight w:val="none"/>
                <w:lang w:val="en-US" w:eastAsia="zh-CN"/>
              </w:rPr>
              <w:t>用途</w:t>
            </w:r>
          </w:p>
        </w:tc>
        <w:tc>
          <w:tcPr>
            <w:tcW w:w="3412" w:type="dxa"/>
            <w:noWrap w:val="0"/>
            <w:vAlign w:val="center"/>
          </w:tcPr>
          <w:p w14:paraId="3467B54C">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eastAsia="zh-CN"/>
              </w:rPr>
            </w:pPr>
            <w:r>
              <w:rPr>
                <w:rFonts w:hint="eastAsia" w:ascii="楷体" w:hAnsi="楷体" w:eastAsia="楷体" w:cs="楷体"/>
                <w:b/>
                <w:bCs/>
                <w:color w:val="auto"/>
                <w:kern w:val="0"/>
                <w:sz w:val="24"/>
                <w:szCs w:val="24"/>
                <w:highlight w:val="none"/>
                <w:lang w:val="en-US" w:eastAsia="zh-CN"/>
              </w:rPr>
              <w:t>作业设备</w:t>
            </w:r>
            <w:r>
              <w:rPr>
                <w:rFonts w:hint="eastAsia" w:ascii="楷体" w:hAnsi="楷体" w:eastAsia="楷体" w:cs="楷体"/>
                <w:b/>
                <w:bCs/>
                <w:color w:val="auto"/>
                <w:kern w:val="0"/>
                <w:sz w:val="24"/>
                <w:szCs w:val="24"/>
                <w:highlight w:val="none"/>
              </w:rPr>
              <w:t>名称</w:t>
            </w:r>
          </w:p>
        </w:tc>
        <w:tc>
          <w:tcPr>
            <w:tcW w:w="874" w:type="dxa"/>
            <w:noWrap w:val="0"/>
            <w:vAlign w:val="center"/>
          </w:tcPr>
          <w:p w14:paraId="0CFE58FC">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数量</w:t>
            </w:r>
          </w:p>
        </w:tc>
        <w:tc>
          <w:tcPr>
            <w:tcW w:w="851" w:type="dxa"/>
            <w:noWrap w:val="0"/>
            <w:vAlign w:val="center"/>
          </w:tcPr>
          <w:p w14:paraId="5934AC62">
            <w:pPr>
              <w:pageBreakBefore w:val="0"/>
              <w:widowControl/>
              <w:kinsoku/>
              <w:wordWrap/>
              <w:overflowPunct/>
              <w:topLinePunct w:val="0"/>
              <w:bidi w:val="0"/>
              <w:snapToGrid w:val="0"/>
              <w:spacing w:line="300" w:lineRule="auto"/>
              <w:ind w:left="0"/>
              <w:jc w:val="center"/>
              <w:rPr>
                <w:rFonts w:hint="eastAsia" w:ascii="楷体" w:hAnsi="楷体" w:eastAsia="楷体" w:cs="楷体"/>
                <w:b/>
                <w:bCs/>
                <w:color w:val="auto"/>
                <w:kern w:val="0"/>
                <w:sz w:val="24"/>
                <w:szCs w:val="24"/>
                <w:highlight w:val="none"/>
                <w:lang w:val="en-US" w:eastAsia="zh-CN"/>
              </w:rPr>
            </w:pPr>
            <w:r>
              <w:rPr>
                <w:rFonts w:hint="eastAsia" w:ascii="楷体" w:hAnsi="楷体" w:eastAsia="楷体" w:cs="楷体"/>
                <w:b/>
                <w:bCs/>
                <w:color w:val="auto"/>
                <w:kern w:val="0"/>
                <w:sz w:val="24"/>
                <w:szCs w:val="24"/>
                <w:highlight w:val="none"/>
                <w:lang w:val="en-US" w:eastAsia="zh-CN"/>
              </w:rPr>
              <w:t>单位</w:t>
            </w:r>
          </w:p>
        </w:tc>
      </w:tr>
      <w:tr w14:paraId="491D8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3" w:type="dxa"/>
            <w:noWrap w:val="0"/>
            <w:vAlign w:val="center"/>
          </w:tcPr>
          <w:p w14:paraId="64898762">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1</w:t>
            </w:r>
          </w:p>
        </w:tc>
        <w:tc>
          <w:tcPr>
            <w:tcW w:w="2722" w:type="dxa"/>
            <w:noWrap w:val="0"/>
            <w:vAlign w:val="center"/>
          </w:tcPr>
          <w:p w14:paraId="5E20291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基本服务</w:t>
            </w:r>
          </w:p>
        </w:tc>
        <w:tc>
          <w:tcPr>
            <w:tcW w:w="3412" w:type="dxa"/>
            <w:noWrap w:val="0"/>
            <w:vAlign w:val="center"/>
          </w:tcPr>
          <w:p w14:paraId="534F2BC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无</w:t>
            </w:r>
          </w:p>
        </w:tc>
        <w:tc>
          <w:tcPr>
            <w:tcW w:w="874" w:type="dxa"/>
            <w:noWrap w:val="0"/>
            <w:vAlign w:val="center"/>
          </w:tcPr>
          <w:p w14:paraId="3BB1AC6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0</w:t>
            </w:r>
          </w:p>
        </w:tc>
        <w:tc>
          <w:tcPr>
            <w:tcW w:w="851" w:type="dxa"/>
            <w:noWrap w:val="0"/>
            <w:vAlign w:val="center"/>
          </w:tcPr>
          <w:p w14:paraId="6845949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个</w:t>
            </w:r>
          </w:p>
        </w:tc>
      </w:tr>
      <w:tr w14:paraId="0803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3" w:type="dxa"/>
            <w:noWrap w:val="0"/>
            <w:vAlign w:val="center"/>
          </w:tcPr>
          <w:p w14:paraId="022A6B7B">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2</w:t>
            </w:r>
          </w:p>
        </w:tc>
        <w:tc>
          <w:tcPr>
            <w:tcW w:w="2722" w:type="dxa"/>
            <w:noWrap w:val="0"/>
            <w:vAlign w:val="center"/>
          </w:tcPr>
          <w:p w14:paraId="7B2A57AF">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房屋维修服务</w:t>
            </w:r>
          </w:p>
        </w:tc>
        <w:tc>
          <w:tcPr>
            <w:tcW w:w="3412" w:type="dxa"/>
            <w:noWrap w:val="0"/>
            <w:vAlign w:val="center"/>
          </w:tcPr>
          <w:p w14:paraId="04A637B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无</w:t>
            </w:r>
          </w:p>
        </w:tc>
        <w:tc>
          <w:tcPr>
            <w:tcW w:w="874" w:type="dxa"/>
            <w:noWrap w:val="0"/>
            <w:vAlign w:val="center"/>
          </w:tcPr>
          <w:p w14:paraId="27A51BD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0</w:t>
            </w:r>
          </w:p>
        </w:tc>
        <w:tc>
          <w:tcPr>
            <w:tcW w:w="851" w:type="dxa"/>
            <w:noWrap w:val="0"/>
            <w:vAlign w:val="center"/>
          </w:tcPr>
          <w:p w14:paraId="13E832CD">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rPr>
            </w:pPr>
            <w:r>
              <w:rPr>
                <w:rFonts w:hint="eastAsia" w:ascii="楷体" w:hAnsi="楷体" w:eastAsia="楷体" w:cs="楷体"/>
                <w:b w:val="0"/>
                <w:bCs w:val="0"/>
                <w:color w:val="auto"/>
                <w:kern w:val="0"/>
                <w:sz w:val="24"/>
                <w:szCs w:val="24"/>
                <w:highlight w:val="none"/>
                <w:lang w:val="en-US" w:eastAsia="zh-CN"/>
              </w:rPr>
              <w:t>台</w:t>
            </w:r>
          </w:p>
        </w:tc>
      </w:tr>
      <w:tr w14:paraId="451EA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restart"/>
            <w:noWrap w:val="0"/>
            <w:vAlign w:val="center"/>
          </w:tcPr>
          <w:p w14:paraId="29EE2B04">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3</w:t>
            </w:r>
          </w:p>
        </w:tc>
        <w:tc>
          <w:tcPr>
            <w:tcW w:w="2722" w:type="dxa"/>
            <w:vMerge w:val="restart"/>
            <w:noWrap w:val="0"/>
            <w:vAlign w:val="center"/>
          </w:tcPr>
          <w:p w14:paraId="47C64DD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highlight w:val="none"/>
                <w:lang w:val="en-US" w:eastAsia="zh-CN"/>
              </w:rPr>
              <w:t>公用设施设备维护服务</w:t>
            </w:r>
          </w:p>
        </w:tc>
        <w:tc>
          <w:tcPr>
            <w:tcW w:w="3412" w:type="dxa"/>
            <w:noWrap w:val="0"/>
            <w:vAlign w:val="top"/>
          </w:tcPr>
          <w:p w14:paraId="1193FB5A">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老虎钳</w:t>
            </w:r>
          </w:p>
        </w:tc>
        <w:tc>
          <w:tcPr>
            <w:tcW w:w="874" w:type="dxa"/>
            <w:noWrap w:val="0"/>
            <w:vAlign w:val="center"/>
          </w:tcPr>
          <w:p w14:paraId="77C34D3B">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24E465EB">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0CCA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2771DB83">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2722" w:type="dxa"/>
            <w:vMerge w:val="continue"/>
            <w:noWrap w:val="0"/>
            <w:vAlign w:val="center"/>
          </w:tcPr>
          <w:p w14:paraId="3191C97C">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3412" w:type="dxa"/>
            <w:noWrap w:val="0"/>
            <w:vAlign w:val="top"/>
          </w:tcPr>
          <w:p w14:paraId="5643E5C7">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尖嘴钳</w:t>
            </w:r>
          </w:p>
        </w:tc>
        <w:tc>
          <w:tcPr>
            <w:tcW w:w="874" w:type="dxa"/>
            <w:noWrap w:val="0"/>
            <w:vAlign w:val="center"/>
          </w:tcPr>
          <w:p w14:paraId="0831FF9A">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27BCD5F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1EF84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2B346BFF">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39394E3F">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69824EB7">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剥线钳</w:t>
            </w:r>
          </w:p>
        </w:tc>
        <w:tc>
          <w:tcPr>
            <w:tcW w:w="874" w:type="dxa"/>
            <w:noWrap w:val="0"/>
            <w:vAlign w:val="center"/>
          </w:tcPr>
          <w:p w14:paraId="478F5DEE">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5A2194C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0C153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358B42D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5CE5E1C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17BD6A14">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斜口钳</w:t>
            </w:r>
          </w:p>
        </w:tc>
        <w:tc>
          <w:tcPr>
            <w:tcW w:w="874" w:type="dxa"/>
            <w:noWrap w:val="0"/>
            <w:vAlign w:val="center"/>
          </w:tcPr>
          <w:p w14:paraId="6253CE2D">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7335EC3D">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12B8C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5A4BC7EB">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42ADED1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775C23FD">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电锤</w:t>
            </w:r>
          </w:p>
        </w:tc>
        <w:tc>
          <w:tcPr>
            <w:tcW w:w="874" w:type="dxa"/>
            <w:noWrap w:val="0"/>
            <w:vAlign w:val="center"/>
          </w:tcPr>
          <w:p w14:paraId="6E1E36D8">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5</w:t>
            </w:r>
          </w:p>
        </w:tc>
        <w:tc>
          <w:tcPr>
            <w:tcW w:w="851" w:type="dxa"/>
            <w:noWrap w:val="0"/>
            <w:vAlign w:val="center"/>
          </w:tcPr>
          <w:p w14:paraId="05194BE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31222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1D1AAB7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5EE86D4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1AADA7B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活动扳手</w:t>
            </w:r>
          </w:p>
        </w:tc>
        <w:tc>
          <w:tcPr>
            <w:tcW w:w="874" w:type="dxa"/>
            <w:noWrap w:val="0"/>
            <w:vAlign w:val="center"/>
          </w:tcPr>
          <w:p w14:paraId="6B56534B">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10</w:t>
            </w:r>
          </w:p>
        </w:tc>
        <w:tc>
          <w:tcPr>
            <w:tcW w:w="851" w:type="dxa"/>
            <w:noWrap w:val="0"/>
            <w:vAlign w:val="center"/>
          </w:tcPr>
          <w:p w14:paraId="21FEE26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7930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6E3E6E6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5C82904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27185FAF">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万用表</w:t>
            </w:r>
          </w:p>
        </w:tc>
        <w:tc>
          <w:tcPr>
            <w:tcW w:w="874" w:type="dxa"/>
            <w:noWrap w:val="0"/>
            <w:vAlign w:val="center"/>
          </w:tcPr>
          <w:p w14:paraId="0F89CE2B">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7</w:t>
            </w:r>
          </w:p>
        </w:tc>
        <w:tc>
          <w:tcPr>
            <w:tcW w:w="851" w:type="dxa"/>
            <w:noWrap w:val="0"/>
            <w:vAlign w:val="center"/>
          </w:tcPr>
          <w:p w14:paraId="1ADB302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只</w:t>
            </w:r>
          </w:p>
        </w:tc>
      </w:tr>
      <w:tr w14:paraId="7FC76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6B37A49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48BC57E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4395A522">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钳表</w:t>
            </w:r>
          </w:p>
        </w:tc>
        <w:tc>
          <w:tcPr>
            <w:tcW w:w="874" w:type="dxa"/>
            <w:noWrap w:val="0"/>
            <w:vAlign w:val="center"/>
          </w:tcPr>
          <w:p w14:paraId="2F55CA16">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6</w:t>
            </w:r>
          </w:p>
        </w:tc>
        <w:tc>
          <w:tcPr>
            <w:tcW w:w="851" w:type="dxa"/>
            <w:noWrap w:val="0"/>
            <w:vAlign w:val="center"/>
          </w:tcPr>
          <w:p w14:paraId="3522118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只</w:t>
            </w:r>
          </w:p>
        </w:tc>
      </w:tr>
      <w:tr w14:paraId="4036E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16188BA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7A7324CF">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30E6DEF9">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摇表</w:t>
            </w:r>
          </w:p>
        </w:tc>
        <w:tc>
          <w:tcPr>
            <w:tcW w:w="874" w:type="dxa"/>
            <w:noWrap w:val="0"/>
            <w:vAlign w:val="center"/>
          </w:tcPr>
          <w:p w14:paraId="353EC97D">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6</w:t>
            </w:r>
          </w:p>
        </w:tc>
        <w:tc>
          <w:tcPr>
            <w:tcW w:w="851" w:type="dxa"/>
            <w:noWrap w:val="0"/>
            <w:vAlign w:val="center"/>
          </w:tcPr>
          <w:p w14:paraId="6B185B2B">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只</w:t>
            </w:r>
          </w:p>
        </w:tc>
      </w:tr>
      <w:tr w14:paraId="4383B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68E2749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7683879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79DD1702">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卷尺</w:t>
            </w:r>
          </w:p>
        </w:tc>
        <w:tc>
          <w:tcPr>
            <w:tcW w:w="874" w:type="dxa"/>
            <w:noWrap w:val="0"/>
            <w:vAlign w:val="center"/>
          </w:tcPr>
          <w:p w14:paraId="5BD2CA65">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10</w:t>
            </w:r>
          </w:p>
        </w:tc>
        <w:tc>
          <w:tcPr>
            <w:tcW w:w="851" w:type="dxa"/>
            <w:noWrap w:val="0"/>
            <w:vAlign w:val="center"/>
          </w:tcPr>
          <w:p w14:paraId="28657C9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1B28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34E46E8B">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64030292">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0D1C1881">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锤子</w:t>
            </w:r>
          </w:p>
        </w:tc>
        <w:tc>
          <w:tcPr>
            <w:tcW w:w="874" w:type="dxa"/>
            <w:noWrap w:val="0"/>
            <w:vAlign w:val="center"/>
          </w:tcPr>
          <w:p w14:paraId="68A66242">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10</w:t>
            </w:r>
          </w:p>
        </w:tc>
        <w:tc>
          <w:tcPr>
            <w:tcW w:w="851" w:type="dxa"/>
            <w:noWrap w:val="0"/>
            <w:vAlign w:val="center"/>
          </w:tcPr>
          <w:p w14:paraId="656159CD">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707B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5FF87032">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2D5FE33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42FB7101">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活动扳手</w:t>
            </w:r>
          </w:p>
        </w:tc>
        <w:tc>
          <w:tcPr>
            <w:tcW w:w="874" w:type="dxa"/>
            <w:noWrap w:val="0"/>
            <w:vAlign w:val="center"/>
          </w:tcPr>
          <w:p w14:paraId="54BEAFD2">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46DF7E3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206B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271539E7">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2CAEDB4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2D9E032B">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开口扳手</w:t>
            </w:r>
          </w:p>
        </w:tc>
        <w:tc>
          <w:tcPr>
            <w:tcW w:w="874" w:type="dxa"/>
            <w:noWrap w:val="0"/>
            <w:vAlign w:val="center"/>
          </w:tcPr>
          <w:p w14:paraId="764A4BD0">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9</w:t>
            </w:r>
          </w:p>
        </w:tc>
        <w:tc>
          <w:tcPr>
            <w:tcW w:w="851" w:type="dxa"/>
            <w:noWrap w:val="0"/>
            <w:vAlign w:val="center"/>
          </w:tcPr>
          <w:p w14:paraId="5B52FEC2">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566D4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 w:hRule="atLeast"/>
        </w:trPr>
        <w:tc>
          <w:tcPr>
            <w:tcW w:w="663" w:type="dxa"/>
            <w:vMerge w:val="continue"/>
            <w:noWrap w:val="0"/>
            <w:vAlign w:val="center"/>
          </w:tcPr>
          <w:p w14:paraId="2BB27D2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1578907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top"/>
          </w:tcPr>
          <w:p w14:paraId="174AE0A2">
            <w:pPr>
              <w:spacing w:line="360" w:lineRule="auto"/>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vertAlign w:val="baseline"/>
                <w:lang w:eastAsia="zh-CN"/>
              </w:rPr>
              <w:t>热熔器</w:t>
            </w:r>
          </w:p>
        </w:tc>
        <w:tc>
          <w:tcPr>
            <w:tcW w:w="874" w:type="dxa"/>
            <w:noWrap w:val="0"/>
            <w:vAlign w:val="center"/>
          </w:tcPr>
          <w:p w14:paraId="6AC798C6">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10</w:t>
            </w:r>
          </w:p>
        </w:tc>
        <w:tc>
          <w:tcPr>
            <w:tcW w:w="851" w:type="dxa"/>
            <w:noWrap w:val="0"/>
            <w:vAlign w:val="center"/>
          </w:tcPr>
          <w:p w14:paraId="0E0A90A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把</w:t>
            </w:r>
          </w:p>
        </w:tc>
      </w:tr>
      <w:tr w14:paraId="7753D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663" w:type="dxa"/>
            <w:vMerge w:val="restart"/>
            <w:noWrap w:val="0"/>
            <w:vAlign w:val="center"/>
          </w:tcPr>
          <w:p w14:paraId="08BDC334">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4</w:t>
            </w:r>
          </w:p>
        </w:tc>
        <w:tc>
          <w:tcPr>
            <w:tcW w:w="2722" w:type="dxa"/>
            <w:vMerge w:val="restart"/>
            <w:noWrap w:val="0"/>
            <w:vAlign w:val="center"/>
          </w:tcPr>
          <w:p w14:paraId="31B93208">
            <w:pPr>
              <w:pageBreakBefore w:val="0"/>
              <w:widowControl/>
              <w:kinsoku/>
              <w:wordWrap/>
              <w:overflowPunct/>
              <w:topLinePunct w:val="0"/>
              <w:bidi w:val="0"/>
              <w:snapToGrid w:val="0"/>
              <w:spacing w:line="300" w:lineRule="auto"/>
              <w:ind w:left="0" w:left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保洁服务</w:t>
            </w:r>
          </w:p>
        </w:tc>
        <w:tc>
          <w:tcPr>
            <w:tcW w:w="3412" w:type="dxa"/>
            <w:noWrap w:val="0"/>
            <w:vAlign w:val="center"/>
          </w:tcPr>
          <w:p w14:paraId="382E8BD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多用途洗地机</w:t>
            </w:r>
          </w:p>
        </w:tc>
        <w:tc>
          <w:tcPr>
            <w:tcW w:w="874" w:type="dxa"/>
            <w:noWrap w:val="0"/>
            <w:vAlign w:val="center"/>
          </w:tcPr>
          <w:p w14:paraId="57FD7DDB">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w:t>
            </w:r>
          </w:p>
        </w:tc>
        <w:tc>
          <w:tcPr>
            <w:tcW w:w="851" w:type="dxa"/>
            <w:noWrap w:val="0"/>
            <w:vAlign w:val="center"/>
          </w:tcPr>
          <w:p w14:paraId="3443EE3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台</w:t>
            </w:r>
          </w:p>
        </w:tc>
      </w:tr>
      <w:tr w14:paraId="5F8E2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663" w:type="dxa"/>
            <w:vMerge w:val="continue"/>
            <w:noWrap w:val="0"/>
            <w:vAlign w:val="center"/>
          </w:tcPr>
          <w:p w14:paraId="1008B02D">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2722" w:type="dxa"/>
            <w:vMerge w:val="continue"/>
            <w:noWrap w:val="0"/>
            <w:vAlign w:val="center"/>
          </w:tcPr>
          <w:p w14:paraId="09628F52">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3412" w:type="dxa"/>
            <w:noWrap w:val="0"/>
            <w:vAlign w:val="center"/>
          </w:tcPr>
          <w:p w14:paraId="405B129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垃圾清运三轮</w:t>
            </w:r>
          </w:p>
        </w:tc>
        <w:tc>
          <w:tcPr>
            <w:tcW w:w="874" w:type="dxa"/>
            <w:noWrap w:val="0"/>
            <w:vAlign w:val="center"/>
          </w:tcPr>
          <w:p w14:paraId="739A848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3</w:t>
            </w:r>
          </w:p>
        </w:tc>
        <w:tc>
          <w:tcPr>
            <w:tcW w:w="851" w:type="dxa"/>
            <w:noWrap w:val="0"/>
            <w:vAlign w:val="center"/>
          </w:tcPr>
          <w:p w14:paraId="73820FBC">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台</w:t>
            </w:r>
          </w:p>
        </w:tc>
      </w:tr>
      <w:tr w14:paraId="3A71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663" w:type="dxa"/>
            <w:vMerge w:val="continue"/>
            <w:noWrap w:val="0"/>
            <w:vAlign w:val="center"/>
          </w:tcPr>
          <w:p w14:paraId="2223D39D">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442C656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744EF5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4步梯</w:t>
            </w:r>
          </w:p>
        </w:tc>
        <w:tc>
          <w:tcPr>
            <w:tcW w:w="874" w:type="dxa"/>
            <w:noWrap w:val="0"/>
            <w:vAlign w:val="center"/>
          </w:tcPr>
          <w:p w14:paraId="32FB3A45">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2</w:t>
            </w:r>
          </w:p>
        </w:tc>
        <w:tc>
          <w:tcPr>
            <w:tcW w:w="851" w:type="dxa"/>
            <w:noWrap w:val="0"/>
            <w:vAlign w:val="center"/>
          </w:tcPr>
          <w:p w14:paraId="546A22E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架</w:t>
            </w:r>
          </w:p>
        </w:tc>
      </w:tr>
      <w:tr w14:paraId="2344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663" w:type="dxa"/>
            <w:vMerge w:val="continue"/>
            <w:noWrap w:val="0"/>
            <w:vAlign w:val="center"/>
          </w:tcPr>
          <w:p w14:paraId="4958B62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1FE10657">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1CC3C9A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吸尘、吸水两用机</w:t>
            </w:r>
          </w:p>
        </w:tc>
        <w:tc>
          <w:tcPr>
            <w:tcW w:w="874" w:type="dxa"/>
            <w:noWrap w:val="0"/>
            <w:vAlign w:val="center"/>
          </w:tcPr>
          <w:p w14:paraId="4079629A">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w:t>
            </w:r>
          </w:p>
        </w:tc>
        <w:tc>
          <w:tcPr>
            <w:tcW w:w="851" w:type="dxa"/>
            <w:noWrap w:val="0"/>
            <w:vAlign w:val="center"/>
          </w:tcPr>
          <w:p w14:paraId="530E996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台</w:t>
            </w:r>
          </w:p>
        </w:tc>
      </w:tr>
      <w:tr w14:paraId="341B8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 w:hRule="atLeast"/>
        </w:trPr>
        <w:tc>
          <w:tcPr>
            <w:tcW w:w="663" w:type="dxa"/>
            <w:vMerge w:val="continue"/>
            <w:noWrap w:val="0"/>
            <w:vAlign w:val="center"/>
          </w:tcPr>
          <w:p w14:paraId="485E757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6EBC0965">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6CDCBD9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自吸泵</w:t>
            </w:r>
          </w:p>
        </w:tc>
        <w:tc>
          <w:tcPr>
            <w:tcW w:w="874" w:type="dxa"/>
            <w:noWrap w:val="0"/>
            <w:vAlign w:val="center"/>
          </w:tcPr>
          <w:p w14:paraId="5024005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1</w:t>
            </w:r>
          </w:p>
        </w:tc>
        <w:tc>
          <w:tcPr>
            <w:tcW w:w="851" w:type="dxa"/>
            <w:noWrap w:val="0"/>
            <w:vAlign w:val="center"/>
          </w:tcPr>
          <w:p w14:paraId="294CE2FA">
            <w:pPr>
              <w:pageBreakBefore w:val="0"/>
              <w:widowControl/>
              <w:kinsoku/>
              <w:wordWrap/>
              <w:overflowPunct/>
              <w:topLinePunct w:val="0"/>
              <w:bidi w:val="0"/>
              <w:snapToGrid w:val="0"/>
              <w:spacing w:line="300" w:lineRule="auto"/>
              <w:ind w:left="0" w:leftChars="0"/>
              <w:jc w:val="center"/>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台</w:t>
            </w:r>
          </w:p>
        </w:tc>
      </w:tr>
      <w:tr w14:paraId="2DD90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63" w:type="dxa"/>
            <w:noWrap w:val="0"/>
            <w:vAlign w:val="center"/>
          </w:tcPr>
          <w:p w14:paraId="40382CBC">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5</w:t>
            </w:r>
          </w:p>
        </w:tc>
        <w:tc>
          <w:tcPr>
            <w:tcW w:w="2722" w:type="dxa"/>
            <w:noWrap w:val="0"/>
            <w:vAlign w:val="center"/>
          </w:tcPr>
          <w:p w14:paraId="14596454">
            <w:pPr>
              <w:pageBreakBefore w:val="0"/>
              <w:widowControl/>
              <w:kinsoku/>
              <w:wordWrap/>
              <w:overflowPunct/>
              <w:topLinePunct w:val="0"/>
              <w:bidi w:val="0"/>
              <w:snapToGrid w:val="0"/>
              <w:spacing w:line="300" w:lineRule="auto"/>
              <w:ind w:left="0" w:left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绿化服务</w:t>
            </w:r>
          </w:p>
        </w:tc>
        <w:tc>
          <w:tcPr>
            <w:tcW w:w="3412" w:type="dxa"/>
            <w:noWrap w:val="0"/>
            <w:vAlign w:val="center"/>
          </w:tcPr>
          <w:p w14:paraId="7120CD1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割草机</w:t>
            </w:r>
          </w:p>
        </w:tc>
        <w:tc>
          <w:tcPr>
            <w:tcW w:w="874" w:type="dxa"/>
            <w:noWrap w:val="0"/>
            <w:vAlign w:val="center"/>
          </w:tcPr>
          <w:p w14:paraId="74961CE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bidi="ar-SA"/>
              </w:rPr>
              <w:t>2</w:t>
            </w:r>
          </w:p>
        </w:tc>
        <w:tc>
          <w:tcPr>
            <w:tcW w:w="851" w:type="dxa"/>
            <w:noWrap w:val="0"/>
            <w:vAlign w:val="center"/>
          </w:tcPr>
          <w:p w14:paraId="2AA27BC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b w:val="0"/>
                <w:bCs w:val="0"/>
                <w:color w:val="auto"/>
                <w:kern w:val="0"/>
                <w:sz w:val="24"/>
                <w:szCs w:val="24"/>
                <w:highlight w:val="none"/>
                <w:lang w:val="en-US" w:eastAsia="zh-CN"/>
              </w:rPr>
              <w:t>台</w:t>
            </w:r>
          </w:p>
        </w:tc>
      </w:tr>
      <w:tr w14:paraId="45B4B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restart"/>
            <w:noWrap w:val="0"/>
            <w:vAlign w:val="center"/>
          </w:tcPr>
          <w:p w14:paraId="7DB54617">
            <w:pPr>
              <w:pageBreakBefore w:val="0"/>
              <w:widowControl/>
              <w:numPr>
                <w:ilvl w:val="0"/>
                <w:numId w:val="0"/>
              </w:numPr>
              <w:kinsoku/>
              <w:wordWrap/>
              <w:overflowPunct/>
              <w:topLinePunct w:val="0"/>
              <w:bidi w:val="0"/>
              <w:snapToGrid w:val="0"/>
              <w:spacing w:line="300" w:lineRule="auto"/>
              <w:ind w:left="0" w:firstLine="0"/>
              <w:jc w:val="center"/>
              <w:rPr>
                <w:rFonts w:hint="eastAsia" w:ascii="楷体" w:hAnsi="楷体" w:eastAsia="楷体" w:cs="楷体"/>
                <w:b w:val="0"/>
                <w:bCs w:val="0"/>
                <w:color w:val="auto"/>
                <w:kern w:val="0"/>
                <w:sz w:val="24"/>
                <w:szCs w:val="24"/>
                <w:highlight w:val="none"/>
              </w:rPr>
            </w:pPr>
            <w:r>
              <w:rPr>
                <w:rFonts w:hint="eastAsia" w:ascii="楷体" w:hAnsi="楷体" w:eastAsia="楷体" w:cs="楷体"/>
                <w:b w:val="0"/>
                <w:bCs w:val="0"/>
                <w:color w:val="auto"/>
                <w:kern w:val="0"/>
                <w:sz w:val="24"/>
                <w:szCs w:val="24"/>
                <w:highlight w:val="none"/>
                <w:lang w:val="en-US" w:eastAsia="zh-CN"/>
              </w:rPr>
              <w:t>6</w:t>
            </w:r>
          </w:p>
        </w:tc>
        <w:tc>
          <w:tcPr>
            <w:tcW w:w="2722" w:type="dxa"/>
            <w:vMerge w:val="restart"/>
            <w:noWrap w:val="0"/>
            <w:vAlign w:val="center"/>
          </w:tcPr>
          <w:p w14:paraId="7DB580F3">
            <w:pPr>
              <w:pageBreakBefore w:val="0"/>
              <w:widowControl/>
              <w:kinsoku/>
              <w:wordWrap/>
              <w:overflowPunct/>
              <w:topLinePunct w:val="0"/>
              <w:bidi w:val="0"/>
              <w:snapToGrid w:val="0"/>
              <w:spacing w:line="300" w:lineRule="auto"/>
              <w:ind w:left="0" w:leftChars="0"/>
              <w:jc w:val="center"/>
              <w:rPr>
                <w:rFonts w:hint="eastAsia" w:ascii="楷体" w:hAnsi="楷体" w:eastAsia="楷体" w:cs="楷体"/>
                <w:sz w:val="24"/>
                <w:szCs w:val="24"/>
                <w:highlight w:val="none"/>
                <w:lang w:val="en-US" w:eastAsia="zh-CN"/>
              </w:rPr>
            </w:pPr>
            <w:r>
              <w:rPr>
                <w:rFonts w:hint="eastAsia" w:ascii="楷体" w:hAnsi="楷体" w:eastAsia="楷体" w:cs="楷体"/>
                <w:sz w:val="24"/>
                <w:szCs w:val="24"/>
                <w:highlight w:val="none"/>
                <w:lang w:val="en-US" w:eastAsia="zh-CN"/>
              </w:rPr>
              <w:t>保安服务</w:t>
            </w:r>
          </w:p>
        </w:tc>
        <w:tc>
          <w:tcPr>
            <w:tcW w:w="3412" w:type="dxa"/>
            <w:noWrap w:val="0"/>
            <w:vAlign w:val="center"/>
          </w:tcPr>
          <w:p w14:paraId="159F129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多功能腰带</w:t>
            </w:r>
          </w:p>
        </w:tc>
        <w:tc>
          <w:tcPr>
            <w:tcW w:w="874" w:type="dxa"/>
            <w:noWrap w:val="0"/>
            <w:vAlign w:val="center"/>
          </w:tcPr>
          <w:p w14:paraId="6F388EA3">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50</w:t>
            </w:r>
          </w:p>
        </w:tc>
        <w:tc>
          <w:tcPr>
            <w:tcW w:w="851" w:type="dxa"/>
            <w:noWrap w:val="0"/>
            <w:vAlign w:val="center"/>
          </w:tcPr>
          <w:p w14:paraId="62EC25D1">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套</w:t>
            </w:r>
          </w:p>
        </w:tc>
      </w:tr>
      <w:tr w14:paraId="2646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6132BE95">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2722" w:type="dxa"/>
            <w:vMerge w:val="continue"/>
            <w:noWrap w:val="0"/>
            <w:vAlign w:val="center"/>
          </w:tcPr>
          <w:p w14:paraId="653D8358">
            <w:pPr>
              <w:pageBreakBefore w:val="0"/>
              <w:widowControl/>
              <w:kinsoku/>
              <w:wordWrap/>
              <w:overflowPunct/>
              <w:topLinePunct w:val="0"/>
              <w:bidi w:val="0"/>
              <w:snapToGrid w:val="0"/>
              <w:spacing w:line="300" w:lineRule="auto"/>
              <w:ind w:left="0" w:leftChars="0"/>
              <w:jc w:val="center"/>
              <w:rPr>
                <w:rFonts w:hint="eastAsia" w:ascii="楷体" w:hAnsi="楷体" w:eastAsia="楷体" w:cs="楷体"/>
              </w:rPr>
            </w:pPr>
          </w:p>
        </w:tc>
        <w:tc>
          <w:tcPr>
            <w:tcW w:w="3412" w:type="dxa"/>
            <w:noWrap w:val="0"/>
            <w:vAlign w:val="center"/>
          </w:tcPr>
          <w:p w14:paraId="2BE6B5F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特训鞋</w:t>
            </w:r>
          </w:p>
        </w:tc>
        <w:tc>
          <w:tcPr>
            <w:tcW w:w="874" w:type="dxa"/>
            <w:noWrap w:val="0"/>
            <w:vAlign w:val="center"/>
          </w:tcPr>
          <w:p w14:paraId="080015DB">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50</w:t>
            </w:r>
          </w:p>
        </w:tc>
        <w:tc>
          <w:tcPr>
            <w:tcW w:w="851" w:type="dxa"/>
            <w:noWrap w:val="0"/>
            <w:vAlign w:val="center"/>
          </w:tcPr>
          <w:p w14:paraId="38DF10DB">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双</w:t>
            </w:r>
          </w:p>
        </w:tc>
      </w:tr>
      <w:tr w14:paraId="3D62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7125F9DF">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4B3E652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A689EBD">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半指手套</w:t>
            </w:r>
          </w:p>
        </w:tc>
        <w:tc>
          <w:tcPr>
            <w:tcW w:w="874" w:type="dxa"/>
            <w:noWrap w:val="0"/>
            <w:vAlign w:val="center"/>
          </w:tcPr>
          <w:p w14:paraId="1A087166">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50</w:t>
            </w:r>
          </w:p>
        </w:tc>
        <w:tc>
          <w:tcPr>
            <w:tcW w:w="851" w:type="dxa"/>
            <w:noWrap w:val="0"/>
            <w:vAlign w:val="center"/>
          </w:tcPr>
          <w:p w14:paraId="6EA18D89">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双</w:t>
            </w:r>
          </w:p>
        </w:tc>
      </w:tr>
      <w:tr w14:paraId="4E290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21096D4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1ABC25FC">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E52714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执法记录仪</w:t>
            </w:r>
          </w:p>
        </w:tc>
        <w:tc>
          <w:tcPr>
            <w:tcW w:w="874" w:type="dxa"/>
            <w:noWrap w:val="0"/>
            <w:vAlign w:val="center"/>
          </w:tcPr>
          <w:p w14:paraId="57B2DE4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noWrap w:val="0"/>
            <w:vAlign w:val="center"/>
          </w:tcPr>
          <w:p w14:paraId="602B7E89">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个</w:t>
            </w:r>
          </w:p>
        </w:tc>
      </w:tr>
      <w:tr w14:paraId="5AFA3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2892ACF4">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00095047">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CE4F0EC">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对讲机</w:t>
            </w:r>
          </w:p>
        </w:tc>
        <w:tc>
          <w:tcPr>
            <w:tcW w:w="874" w:type="dxa"/>
            <w:noWrap w:val="0"/>
            <w:vAlign w:val="center"/>
          </w:tcPr>
          <w:p w14:paraId="1F7C1697">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10</w:t>
            </w:r>
          </w:p>
        </w:tc>
        <w:tc>
          <w:tcPr>
            <w:tcW w:w="851" w:type="dxa"/>
            <w:noWrap w:val="0"/>
            <w:vAlign w:val="center"/>
          </w:tcPr>
          <w:p w14:paraId="74911714">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部</w:t>
            </w:r>
          </w:p>
        </w:tc>
      </w:tr>
      <w:tr w14:paraId="1CD46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56A997C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7E6CAAB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6EFA35D9">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防暴盾牌</w:t>
            </w:r>
          </w:p>
        </w:tc>
        <w:tc>
          <w:tcPr>
            <w:tcW w:w="874" w:type="dxa"/>
            <w:noWrap w:val="0"/>
            <w:vAlign w:val="center"/>
          </w:tcPr>
          <w:p w14:paraId="794CC00A">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noWrap w:val="0"/>
            <w:vAlign w:val="center"/>
          </w:tcPr>
          <w:p w14:paraId="40FE7C3E">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片</w:t>
            </w:r>
          </w:p>
        </w:tc>
      </w:tr>
      <w:tr w14:paraId="4D892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7170691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4F1F6E89">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shd w:val="clear" w:color="auto" w:fill="auto"/>
            <w:noWrap w:val="0"/>
            <w:vAlign w:val="center"/>
          </w:tcPr>
          <w:p w14:paraId="108BBA63">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防暴</w:t>
            </w:r>
            <w:r>
              <w:rPr>
                <w:rFonts w:hint="eastAsia" w:ascii="楷体" w:hAnsi="楷体" w:eastAsia="楷体" w:cs="楷体"/>
                <w:sz w:val="24"/>
                <w:szCs w:val="24"/>
              </w:rPr>
              <w:t>钢叉</w:t>
            </w:r>
          </w:p>
        </w:tc>
        <w:tc>
          <w:tcPr>
            <w:tcW w:w="874" w:type="dxa"/>
            <w:shd w:val="clear" w:color="auto" w:fill="auto"/>
            <w:noWrap w:val="0"/>
            <w:vAlign w:val="center"/>
          </w:tcPr>
          <w:p w14:paraId="506487CF">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shd w:val="clear" w:color="auto" w:fill="auto"/>
            <w:noWrap w:val="0"/>
            <w:vAlign w:val="center"/>
          </w:tcPr>
          <w:p w14:paraId="1DA6AA43">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个</w:t>
            </w:r>
          </w:p>
        </w:tc>
      </w:tr>
      <w:tr w14:paraId="5843D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5BF2E597">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5AF616F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415AA6F9">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头盔</w:t>
            </w:r>
          </w:p>
        </w:tc>
        <w:tc>
          <w:tcPr>
            <w:tcW w:w="874" w:type="dxa"/>
            <w:noWrap w:val="0"/>
            <w:vAlign w:val="center"/>
          </w:tcPr>
          <w:p w14:paraId="1924F3AD">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noWrap w:val="0"/>
            <w:vAlign w:val="center"/>
          </w:tcPr>
          <w:p w14:paraId="68F0AD0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订</w:t>
            </w:r>
          </w:p>
        </w:tc>
      </w:tr>
      <w:tr w14:paraId="59334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6B22225D">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789F7F02">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03BB7822">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仿刺背心</w:t>
            </w:r>
          </w:p>
        </w:tc>
        <w:tc>
          <w:tcPr>
            <w:tcW w:w="874" w:type="dxa"/>
            <w:noWrap w:val="0"/>
            <w:vAlign w:val="center"/>
          </w:tcPr>
          <w:p w14:paraId="67BC0B81">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noWrap w:val="0"/>
            <w:vAlign w:val="center"/>
          </w:tcPr>
          <w:p w14:paraId="1F17BF45">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件</w:t>
            </w:r>
          </w:p>
        </w:tc>
      </w:tr>
      <w:tr w14:paraId="7D2E5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30BFAA6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69099132">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1114E38E">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肩灯</w:t>
            </w:r>
          </w:p>
        </w:tc>
        <w:tc>
          <w:tcPr>
            <w:tcW w:w="874" w:type="dxa"/>
            <w:noWrap w:val="0"/>
            <w:vAlign w:val="center"/>
          </w:tcPr>
          <w:p w14:paraId="700CC538">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7</w:t>
            </w:r>
          </w:p>
        </w:tc>
        <w:tc>
          <w:tcPr>
            <w:tcW w:w="851" w:type="dxa"/>
            <w:noWrap w:val="0"/>
            <w:vAlign w:val="center"/>
          </w:tcPr>
          <w:p w14:paraId="5CAE8388">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个</w:t>
            </w:r>
          </w:p>
        </w:tc>
      </w:tr>
      <w:tr w14:paraId="508AD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53130BB1">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7E012C40">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1BC15A93">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口哨</w:t>
            </w:r>
          </w:p>
        </w:tc>
        <w:tc>
          <w:tcPr>
            <w:tcW w:w="874" w:type="dxa"/>
            <w:noWrap w:val="0"/>
            <w:vAlign w:val="center"/>
          </w:tcPr>
          <w:p w14:paraId="2CC0B832">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10</w:t>
            </w:r>
          </w:p>
        </w:tc>
        <w:tc>
          <w:tcPr>
            <w:tcW w:w="851" w:type="dxa"/>
            <w:noWrap w:val="0"/>
            <w:vAlign w:val="center"/>
          </w:tcPr>
          <w:p w14:paraId="379219CD">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个</w:t>
            </w:r>
          </w:p>
        </w:tc>
      </w:tr>
      <w:tr w14:paraId="571C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45C6DD5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1AB26D3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20CD140">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强光</w:t>
            </w:r>
            <w:r>
              <w:rPr>
                <w:rFonts w:hint="eastAsia" w:ascii="楷体" w:hAnsi="楷体" w:eastAsia="楷体" w:cs="楷体"/>
                <w:sz w:val="24"/>
                <w:szCs w:val="24"/>
              </w:rPr>
              <w:t>手电筒</w:t>
            </w:r>
          </w:p>
        </w:tc>
        <w:tc>
          <w:tcPr>
            <w:tcW w:w="874" w:type="dxa"/>
            <w:noWrap w:val="0"/>
            <w:vAlign w:val="center"/>
          </w:tcPr>
          <w:p w14:paraId="05D9183D">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default"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10</w:t>
            </w:r>
          </w:p>
        </w:tc>
        <w:tc>
          <w:tcPr>
            <w:tcW w:w="851" w:type="dxa"/>
            <w:noWrap w:val="0"/>
            <w:vAlign w:val="center"/>
          </w:tcPr>
          <w:p w14:paraId="3D11F4FF">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支</w:t>
            </w:r>
          </w:p>
        </w:tc>
      </w:tr>
      <w:tr w14:paraId="4199B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5B8C8AA6">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6022DBDE">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409B4F31">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rPr>
              <w:t>防割手套</w:t>
            </w:r>
          </w:p>
        </w:tc>
        <w:tc>
          <w:tcPr>
            <w:tcW w:w="874" w:type="dxa"/>
            <w:noWrap w:val="0"/>
            <w:vAlign w:val="center"/>
          </w:tcPr>
          <w:p w14:paraId="3AA43A9D">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10</w:t>
            </w:r>
          </w:p>
        </w:tc>
        <w:tc>
          <w:tcPr>
            <w:tcW w:w="851" w:type="dxa"/>
            <w:noWrap w:val="0"/>
            <w:vAlign w:val="center"/>
          </w:tcPr>
          <w:p w14:paraId="6CC8D390">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双</w:t>
            </w:r>
          </w:p>
        </w:tc>
      </w:tr>
      <w:tr w14:paraId="19446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40D9FA17">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65EA6878">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165E146C">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防暴棍</w:t>
            </w:r>
          </w:p>
        </w:tc>
        <w:tc>
          <w:tcPr>
            <w:tcW w:w="874" w:type="dxa"/>
            <w:noWrap w:val="0"/>
            <w:vAlign w:val="center"/>
          </w:tcPr>
          <w:p w14:paraId="617B7050">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10</w:t>
            </w:r>
          </w:p>
        </w:tc>
        <w:tc>
          <w:tcPr>
            <w:tcW w:w="851" w:type="dxa"/>
            <w:noWrap w:val="0"/>
            <w:vAlign w:val="center"/>
          </w:tcPr>
          <w:p w14:paraId="101C046D">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根</w:t>
            </w:r>
          </w:p>
        </w:tc>
      </w:tr>
      <w:tr w14:paraId="408B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 w:hRule="atLeast"/>
        </w:trPr>
        <w:tc>
          <w:tcPr>
            <w:tcW w:w="663" w:type="dxa"/>
            <w:vMerge w:val="continue"/>
            <w:noWrap w:val="0"/>
            <w:vAlign w:val="center"/>
          </w:tcPr>
          <w:p w14:paraId="64B0BC63">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2722" w:type="dxa"/>
            <w:vMerge w:val="continue"/>
            <w:noWrap w:val="0"/>
            <w:vAlign w:val="center"/>
          </w:tcPr>
          <w:p w14:paraId="2B43D72C">
            <w:pPr>
              <w:pageBreakBefore w:val="0"/>
              <w:widowControl/>
              <w:kinsoku/>
              <w:wordWrap/>
              <w:overflowPunct/>
              <w:topLinePunct w:val="0"/>
              <w:bidi w:val="0"/>
              <w:snapToGrid w:val="0"/>
              <w:spacing w:line="300" w:lineRule="auto"/>
              <w:ind w:left="0" w:leftChars="0"/>
              <w:jc w:val="center"/>
              <w:rPr>
                <w:rFonts w:hint="eastAsia" w:ascii="楷体" w:hAnsi="楷体" w:eastAsia="楷体" w:cs="楷体"/>
                <w:b w:val="0"/>
                <w:bCs w:val="0"/>
                <w:color w:val="auto"/>
                <w:kern w:val="0"/>
                <w:sz w:val="24"/>
                <w:szCs w:val="24"/>
                <w:highlight w:val="none"/>
                <w:lang w:val="en-US" w:eastAsia="zh-CN" w:bidi="ar-SA"/>
              </w:rPr>
            </w:pPr>
          </w:p>
        </w:tc>
        <w:tc>
          <w:tcPr>
            <w:tcW w:w="3412" w:type="dxa"/>
            <w:noWrap w:val="0"/>
            <w:vAlign w:val="center"/>
          </w:tcPr>
          <w:p w14:paraId="264EFD50">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橡胶棒</w:t>
            </w:r>
          </w:p>
        </w:tc>
        <w:tc>
          <w:tcPr>
            <w:tcW w:w="874" w:type="dxa"/>
            <w:noWrap w:val="0"/>
            <w:vAlign w:val="center"/>
          </w:tcPr>
          <w:p w14:paraId="0EFE691B">
            <w:pPr>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15</w:t>
            </w:r>
          </w:p>
        </w:tc>
        <w:tc>
          <w:tcPr>
            <w:tcW w:w="851" w:type="dxa"/>
            <w:noWrap w:val="0"/>
            <w:vAlign w:val="center"/>
          </w:tcPr>
          <w:p w14:paraId="24178ACB">
            <w:pPr>
              <w:pStyle w:val="8"/>
              <w:keepNext w:val="0"/>
              <w:keepLines w:val="0"/>
              <w:pageBreakBefore w:val="0"/>
              <w:widowControl w:val="0"/>
              <w:kinsoku/>
              <w:wordWrap/>
              <w:overflowPunct/>
              <w:topLinePunct w:val="0"/>
              <w:autoSpaceDE w:val="0"/>
              <w:autoSpaceDN w:val="0"/>
              <w:bidi w:val="0"/>
              <w:adjustRightInd w:val="0"/>
              <w:snapToGrid w:val="0"/>
              <w:spacing w:line="480" w:lineRule="auto"/>
              <w:ind w:firstLine="0" w:firstLineChars="0"/>
              <w:jc w:val="center"/>
              <w:textAlignment w:val="auto"/>
              <w:rPr>
                <w:rFonts w:hint="eastAsia" w:ascii="楷体" w:hAnsi="楷体" w:eastAsia="楷体" w:cs="楷体"/>
                <w:b w:val="0"/>
                <w:bCs w:val="0"/>
                <w:color w:val="auto"/>
                <w:kern w:val="0"/>
                <w:sz w:val="24"/>
                <w:szCs w:val="24"/>
                <w:highlight w:val="none"/>
                <w:lang w:val="en-US" w:eastAsia="zh-CN" w:bidi="ar-SA"/>
              </w:rPr>
            </w:pPr>
            <w:r>
              <w:rPr>
                <w:rFonts w:hint="eastAsia" w:ascii="楷体" w:hAnsi="楷体" w:eastAsia="楷体" w:cs="楷体"/>
                <w:sz w:val="24"/>
                <w:szCs w:val="24"/>
                <w:lang w:val="en-US" w:eastAsia="zh-CN"/>
              </w:rPr>
              <w:t>根</w:t>
            </w:r>
          </w:p>
        </w:tc>
      </w:tr>
    </w:tbl>
    <w:p w14:paraId="4C8D5C16">
      <w:pPr>
        <w:pStyle w:val="4"/>
        <w:rPr>
          <w:rFonts w:hint="eastAsia" w:ascii="楷体" w:hAnsi="楷体" w:eastAsia="楷体" w:cs="楷体"/>
          <w:b/>
          <w:bCs/>
          <w:color w:val="FF0000"/>
          <w:sz w:val="24"/>
          <w:szCs w:val="24"/>
          <w:lang w:val="en-US" w:eastAsia="zh-CN"/>
        </w:rPr>
      </w:pPr>
      <w:r>
        <w:rPr>
          <w:rFonts w:hint="eastAsia" w:ascii="楷体" w:hAnsi="楷体" w:eastAsia="楷体" w:cs="楷体"/>
          <w:b w:val="0"/>
          <w:bCs w:val="0"/>
          <w:sz w:val="24"/>
          <w:szCs w:val="24"/>
          <w:highlight w:val="none"/>
          <w:lang w:val="en-US" w:eastAsia="zh-CN"/>
        </w:rPr>
        <w:t>注：采购人已无偿提供的作业设备，不在此重复要求。</w:t>
      </w:r>
    </w:p>
    <w:p w14:paraId="590AFBE3">
      <w:pPr>
        <w:rPr>
          <w:rFonts w:hint="eastAsia" w:ascii="楷体" w:hAnsi="楷体" w:eastAsia="楷体" w:cs="楷体"/>
          <w:sz w:val="24"/>
          <w:szCs w:val="24"/>
          <w:lang w:val="en-US" w:eastAsia="zh-CN"/>
        </w:rPr>
      </w:pPr>
    </w:p>
    <w:p w14:paraId="32A7951A">
      <w:pPr>
        <w:pStyle w:val="2"/>
        <w:bidi w:val="0"/>
        <w:rPr>
          <w:rFonts w:hint="eastAsia" w:ascii="楷体" w:hAnsi="楷体" w:eastAsia="楷体" w:cs="楷体"/>
          <w:sz w:val="24"/>
          <w:szCs w:val="24"/>
          <w:highlight w:val="none"/>
        </w:rPr>
      </w:pPr>
      <w:r>
        <w:rPr>
          <w:rFonts w:hint="eastAsia" w:ascii="楷体" w:hAnsi="楷体" w:eastAsia="楷体" w:cs="楷体"/>
          <w:sz w:val="24"/>
          <w:szCs w:val="24"/>
          <w:highlight w:val="none"/>
          <w:lang w:val="en-US" w:eastAsia="zh-CN"/>
        </w:rPr>
        <w:t>5.</w:t>
      </w:r>
      <w:r>
        <w:rPr>
          <w:rFonts w:hint="eastAsia" w:ascii="楷体" w:hAnsi="楷体" w:eastAsia="楷体" w:cs="楷体"/>
          <w:sz w:val="24"/>
          <w:szCs w:val="24"/>
          <w:highlight w:val="none"/>
        </w:rPr>
        <w:t>物业管理服务人员需求</w:t>
      </w:r>
    </w:p>
    <w:tbl>
      <w:tblPr>
        <w:tblStyle w:val="10"/>
        <w:tblW w:w="913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44"/>
        <w:gridCol w:w="1694"/>
        <w:gridCol w:w="3979"/>
        <w:gridCol w:w="1821"/>
      </w:tblGrid>
      <w:tr w14:paraId="57E61E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0" w:hRule="atLeast"/>
        </w:trPr>
        <w:tc>
          <w:tcPr>
            <w:tcW w:w="1644" w:type="dxa"/>
            <w:vAlign w:val="top"/>
          </w:tcPr>
          <w:p w14:paraId="1679BB0C">
            <w:pPr>
              <w:pStyle w:val="9"/>
              <w:spacing w:before="222" w:line="222" w:lineRule="auto"/>
              <w:jc w:val="center"/>
              <w:rPr>
                <w:rFonts w:hint="eastAsia" w:ascii="楷体" w:hAnsi="楷体" w:eastAsia="楷体" w:cs="楷体"/>
                <w:sz w:val="24"/>
                <w:szCs w:val="24"/>
              </w:rPr>
            </w:pPr>
            <w:r>
              <w:rPr>
                <w:rFonts w:hint="eastAsia" w:ascii="楷体" w:hAnsi="楷体" w:eastAsia="楷体" w:cs="楷体"/>
                <w:spacing w:val="-11"/>
                <w:sz w:val="24"/>
                <w:szCs w:val="24"/>
              </w:rPr>
              <w:t>岗位设置</w:t>
            </w:r>
          </w:p>
        </w:tc>
        <w:tc>
          <w:tcPr>
            <w:tcW w:w="1694" w:type="dxa"/>
            <w:vAlign w:val="top"/>
          </w:tcPr>
          <w:p w14:paraId="26EF02BB">
            <w:pPr>
              <w:pStyle w:val="9"/>
              <w:spacing w:before="221" w:line="224" w:lineRule="auto"/>
              <w:ind w:left="127"/>
              <w:jc w:val="center"/>
              <w:rPr>
                <w:rFonts w:hint="eastAsia" w:ascii="楷体" w:hAnsi="楷体" w:eastAsia="楷体" w:cs="楷体"/>
                <w:sz w:val="24"/>
                <w:szCs w:val="24"/>
              </w:rPr>
            </w:pPr>
            <w:r>
              <w:rPr>
                <w:rFonts w:hint="eastAsia" w:ascii="楷体" w:hAnsi="楷体" w:eastAsia="楷体" w:cs="楷体"/>
                <w:spacing w:val="-10"/>
                <w:sz w:val="24"/>
                <w:szCs w:val="24"/>
                <w:lang w:val="en-US" w:eastAsia="zh-CN"/>
              </w:rPr>
              <w:t>在岗</w:t>
            </w:r>
            <w:r>
              <w:rPr>
                <w:rFonts w:hint="eastAsia" w:ascii="楷体" w:hAnsi="楷体" w:eastAsia="楷体" w:cs="楷体"/>
                <w:spacing w:val="-10"/>
                <w:sz w:val="24"/>
                <w:szCs w:val="24"/>
              </w:rPr>
              <w:t>人数</w:t>
            </w:r>
          </w:p>
        </w:tc>
        <w:tc>
          <w:tcPr>
            <w:tcW w:w="3979" w:type="dxa"/>
            <w:vAlign w:val="top"/>
          </w:tcPr>
          <w:p w14:paraId="103F46DA">
            <w:pPr>
              <w:pStyle w:val="9"/>
              <w:spacing w:before="222" w:line="221" w:lineRule="auto"/>
              <w:jc w:val="center"/>
              <w:rPr>
                <w:rFonts w:hint="eastAsia" w:ascii="楷体" w:hAnsi="楷体" w:eastAsia="楷体" w:cs="楷体"/>
                <w:sz w:val="24"/>
                <w:szCs w:val="24"/>
              </w:rPr>
            </w:pPr>
            <w:r>
              <w:rPr>
                <w:rFonts w:hint="eastAsia" w:ascii="楷体" w:hAnsi="楷体" w:eastAsia="楷体" w:cs="楷体"/>
                <w:spacing w:val="-4"/>
                <w:sz w:val="24"/>
                <w:szCs w:val="24"/>
              </w:rPr>
              <w:t>人员分配情况</w:t>
            </w:r>
          </w:p>
        </w:tc>
        <w:tc>
          <w:tcPr>
            <w:tcW w:w="1821" w:type="dxa"/>
            <w:vAlign w:val="top"/>
          </w:tcPr>
          <w:p w14:paraId="2902B4C6">
            <w:pPr>
              <w:pStyle w:val="9"/>
              <w:spacing w:before="222" w:line="221" w:lineRule="auto"/>
              <w:jc w:val="center"/>
              <w:rPr>
                <w:rFonts w:hint="default" w:ascii="楷体" w:hAnsi="楷体" w:eastAsia="楷体" w:cs="楷体"/>
                <w:spacing w:val="-4"/>
                <w:sz w:val="24"/>
                <w:szCs w:val="24"/>
                <w:lang w:val="en-US" w:eastAsia="zh-CN"/>
              </w:rPr>
            </w:pPr>
            <w:r>
              <w:rPr>
                <w:rFonts w:hint="eastAsia" w:ascii="楷体" w:hAnsi="楷体" w:eastAsia="楷体" w:cs="楷体"/>
                <w:spacing w:val="-4"/>
                <w:sz w:val="24"/>
                <w:szCs w:val="24"/>
                <w:lang w:val="en-US" w:eastAsia="zh-CN"/>
              </w:rPr>
              <w:t>上岗资格要求</w:t>
            </w:r>
          </w:p>
        </w:tc>
      </w:tr>
      <w:tr w14:paraId="43311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6" w:hRule="atLeast"/>
        </w:trPr>
        <w:tc>
          <w:tcPr>
            <w:tcW w:w="1644" w:type="dxa"/>
            <w:vAlign w:val="top"/>
          </w:tcPr>
          <w:p w14:paraId="0A5DFF68">
            <w:pPr>
              <w:pStyle w:val="9"/>
              <w:spacing w:before="91" w:line="234" w:lineRule="auto"/>
              <w:jc w:val="center"/>
              <w:rPr>
                <w:rFonts w:hint="eastAsia" w:ascii="楷体" w:hAnsi="楷体" w:eastAsia="楷体" w:cs="楷体"/>
                <w:sz w:val="24"/>
                <w:szCs w:val="24"/>
              </w:rPr>
            </w:pPr>
            <w:r>
              <w:rPr>
                <w:rFonts w:hint="eastAsia" w:ascii="楷体" w:hAnsi="楷体" w:eastAsia="楷体" w:cs="楷体"/>
                <w:spacing w:val="-8"/>
                <w:sz w:val="24"/>
                <w:szCs w:val="24"/>
              </w:rPr>
              <w:t>经理</w:t>
            </w:r>
          </w:p>
        </w:tc>
        <w:tc>
          <w:tcPr>
            <w:tcW w:w="1694" w:type="dxa"/>
            <w:vAlign w:val="top"/>
          </w:tcPr>
          <w:p w14:paraId="65D1BF23">
            <w:pPr>
              <w:pStyle w:val="9"/>
              <w:spacing w:before="91" w:line="227" w:lineRule="auto"/>
              <w:jc w:val="center"/>
              <w:rPr>
                <w:rFonts w:hint="eastAsia" w:ascii="楷体" w:hAnsi="楷体" w:eastAsia="楷体" w:cs="楷体"/>
                <w:sz w:val="24"/>
                <w:szCs w:val="24"/>
              </w:rPr>
            </w:pPr>
            <w:r>
              <w:rPr>
                <w:rFonts w:hint="eastAsia" w:ascii="楷体" w:hAnsi="楷体" w:eastAsia="楷体" w:cs="楷体"/>
                <w:spacing w:val="-16"/>
                <w:sz w:val="24"/>
                <w:szCs w:val="24"/>
              </w:rPr>
              <w:t>1</w:t>
            </w:r>
            <w:r>
              <w:rPr>
                <w:rFonts w:hint="eastAsia" w:ascii="楷体" w:hAnsi="楷体" w:eastAsia="楷体" w:cs="楷体"/>
                <w:spacing w:val="-46"/>
                <w:sz w:val="24"/>
                <w:szCs w:val="24"/>
              </w:rPr>
              <w:t xml:space="preserve"> </w:t>
            </w:r>
            <w:r>
              <w:rPr>
                <w:rFonts w:hint="eastAsia" w:ascii="楷体" w:hAnsi="楷体" w:eastAsia="楷体" w:cs="楷体"/>
                <w:spacing w:val="-16"/>
                <w:sz w:val="24"/>
                <w:szCs w:val="24"/>
              </w:rPr>
              <w:t>人</w:t>
            </w:r>
          </w:p>
        </w:tc>
        <w:tc>
          <w:tcPr>
            <w:tcW w:w="3979" w:type="dxa"/>
            <w:vAlign w:val="top"/>
          </w:tcPr>
          <w:p w14:paraId="7BCF6424">
            <w:pPr>
              <w:pStyle w:val="9"/>
              <w:spacing w:before="91" w:line="221" w:lineRule="auto"/>
              <w:jc w:val="left"/>
              <w:rPr>
                <w:rFonts w:hint="eastAsia" w:ascii="楷体" w:hAnsi="楷体" w:eastAsia="楷体" w:cs="楷体"/>
                <w:sz w:val="24"/>
                <w:szCs w:val="24"/>
              </w:rPr>
            </w:pPr>
            <w:r>
              <w:rPr>
                <w:rFonts w:hint="eastAsia" w:ascii="楷体" w:hAnsi="楷体" w:eastAsia="楷体" w:cs="楷体"/>
                <w:sz w:val="24"/>
                <w:szCs w:val="24"/>
              </w:rPr>
              <w:t>负责项目整体管理工作</w:t>
            </w:r>
          </w:p>
        </w:tc>
        <w:tc>
          <w:tcPr>
            <w:tcW w:w="1821" w:type="dxa"/>
            <w:vAlign w:val="top"/>
          </w:tcPr>
          <w:p w14:paraId="39381AAD">
            <w:pPr>
              <w:pStyle w:val="9"/>
              <w:spacing w:before="91" w:line="221" w:lineRule="auto"/>
              <w:jc w:val="left"/>
              <w:rPr>
                <w:rFonts w:hint="default" w:ascii="楷体" w:hAnsi="楷体" w:eastAsia="楷体" w:cs="楷体"/>
                <w:sz w:val="24"/>
                <w:szCs w:val="24"/>
                <w:lang w:val="en-US" w:eastAsia="zh-CN"/>
              </w:rPr>
            </w:pPr>
            <w:r>
              <w:rPr>
                <w:rFonts w:hint="eastAsia" w:ascii="楷体" w:hAnsi="楷体" w:eastAsia="楷体" w:cs="楷体"/>
                <w:sz w:val="24"/>
                <w:szCs w:val="24"/>
              </w:rPr>
              <w:t>大专以上学历</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具有物业经理资格证</w:t>
            </w:r>
          </w:p>
        </w:tc>
      </w:tr>
      <w:tr w14:paraId="16222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98" w:hRule="atLeast"/>
        </w:trPr>
        <w:tc>
          <w:tcPr>
            <w:tcW w:w="1644" w:type="dxa"/>
            <w:vAlign w:val="top"/>
          </w:tcPr>
          <w:p w14:paraId="7943910E">
            <w:pPr>
              <w:spacing w:line="273" w:lineRule="auto"/>
              <w:jc w:val="center"/>
              <w:rPr>
                <w:rFonts w:hint="eastAsia" w:ascii="楷体" w:hAnsi="楷体" w:eastAsia="楷体" w:cs="楷体"/>
                <w:sz w:val="24"/>
                <w:szCs w:val="24"/>
              </w:rPr>
            </w:pPr>
          </w:p>
          <w:p w14:paraId="5014EDD2">
            <w:pPr>
              <w:pStyle w:val="9"/>
              <w:spacing w:before="91" w:line="225" w:lineRule="auto"/>
              <w:jc w:val="center"/>
              <w:rPr>
                <w:rFonts w:hint="eastAsia" w:ascii="楷体" w:hAnsi="楷体" w:eastAsia="楷体" w:cs="楷体"/>
                <w:sz w:val="24"/>
                <w:szCs w:val="24"/>
              </w:rPr>
            </w:pPr>
            <w:r>
              <w:rPr>
                <w:rFonts w:hint="eastAsia" w:ascii="楷体" w:hAnsi="楷体" w:eastAsia="楷体" w:cs="楷体"/>
                <w:spacing w:val="-7"/>
                <w:sz w:val="24"/>
                <w:szCs w:val="24"/>
              </w:rPr>
              <w:t>副经理</w:t>
            </w:r>
          </w:p>
        </w:tc>
        <w:tc>
          <w:tcPr>
            <w:tcW w:w="1694" w:type="dxa"/>
            <w:vAlign w:val="top"/>
          </w:tcPr>
          <w:p w14:paraId="07A5F1E2">
            <w:pPr>
              <w:spacing w:line="273" w:lineRule="auto"/>
              <w:jc w:val="center"/>
              <w:rPr>
                <w:rFonts w:hint="eastAsia" w:ascii="楷体" w:hAnsi="楷体" w:eastAsia="楷体" w:cs="楷体"/>
                <w:sz w:val="24"/>
                <w:szCs w:val="24"/>
              </w:rPr>
            </w:pPr>
          </w:p>
          <w:p w14:paraId="24A15722">
            <w:pPr>
              <w:pStyle w:val="9"/>
              <w:spacing w:before="91" w:line="227" w:lineRule="auto"/>
              <w:jc w:val="center"/>
              <w:rPr>
                <w:rFonts w:hint="eastAsia" w:ascii="楷体" w:hAnsi="楷体" w:eastAsia="楷体" w:cs="楷体"/>
                <w:sz w:val="24"/>
                <w:szCs w:val="24"/>
              </w:rPr>
            </w:pPr>
            <w:r>
              <w:rPr>
                <w:rFonts w:hint="eastAsia" w:ascii="楷体" w:hAnsi="楷体" w:eastAsia="楷体" w:cs="楷体"/>
                <w:spacing w:val="-16"/>
                <w:sz w:val="24"/>
                <w:szCs w:val="24"/>
              </w:rPr>
              <w:t>1</w:t>
            </w:r>
            <w:r>
              <w:rPr>
                <w:rFonts w:hint="eastAsia" w:ascii="楷体" w:hAnsi="楷体" w:eastAsia="楷体" w:cs="楷体"/>
                <w:spacing w:val="-46"/>
                <w:sz w:val="24"/>
                <w:szCs w:val="24"/>
              </w:rPr>
              <w:t xml:space="preserve"> </w:t>
            </w:r>
            <w:r>
              <w:rPr>
                <w:rFonts w:hint="eastAsia" w:ascii="楷体" w:hAnsi="楷体" w:eastAsia="楷体" w:cs="楷体"/>
                <w:spacing w:val="-16"/>
                <w:sz w:val="24"/>
                <w:szCs w:val="24"/>
              </w:rPr>
              <w:t>人</w:t>
            </w:r>
          </w:p>
        </w:tc>
        <w:tc>
          <w:tcPr>
            <w:tcW w:w="3979" w:type="dxa"/>
            <w:vAlign w:val="top"/>
          </w:tcPr>
          <w:p w14:paraId="78B9D551">
            <w:pPr>
              <w:pStyle w:val="9"/>
              <w:spacing w:before="91" w:line="221" w:lineRule="auto"/>
              <w:jc w:val="left"/>
              <w:rPr>
                <w:rFonts w:hint="eastAsia" w:ascii="楷体" w:hAnsi="楷体" w:eastAsia="楷体" w:cs="楷体"/>
                <w:sz w:val="24"/>
                <w:szCs w:val="24"/>
              </w:rPr>
            </w:pPr>
            <w:r>
              <w:rPr>
                <w:rFonts w:hint="eastAsia" w:ascii="楷体" w:hAnsi="楷体" w:eastAsia="楷体" w:cs="楷体"/>
                <w:sz w:val="24"/>
                <w:szCs w:val="24"/>
              </w:rPr>
              <w:t>协助经理抓好工作</w:t>
            </w:r>
          </w:p>
        </w:tc>
        <w:tc>
          <w:tcPr>
            <w:tcW w:w="1821" w:type="dxa"/>
            <w:vAlign w:val="top"/>
          </w:tcPr>
          <w:p w14:paraId="6704CA70">
            <w:pPr>
              <w:pStyle w:val="9"/>
              <w:spacing w:before="91" w:line="221" w:lineRule="auto"/>
              <w:jc w:val="left"/>
              <w:rPr>
                <w:rFonts w:hint="eastAsia" w:ascii="楷体" w:hAnsi="楷体" w:eastAsia="楷体" w:cs="楷体"/>
                <w:sz w:val="24"/>
                <w:szCs w:val="24"/>
              </w:rPr>
            </w:pPr>
            <w:r>
              <w:rPr>
                <w:rFonts w:hint="eastAsia" w:ascii="楷体" w:hAnsi="楷体" w:eastAsia="楷体" w:cs="楷体"/>
                <w:sz w:val="24"/>
                <w:szCs w:val="24"/>
              </w:rPr>
              <w:t>大专以上学历</w:t>
            </w:r>
            <w:r>
              <w:rPr>
                <w:rFonts w:hint="eastAsia" w:ascii="楷体" w:hAnsi="楷体" w:eastAsia="楷体" w:cs="楷体"/>
                <w:sz w:val="24"/>
                <w:szCs w:val="24"/>
                <w:lang w:eastAsia="zh-CN"/>
              </w:rPr>
              <w:t>，</w:t>
            </w:r>
            <w:r>
              <w:rPr>
                <w:rFonts w:hint="eastAsia" w:ascii="楷体" w:hAnsi="楷体" w:eastAsia="楷体" w:cs="楷体"/>
                <w:sz w:val="24"/>
                <w:szCs w:val="24"/>
                <w:lang w:val="en-US" w:eastAsia="zh-CN"/>
              </w:rPr>
              <w:t>具有物业经理资格证</w:t>
            </w:r>
          </w:p>
        </w:tc>
      </w:tr>
      <w:tr w14:paraId="5EBCE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0" w:hRule="atLeast"/>
        </w:trPr>
        <w:tc>
          <w:tcPr>
            <w:tcW w:w="1644" w:type="dxa"/>
            <w:vAlign w:val="top"/>
          </w:tcPr>
          <w:p w14:paraId="25B3ACBB">
            <w:pPr>
              <w:pStyle w:val="9"/>
              <w:spacing w:before="283" w:line="224" w:lineRule="auto"/>
              <w:jc w:val="center"/>
              <w:rPr>
                <w:rFonts w:hint="eastAsia" w:ascii="楷体" w:hAnsi="楷体" w:eastAsia="楷体" w:cs="楷体"/>
                <w:sz w:val="24"/>
                <w:szCs w:val="24"/>
              </w:rPr>
            </w:pPr>
            <w:r>
              <w:rPr>
                <w:rFonts w:hint="eastAsia" w:ascii="楷体" w:hAnsi="楷体" w:eastAsia="楷体" w:cs="楷体"/>
                <w:spacing w:val="-3"/>
                <w:sz w:val="24"/>
                <w:szCs w:val="24"/>
              </w:rPr>
              <w:t>办公室杂勤</w:t>
            </w:r>
          </w:p>
        </w:tc>
        <w:tc>
          <w:tcPr>
            <w:tcW w:w="1694" w:type="dxa"/>
            <w:vAlign w:val="top"/>
          </w:tcPr>
          <w:p w14:paraId="0E4028CD">
            <w:pPr>
              <w:pStyle w:val="9"/>
              <w:spacing w:before="284" w:line="227" w:lineRule="auto"/>
              <w:jc w:val="center"/>
              <w:rPr>
                <w:rFonts w:hint="eastAsia" w:ascii="楷体" w:hAnsi="楷体" w:eastAsia="楷体" w:cs="楷体"/>
                <w:sz w:val="24"/>
                <w:szCs w:val="24"/>
              </w:rPr>
            </w:pPr>
            <w:r>
              <w:rPr>
                <w:rFonts w:hint="eastAsia" w:ascii="楷体" w:hAnsi="楷体" w:eastAsia="楷体" w:cs="楷体"/>
                <w:spacing w:val="-7"/>
                <w:sz w:val="24"/>
                <w:szCs w:val="24"/>
              </w:rPr>
              <w:t>2</w:t>
            </w:r>
            <w:r>
              <w:rPr>
                <w:rFonts w:hint="eastAsia" w:ascii="楷体" w:hAnsi="楷体" w:eastAsia="楷体" w:cs="楷体"/>
                <w:spacing w:val="-46"/>
                <w:sz w:val="24"/>
                <w:szCs w:val="24"/>
              </w:rPr>
              <w:t xml:space="preserve"> </w:t>
            </w:r>
            <w:r>
              <w:rPr>
                <w:rFonts w:hint="eastAsia" w:ascii="楷体" w:hAnsi="楷体" w:eastAsia="楷体" w:cs="楷体"/>
                <w:spacing w:val="-7"/>
                <w:sz w:val="24"/>
                <w:szCs w:val="24"/>
              </w:rPr>
              <w:t>人</w:t>
            </w:r>
          </w:p>
        </w:tc>
        <w:tc>
          <w:tcPr>
            <w:tcW w:w="3979" w:type="dxa"/>
            <w:vAlign w:val="top"/>
          </w:tcPr>
          <w:p w14:paraId="5E1942B3">
            <w:pPr>
              <w:pStyle w:val="9"/>
              <w:spacing w:before="84" w:line="235" w:lineRule="auto"/>
              <w:ind w:right="106"/>
              <w:jc w:val="left"/>
              <w:rPr>
                <w:rFonts w:hint="eastAsia" w:ascii="楷体" w:hAnsi="楷体" w:eastAsia="楷体" w:cs="楷体"/>
                <w:sz w:val="24"/>
                <w:szCs w:val="24"/>
              </w:rPr>
            </w:pPr>
            <w:r>
              <w:rPr>
                <w:rFonts w:hint="eastAsia" w:ascii="楷体" w:hAnsi="楷体" w:eastAsia="楷体" w:cs="楷体"/>
                <w:spacing w:val="-4"/>
                <w:sz w:val="24"/>
                <w:szCs w:val="24"/>
              </w:rPr>
              <w:t>负责分管各类岗位服务人员业务培训、调配工作。</w:t>
            </w:r>
          </w:p>
        </w:tc>
        <w:tc>
          <w:tcPr>
            <w:tcW w:w="1821" w:type="dxa"/>
            <w:vAlign w:val="top"/>
          </w:tcPr>
          <w:p w14:paraId="050597E2">
            <w:pPr>
              <w:pStyle w:val="9"/>
              <w:spacing w:before="84" w:line="235" w:lineRule="auto"/>
              <w:ind w:right="106"/>
              <w:jc w:val="left"/>
              <w:rPr>
                <w:rFonts w:hint="eastAsia" w:ascii="楷体" w:hAnsi="楷体" w:eastAsia="楷体" w:cs="楷体"/>
                <w:spacing w:val="-4"/>
                <w:sz w:val="24"/>
                <w:szCs w:val="24"/>
              </w:rPr>
            </w:pPr>
          </w:p>
        </w:tc>
      </w:tr>
      <w:tr w14:paraId="5D6D51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trPr>
        <w:tc>
          <w:tcPr>
            <w:tcW w:w="1644" w:type="dxa"/>
            <w:vAlign w:val="top"/>
          </w:tcPr>
          <w:p w14:paraId="531BFCCF">
            <w:pPr>
              <w:pStyle w:val="9"/>
              <w:spacing w:before="233" w:line="223" w:lineRule="auto"/>
              <w:jc w:val="center"/>
              <w:rPr>
                <w:rFonts w:hint="eastAsia" w:ascii="楷体" w:hAnsi="楷体" w:eastAsia="楷体" w:cs="楷体"/>
                <w:sz w:val="24"/>
                <w:szCs w:val="24"/>
              </w:rPr>
            </w:pPr>
            <w:r>
              <w:rPr>
                <w:rFonts w:hint="eastAsia" w:ascii="楷体" w:hAnsi="楷体" w:eastAsia="楷体" w:cs="楷体"/>
                <w:spacing w:val="-12"/>
                <w:sz w:val="24"/>
                <w:szCs w:val="24"/>
              </w:rPr>
              <w:t>会服</w:t>
            </w:r>
          </w:p>
        </w:tc>
        <w:tc>
          <w:tcPr>
            <w:tcW w:w="1694" w:type="dxa"/>
            <w:vAlign w:val="top"/>
          </w:tcPr>
          <w:p w14:paraId="16715EE8">
            <w:pPr>
              <w:pStyle w:val="9"/>
              <w:spacing w:before="234" w:line="227" w:lineRule="auto"/>
              <w:jc w:val="center"/>
              <w:rPr>
                <w:rFonts w:hint="eastAsia" w:ascii="楷体" w:hAnsi="楷体" w:eastAsia="楷体" w:cs="楷体"/>
                <w:sz w:val="24"/>
                <w:szCs w:val="24"/>
              </w:rPr>
            </w:pPr>
            <w:r>
              <w:rPr>
                <w:rFonts w:hint="eastAsia" w:ascii="楷体" w:hAnsi="楷体" w:eastAsia="楷体" w:cs="楷体"/>
                <w:spacing w:val="-7"/>
                <w:sz w:val="24"/>
                <w:szCs w:val="24"/>
              </w:rPr>
              <w:t>2</w:t>
            </w:r>
            <w:r>
              <w:rPr>
                <w:rFonts w:hint="eastAsia" w:ascii="楷体" w:hAnsi="楷体" w:eastAsia="楷体" w:cs="楷体"/>
                <w:spacing w:val="-46"/>
                <w:sz w:val="24"/>
                <w:szCs w:val="24"/>
              </w:rPr>
              <w:t xml:space="preserve"> </w:t>
            </w:r>
            <w:r>
              <w:rPr>
                <w:rFonts w:hint="eastAsia" w:ascii="楷体" w:hAnsi="楷体" w:eastAsia="楷体" w:cs="楷体"/>
                <w:spacing w:val="-7"/>
                <w:sz w:val="24"/>
                <w:szCs w:val="24"/>
              </w:rPr>
              <w:t>人</w:t>
            </w:r>
          </w:p>
        </w:tc>
        <w:tc>
          <w:tcPr>
            <w:tcW w:w="3979" w:type="dxa"/>
            <w:vAlign w:val="top"/>
          </w:tcPr>
          <w:p w14:paraId="54C842FB">
            <w:pPr>
              <w:pStyle w:val="9"/>
              <w:spacing w:before="233" w:line="221" w:lineRule="auto"/>
              <w:jc w:val="left"/>
              <w:rPr>
                <w:rFonts w:hint="eastAsia" w:ascii="楷体" w:hAnsi="楷体" w:eastAsia="楷体" w:cs="楷体"/>
                <w:sz w:val="24"/>
                <w:szCs w:val="24"/>
              </w:rPr>
            </w:pPr>
            <w:r>
              <w:rPr>
                <w:rFonts w:hint="eastAsia" w:ascii="楷体" w:hAnsi="楷体" w:eastAsia="楷体" w:cs="楷体"/>
                <w:spacing w:val="-1"/>
                <w:sz w:val="24"/>
                <w:szCs w:val="24"/>
              </w:rPr>
              <w:t>负责</w:t>
            </w:r>
            <w:r>
              <w:rPr>
                <w:rFonts w:hint="eastAsia" w:ascii="楷体" w:hAnsi="楷体" w:eastAsia="楷体" w:cs="楷体"/>
                <w:spacing w:val="-1"/>
                <w:sz w:val="24"/>
                <w:szCs w:val="24"/>
                <w:lang w:val="en-US" w:eastAsia="zh-CN"/>
              </w:rPr>
              <w:t>街道办</w:t>
            </w:r>
            <w:r>
              <w:rPr>
                <w:rFonts w:hint="eastAsia" w:ascii="楷体" w:hAnsi="楷体" w:eastAsia="楷体" w:cs="楷体"/>
                <w:spacing w:val="-1"/>
                <w:sz w:val="24"/>
                <w:szCs w:val="24"/>
              </w:rPr>
              <w:t>会议服务工作</w:t>
            </w:r>
          </w:p>
        </w:tc>
        <w:tc>
          <w:tcPr>
            <w:tcW w:w="1821" w:type="dxa"/>
            <w:vAlign w:val="top"/>
          </w:tcPr>
          <w:p w14:paraId="5F175ADC">
            <w:pPr>
              <w:pStyle w:val="9"/>
              <w:spacing w:before="233" w:line="221" w:lineRule="auto"/>
              <w:jc w:val="left"/>
              <w:rPr>
                <w:rFonts w:hint="eastAsia" w:ascii="楷体" w:hAnsi="楷体" w:eastAsia="楷体" w:cs="楷体"/>
                <w:spacing w:val="-1"/>
                <w:sz w:val="24"/>
                <w:szCs w:val="24"/>
              </w:rPr>
            </w:pPr>
          </w:p>
        </w:tc>
      </w:tr>
      <w:tr w14:paraId="335BC7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644" w:type="dxa"/>
            <w:vAlign w:val="top"/>
          </w:tcPr>
          <w:p w14:paraId="3C2A463D">
            <w:pPr>
              <w:pStyle w:val="9"/>
              <w:spacing w:before="228" w:line="223" w:lineRule="auto"/>
              <w:jc w:val="center"/>
              <w:rPr>
                <w:rFonts w:hint="eastAsia" w:ascii="楷体" w:hAnsi="楷体" w:eastAsia="楷体" w:cs="楷体"/>
                <w:sz w:val="24"/>
                <w:szCs w:val="24"/>
              </w:rPr>
            </w:pPr>
            <w:r>
              <w:rPr>
                <w:rFonts w:hint="eastAsia" w:ascii="楷体" w:hAnsi="楷体" w:eastAsia="楷体" w:cs="楷体"/>
                <w:spacing w:val="-10"/>
                <w:sz w:val="24"/>
                <w:szCs w:val="24"/>
              </w:rPr>
              <w:t>库管</w:t>
            </w:r>
          </w:p>
        </w:tc>
        <w:tc>
          <w:tcPr>
            <w:tcW w:w="1694" w:type="dxa"/>
            <w:vAlign w:val="top"/>
          </w:tcPr>
          <w:p w14:paraId="0DB90F8D">
            <w:pPr>
              <w:pStyle w:val="9"/>
              <w:spacing w:before="228" w:line="227" w:lineRule="auto"/>
              <w:jc w:val="center"/>
              <w:rPr>
                <w:rFonts w:hint="eastAsia" w:ascii="楷体" w:hAnsi="楷体" w:eastAsia="楷体" w:cs="楷体"/>
                <w:sz w:val="24"/>
                <w:szCs w:val="24"/>
              </w:rPr>
            </w:pPr>
            <w:r>
              <w:rPr>
                <w:rFonts w:hint="eastAsia" w:ascii="楷体" w:hAnsi="楷体" w:eastAsia="楷体" w:cs="楷体"/>
                <w:spacing w:val="-16"/>
                <w:sz w:val="24"/>
                <w:szCs w:val="24"/>
              </w:rPr>
              <w:t>1</w:t>
            </w:r>
            <w:r>
              <w:rPr>
                <w:rFonts w:hint="eastAsia" w:ascii="楷体" w:hAnsi="楷体" w:eastAsia="楷体" w:cs="楷体"/>
                <w:spacing w:val="-46"/>
                <w:sz w:val="24"/>
                <w:szCs w:val="24"/>
              </w:rPr>
              <w:t xml:space="preserve"> </w:t>
            </w:r>
            <w:r>
              <w:rPr>
                <w:rFonts w:hint="eastAsia" w:ascii="楷体" w:hAnsi="楷体" w:eastAsia="楷体" w:cs="楷体"/>
                <w:spacing w:val="-16"/>
                <w:sz w:val="24"/>
                <w:szCs w:val="24"/>
              </w:rPr>
              <w:t>人</w:t>
            </w:r>
          </w:p>
        </w:tc>
        <w:tc>
          <w:tcPr>
            <w:tcW w:w="3979" w:type="dxa"/>
            <w:vAlign w:val="top"/>
          </w:tcPr>
          <w:p w14:paraId="15E2C77B">
            <w:pPr>
              <w:pStyle w:val="9"/>
              <w:spacing w:before="228" w:line="220" w:lineRule="auto"/>
              <w:jc w:val="left"/>
              <w:rPr>
                <w:rFonts w:hint="eastAsia" w:ascii="楷体" w:hAnsi="楷体" w:eastAsia="楷体" w:cs="楷体"/>
                <w:sz w:val="24"/>
                <w:szCs w:val="24"/>
              </w:rPr>
            </w:pPr>
            <w:r>
              <w:rPr>
                <w:rFonts w:hint="eastAsia" w:ascii="楷体" w:hAnsi="楷体" w:eastAsia="楷体" w:cs="楷体"/>
                <w:spacing w:val="1"/>
                <w:sz w:val="24"/>
                <w:szCs w:val="24"/>
              </w:rPr>
              <w:t>负责日常存储、消耗管理工作</w:t>
            </w:r>
          </w:p>
        </w:tc>
        <w:tc>
          <w:tcPr>
            <w:tcW w:w="1821" w:type="dxa"/>
            <w:vAlign w:val="top"/>
          </w:tcPr>
          <w:p w14:paraId="415F9FFA">
            <w:pPr>
              <w:pStyle w:val="9"/>
              <w:spacing w:before="228" w:line="220" w:lineRule="auto"/>
              <w:jc w:val="left"/>
              <w:rPr>
                <w:rFonts w:hint="eastAsia" w:ascii="楷体" w:hAnsi="楷体" w:eastAsia="楷体" w:cs="楷体"/>
                <w:spacing w:val="1"/>
                <w:sz w:val="24"/>
                <w:szCs w:val="24"/>
              </w:rPr>
            </w:pPr>
          </w:p>
        </w:tc>
      </w:tr>
      <w:tr w14:paraId="27F62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2" w:hRule="atLeast"/>
        </w:trPr>
        <w:tc>
          <w:tcPr>
            <w:tcW w:w="1644" w:type="dxa"/>
            <w:vAlign w:val="top"/>
          </w:tcPr>
          <w:p w14:paraId="37AC08D1">
            <w:pPr>
              <w:pStyle w:val="9"/>
              <w:spacing w:before="229" w:line="223" w:lineRule="auto"/>
              <w:jc w:val="center"/>
              <w:rPr>
                <w:rFonts w:hint="eastAsia" w:ascii="楷体" w:hAnsi="楷体" w:eastAsia="楷体" w:cs="楷体"/>
                <w:sz w:val="24"/>
                <w:szCs w:val="24"/>
              </w:rPr>
            </w:pPr>
            <w:r>
              <w:rPr>
                <w:rFonts w:hint="eastAsia" w:ascii="楷体" w:hAnsi="楷体" w:eastAsia="楷体" w:cs="楷体"/>
                <w:spacing w:val="-19"/>
                <w:sz w:val="24"/>
                <w:szCs w:val="24"/>
              </w:rPr>
              <w:t>司机</w:t>
            </w:r>
          </w:p>
        </w:tc>
        <w:tc>
          <w:tcPr>
            <w:tcW w:w="1694" w:type="dxa"/>
            <w:vAlign w:val="top"/>
          </w:tcPr>
          <w:p w14:paraId="19712256">
            <w:pPr>
              <w:pStyle w:val="9"/>
              <w:spacing w:before="229" w:line="227" w:lineRule="auto"/>
              <w:jc w:val="center"/>
              <w:rPr>
                <w:rFonts w:hint="eastAsia" w:ascii="楷体" w:hAnsi="楷体" w:eastAsia="楷体" w:cs="楷体"/>
                <w:sz w:val="24"/>
                <w:szCs w:val="24"/>
              </w:rPr>
            </w:pPr>
            <w:r>
              <w:rPr>
                <w:rFonts w:hint="eastAsia" w:ascii="楷体" w:hAnsi="楷体" w:eastAsia="楷体" w:cs="楷体"/>
                <w:spacing w:val="-8"/>
                <w:sz w:val="24"/>
                <w:szCs w:val="24"/>
              </w:rPr>
              <w:t>3</w:t>
            </w:r>
            <w:r>
              <w:rPr>
                <w:rFonts w:hint="eastAsia" w:ascii="楷体" w:hAnsi="楷体" w:eastAsia="楷体" w:cs="楷体"/>
                <w:spacing w:val="-47"/>
                <w:sz w:val="24"/>
                <w:szCs w:val="24"/>
              </w:rPr>
              <w:t xml:space="preserve"> </w:t>
            </w:r>
            <w:r>
              <w:rPr>
                <w:rFonts w:hint="eastAsia" w:ascii="楷体" w:hAnsi="楷体" w:eastAsia="楷体" w:cs="楷体"/>
                <w:spacing w:val="-8"/>
                <w:sz w:val="24"/>
                <w:szCs w:val="24"/>
              </w:rPr>
              <w:t>人</w:t>
            </w:r>
          </w:p>
        </w:tc>
        <w:tc>
          <w:tcPr>
            <w:tcW w:w="3979" w:type="dxa"/>
            <w:vAlign w:val="top"/>
          </w:tcPr>
          <w:p w14:paraId="05747482">
            <w:pPr>
              <w:pStyle w:val="9"/>
              <w:spacing w:before="229" w:line="220" w:lineRule="auto"/>
              <w:jc w:val="left"/>
              <w:rPr>
                <w:rFonts w:hint="eastAsia" w:ascii="楷体" w:hAnsi="楷体" w:eastAsia="楷体" w:cs="楷体"/>
                <w:sz w:val="24"/>
                <w:szCs w:val="24"/>
              </w:rPr>
            </w:pPr>
            <w:r>
              <w:rPr>
                <w:rFonts w:hint="eastAsia" w:ascii="楷体" w:hAnsi="楷体" w:eastAsia="楷体" w:cs="楷体"/>
                <w:spacing w:val="-7"/>
                <w:sz w:val="24"/>
                <w:szCs w:val="24"/>
              </w:rPr>
              <w:t>负责</w:t>
            </w:r>
            <w:r>
              <w:rPr>
                <w:rFonts w:hint="eastAsia" w:ascii="楷体" w:hAnsi="楷体" w:eastAsia="楷体" w:cs="楷体"/>
                <w:spacing w:val="-49"/>
                <w:sz w:val="24"/>
                <w:szCs w:val="24"/>
              </w:rPr>
              <w:t xml:space="preserve"> </w:t>
            </w:r>
            <w:r>
              <w:rPr>
                <w:rFonts w:hint="eastAsia" w:ascii="楷体" w:hAnsi="楷体" w:eastAsia="楷体" w:cs="楷体"/>
                <w:spacing w:val="-7"/>
                <w:sz w:val="24"/>
                <w:szCs w:val="24"/>
              </w:rPr>
              <w:t>3台皮卡车驾驶工作</w:t>
            </w:r>
          </w:p>
        </w:tc>
        <w:tc>
          <w:tcPr>
            <w:tcW w:w="1821" w:type="dxa"/>
            <w:vAlign w:val="top"/>
          </w:tcPr>
          <w:p w14:paraId="5EB65627">
            <w:pPr>
              <w:pStyle w:val="9"/>
              <w:spacing w:before="229" w:line="220" w:lineRule="auto"/>
              <w:jc w:val="left"/>
              <w:rPr>
                <w:rFonts w:hint="default" w:ascii="楷体" w:hAnsi="楷体" w:eastAsia="楷体" w:cs="楷体"/>
                <w:spacing w:val="-7"/>
                <w:sz w:val="24"/>
                <w:szCs w:val="24"/>
                <w:lang w:val="en-US" w:eastAsia="zh-CN"/>
              </w:rPr>
            </w:pPr>
            <w:r>
              <w:rPr>
                <w:rFonts w:hint="eastAsia" w:ascii="楷体" w:hAnsi="楷体" w:eastAsia="楷体" w:cs="楷体"/>
                <w:spacing w:val="-7"/>
                <w:sz w:val="24"/>
                <w:szCs w:val="24"/>
                <w:lang w:val="en-US" w:eastAsia="zh-CN"/>
              </w:rPr>
              <w:t>具有机动车</w:t>
            </w:r>
            <w:r>
              <w:rPr>
                <w:rFonts w:hint="eastAsia" w:ascii="楷体" w:hAnsi="楷体" w:eastAsia="楷体" w:cs="楷体"/>
                <w:spacing w:val="-7"/>
                <w:sz w:val="24"/>
                <w:szCs w:val="24"/>
              </w:rPr>
              <w:t>驾驶证</w:t>
            </w:r>
            <w:r>
              <w:rPr>
                <w:rFonts w:hint="eastAsia" w:ascii="楷体" w:hAnsi="楷体" w:eastAsia="楷体" w:cs="楷体"/>
                <w:spacing w:val="-7"/>
                <w:sz w:val="24"/>
                <w:szCs w:val="24"/>
                <w:lang w:val="en-US" w:eastAsia="zh-CN"/>
              </w:rPr>
              <w:t>C1</w:t>
            </w:r>
          </w:p>
        </w:tc>
      </w:tr>
      <w:tr w14:paraId="2B49D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1644" w:type="dxa"/>
            <w:vAlign w:val="top"/>
          </w:tcPr>
          <w:p w14:paraId="31F67DB1">
            <w:pPr>
              <w:pStyle w:val="9"/>
              <w:tabs>
                <w:tab w:val="left" w:pos="534"/>
              </w:tabs>
              <w:spacing w:before="79" w:line="245" w:lineRule="auto"/>
              <w:ind w:right="58"/>
              <w:jc w:val="center"/>
              <w:rPr>
                <w:rFonts w:hint="eastAsia" w:ascii="楷体" w:hAnsi="楷体" w:eastAsia="楷体" w:cs="楷体"/>
                <w:sz w:val="24"/>
                <w:szCs w:val="24"/>
              </w:rPr>
            </w:pPr>
            <w:r>
              <w:rPr>
                <w:rFonts w:hint="eastAsia" w:ascii="楷体" w:hAnsi="楷体" w:eastAsia="楷体" w:cs="楷体"/>
                <w:spacing w:val="-4"/>
                <w:sz w:val="24"/>
                <w:szCs w:val="24"/>
              </w:rPr>
              <w:t>维修人员</w:t>
            </w:r>
            <w:r>
              <w:rPr>
                <w:rFonts w:hint="eastAsia" w:ascii="楷体" w:hAnsi="楷体" w:eastAsia="楷体" w:cs="楷体"/>
                <w:sz w:val="24"/>
                <w:szCs w:val="24"/>
              </w:rPr>
              <w:t xml:space="preserve">  </w:t>
            </w:r>
            <w:r>
              <w:rPr>
                <w:rFonts w:hint="eastAsia" w:ascii="楷体" w:hAnsi="楷体" w:eastAsia="楷体" w:cs="楷体"/>
                <w:spacing w:val="-6"/>
                <w:sz w:val="24"/>
                <w:szCs w:val="24"/>
              </w:rPr>
              <w:t>（包含司炉工、</w:t>
            </w:r>
            <w:r>
              <w:rPr>
                <w:rFonts w:hint="eastAsia" w:ascii="楷体" w:hAnsi="楷体" w:eastAsia="楷体" w:cs="楷体"/>
                <w:spacing w:val="-11"/>
                <w:sz w:val="24"/>
                <w:szCs w:val="24"/>
              </w:rPr>
              <w:t>电工等）</w:t>
            </w:r>
          </w:p>
        </w:tc>
        <w:tc>
          <w:tcPr>
            <w:tcW w:w="1694" w:type="dxa"/>
            <w:vAlign w:val="top"/>
          </w:tcPr>
          <w:p w14:paraId="1B06ED90">
            <w:pPr>
              <w:pStyle w:val="9"/>
              <w:spacing w:before="91" w:line="227" w:lineRule="auto"/>
              <w:jc w:val="both"/>
              <w:rPr>
                <w:rFonts w:hint="eastAsia" w:ascii="楷体" w:hAnsi="楷体" w:eastAsia="楷体" w:cs="楷体"/>
                <w:spacing w:val="-10"/>
                <w:sz w:val="24"/>
                <w:szCs w:val="24"/>
              </w:rPr>
            </w:pPr>
          </w:p>
          <w:p w14:paraId="6DEBEFFD">
            <w:pPr>
              <w:pStyle w:val="9"/>
              <w:spacing w:before="91" w:line="227" w:lineRule="auto"/>
              <w:ind w:firstLine="660" w:firstLineChars="300"/>
              <w:jc w:val="both"/>
              <w:rPr>
                <w:rFonts w:hint="eastAsia" w:ascii="楷体" w:hAnsi="楷体" w:eastAsia="楷体" w:cs="楷体"/>
                <w:sz w:val="24"/>
                <w:szCs w:val="24"/>
              </w:rPr>
            </w:pPr>
            <w:r>
              <w:rPr>
                <w:rFonts w:hint="eastAsia" w:ascii="楷体" w:hAnsi="楷体" w:eastAsia="楷体" w:cs="楷体"/>
                <w:spacing w:val="-10"/>
                <w:sz w:val="24"/>
                <w:szCs w:val="24"/>
              </w:rPr>
              <w:t>1</w:t>
            </w:r>
            <w:r>
              <w:rPr>
                <w:rFonts w:hint="eastAsia" w:ascii="楷体" w:hAnsi="楷体" w:eastAsia="楷体" w:cs="楷体"/>
                <w:spacing w:val="-10"/>
                <w:sz w:val="24"/>
                <w:szCs w:val="24"/>
                <w:lang w:val="en-US" w:eastAsia="zh-CN"/>
              </w:rPr>
              <w:t>6</w:t>
            </w:r>
            <w:r>
              <w:rPr>
                <w:rFonts w:hint="eastAsia" w:ascii="楷体" w:hAnsi="楷体" w:eastAsia="楷体" w:cs="楷体"/>
                <w:spacing w:val="-46"/>
                <w:sz w:val="24"/>
                <w:szCs w:val="24"/>
              </w:rPr>
              <w:t xml:space="preserve"> </w:t>
            </w:r>
            <w:r>
              <w:rPr>
                <w:rFonts w:hint="eastAsia" w:ascii="楷体" w:hAnsi="楷体" w:eastAsia="楷体" w:cs="楷体"/>
                <w:spacing w:val="-10"/>
                <w:sz w:val="24"/>
                <w:szCs w:val="24"/>
              </w:rPr>
              <w:t>人</w:t>
            </w:r>
          </w:p>
        </w:tc>
        <w:tc>
          <w:tcPr>
            <w:tcW w:w="3979" w:type="dxa"/>
            <w:vAlign w:val="top"/>
          </w:tcPr>
          <w:p w14:paraId="5355CB14">
            <w:pPr>
              <w:pStyle w:val="9"/>
              <w:spacing w:before="279" w:line="243" w:lineRule="auto"/>
              <w:ind w:right="202"/>
              <w:jc w:val="center"/>
              <w:rPr>
                <w:rFonts w:hint="eastAsia" w:ascii="楷体" w:hAnsi="楷体" w:eastAsia="楷体" w:cs="楷体"/>
                <w:sz w:val="24"/>
                <w:szCs w:val="24"/>
              </w:rPr>
            </w:pPr>
            <w:r>
              <w:rPr>
                <w:rFonts w:hint="eastAsia" w:ascii="楷体" w:hAnsi="楷体" w:eastAsia="楷体" w:cs="楷体"/>
                <w:spacing w:val="1"/>
                <w:sz w:val="24"/>
                <w:szCs w:val="24"/>
              </w:rPr>
              <w:t>负责项目区域内日常设施设备运行、维</w:t>
            </w:r>
            <w:r>
              <w:rPr>
                <w:rFonts w:hint="eastAsia" w:ascii="楷体" w:hAnsi="楷体" w:eastAsia="楷体" w:cs="楷体"/>
                <w:spacing w:val="12"/>
                <w:sz w:val="24"/>
                <w:szCs w:val="24"/>
              </w:rPr>
              <w:t xml:space="preserve"> </w:t>
            </w:r>
            <w:r>
              <w:rPr>
                <w:rFonts w:hint="eastAsia" w:ascii="楷体" w:hAnsi="楷体" w:eastAsia="楷体" w:cs="楷体"/>
                <w:spacing w:val="-1"/>
                <w:sz w:val="24"/>
                <w:szCs w:val="24"/>
              </w:rPr>
              <w:t>修、养护工作。</w:t>
            </w:r>
          </w:p>
        </w:tc>
        <w:tc>
          <w:tcPr>
            <w:tcW w:w="1821" w:type="dxa"/>
            <w:vAlign w:val="top"/>
          </w:tcPr>
          <w:p w14:paraId="0F54063D">
            <w:pPr>
              <w:pStyle w:val="9"/>
              <w:spacing w:before="91" w:line="221" w:lineRule="auto"/>
              <w:jc w:val="center"/>
              <w:rPr>
                <w:rFonts w:hint="eastAsia" w:ascii="楷体" w:hAnsi="楷体" w:eastAsia="楷体" w:cs="楷体"/>
                <w:spacing w:val="1"/>
                <w:sz w:val="24"/>
                <w:szCs w:val="24"/>
              </w:rPr>
            </w:pPr>
            <w:r>
              <w:rPr>
                <w:rFonts w:hint="eastAsia" w:ascii="楷体" w:hAnsi="楷体" w:eastAsia="楷体" w:cs="楷体"/>
                <w:sz w:val="24"/>
                <w:szCs w:val="24"/>
                <w:lang w:val="en-US" w:eastAsia="zh-CN"/>
              </w:rPr>
              <w:t>至少5人持有特种作业操作证（低压电工作业证）；2人持有效期内特种设备作业人员证书（工业锅炉司炉 G1）。</w:t>
            </w:r>
          </w:p>
        </w:tc>
      </w:tr>
      <w:tr w14:paraId="36A43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2" w:hRule="atLeast"/>
        </w:trPr>
        <w:tc>
          <w:tcPr>
            <w:tcW w:w="1644" w:type="dxa"/>
            <w:vAlign w:val="top"/>
          </w:tcPr>
          <w:p w14:paraId="3326644A">
            <w:pPr>
              <w:pStyle w:val="9"/>
              <w:spacing w:before="280" w:line="222" w:lineRule="auto"/>
              <w:jc w:val="center"/>
              <w:rPr>
                <w:rFonts w:hint="eastAsia" w:ascii="楷体" w:hAnsi="楷体" w:eastAsia="楷体" w:cs="楷体"/>
                <w:sz w:val="24"/>
                <w:szCs w:val="24"/>
              </w:rPr>
            </w:pPr>
            <w:r>
              <w:rPr>
                <w:rFonts w:hint="eastAsia" w:ascii="楷体" w:hAnsi="楷体" w:eastAsia="楷体" w:cs="楷体"/>
                <w:spacing w:val="-8"/>
                <w:sz w:val="24"/>
                <w:szCs w:val="24"/>
              </w:rPr>
              <w:t>保洁</w:t>
            </w:r>
          </w:p>
        </w:tc>
        <w:tc>
          <w:tcPr>
            <w:tcW w:w="1694" w:type="dxa"/>
            <w:vAlign w:val="top"/>
          </w:tcPr>
          <w:p w14:paraId="7EE92443">
            <w:pPr>
              <w:pStyle w:val="9"/>
              <w:spacing w:before="281" w:line="227" w:lineRule="auto"/>
              <w:jc w:val="center"/>
              <w:rPr>
                <w:rFonts w:hint="eastAsia" w:ascii="楷体" w:hAnsi="楷体" w:eastAsia="楷体" w:cs="楷体"/>
                <w:sz w:val="24"/>
                <w:szCs w:val="24"/>
              </w:rPr>
            </w:pPr>
            <w:r>
              <w:rPr>
                <w:rFonts w:hint="eastAsia" w:ascii="楷体" w:hAnsi="楷体" w:eastAsia="楷体" w:cs="楷体"/>
                <w:spacing w:val="-5"/>
                <w:sz w:val="24"/>
                <w:szCs w:val="24"/>
                <w:lang w:val="en-US" w:eastAsia="zh-CN"/>
              </w:rPr>
              <w:t>76</w:t>
            </w:r>
            <w:r>
              <w:rPr>
                <w:rFonts w:hint="eastAsia" w:ascii="楷体" w:hAnsi="楷体" w:eastAsia="楷体" w:cs="楷体"/>
                <w:spacing w:val="26"/>
                <w:sz w:val="24"/>
                <w:szCs w:val="24"/>
              </w:rPr>
              <w:t xml:space="preserve"> </w:t>
            </w:r>
            <w:r>
              <w:rPr>
                <w:rFonts w:hint="eastAsia" w:ascii="楷体" w:hAnsi="楷体" w:eastAsia="楷体" w:cs="楷体"/>
                <w:spacing w:val="-5"/>
                <w:sz w:val="24"/>
                <w:szCs w:val="24"/>
              </w:rPr>
              <w:t>人</w:t>
            </w:r>
          </w:p>
        </w:tc>
        <w:tc>
          <w:tcPr>
            <w:tcW w:w="3979" w:type="dxa"/>
            <w:vAlign w:val="top"/>
          </w:tcPr>
          <w:p w14:paraId="34C34238">
            <w:pPr>
              <w:pStyle w:val="9"/>
              <w:spacing w:before="81" w:line="235" w:lineRule="auto"/>
              <w:ind w:right="63"/>
              <w:jc w:val="left"/>
              <w:rPr>
                <w:rFonts w:hint="eastAsia" w:ascii="楷体" w:hAnsi="楷体" w:eastAsia="楷体" w:cs="楷体"/>
                <w:spacing w:val="2"/>
                <w:sz w:val="24"/>
                <w:szCs w:val="24"/>
                <w:lang w:val="en-US" w:eastAsia="zh-CN"/>
              </w:rPr>
            </w:pPr>
            <w:r>
              <w:rPr>
                <w:rFonts w:hint="eastAsia" w:ascii="楷体" w:hAnsi="楷体" w:eastAsia="楷体" w:cs="楷体"/>
                <w:spacing w:val="2"/>
                <w:sz w:val="24"/>
                <w:szCs w:val="24"/>
              </w:rPr>
              <w:t>神木市麟州街道办事处机关</w:t>
            </w:r>
            <w:r>
              <w:rPr>
                <w:rFonts w:hint="eastAsia" w:ascii="楷体" w:hAnsi="楷体" w:eastAsia="楷体" w:cs="楷体"/>
                <w:spacing w:val="2"/>
                <w:sz w:val="24"/>
                <w:szCs w:val="24"/>
                <w:lang w:val="en-US" w:eastAsia="zh-CN"/>
              </w:rPr>
              <w:t>8人</w:t>
            </w:r>
            <w:r>
              <w:rPr>
                <w:rFonts w:hint="eastAsia" w:ascii="楷体" w:hAnsi="楷体" w:eastAsia="楷体" w:cs="楷体"/>
                <w:spacing w:val="2"/>
                <w:sz w:val="24"/>
                <w:szCs w:val="24"/>
              </w:rPr>
              <w:t>、文化站</w:t>
            </w:r>
            <w:r>
              <w:rPr>
                <w:rFonts w:hint="eastAsia" w:ascii="楷体" w:hAnsi="楷体" w:eastAsia="楷体" w:cs="楷体"/>
                <w:spacing w:val="2"/>
                <w:sz w:val="24"/>
                <w:szCs w:val="24"/>
                <w:lang w:val="en-US" w:eastAsia="zh-CN"/>
              </w:rPr>
              <w:t>4人</w:t>
            </w:r>
            <w:r>
              <w:rPr>
                <w:rFonts w:hint="eastAsia" w:ascii="楷体" w:hAnsi="楷体" w:eastAsia="楷体" w:cs="楷体"/>
                <w:spacing w:val="2"/>
                <w:sz w:val="24"/>
                <w:szCs w:val="24"/>
              </w:rPr>
              <w:t>、钟楼社区</w:t>
            </w:r>
            <w:r>
              <w:rPr>
                <w:rFonts w:hint="eastAsia" w:ascii="楷体" w:hAnsi="楷体" w:eastAsia="楷体" w:cs="楷体"/>
                <w:spacing w:val="2"/>
                <w:sz w:val="24"/>
                <w:szCs w:val="24"/>
                <w:lang w:val="en-US" w:eastAsia="zh-CN"/>
              </w:rPr>
              <w:t>6人</w:t>
            </w:r>
            <w:r>
              <w:rPr>
                <w:rFonts w:hint="eastAsia" w:ascii="楷体" w:hAnsi="楷体" w:eastAsia="楷体" w:cs="楷体"/>
                <w:spacing w:val="2"/>
                <w:sz w:val="24"/>
                <w:szCs w:val="24"/>
              </w:rPr>
              <w:t>、育才路社区</w:t>
            </w:r>
            <w:r>
              <w:rPr>
                <w:rFonts w:hint="eastAsia" w:ascii="楷体" w:hAnsi="楷体" w:eastAsia="楷体" w:cs="楷体"/>
                <w:spacing w:val="2"/>
                <w:sz w:val="24"/>
                <w:szCs w:val="24"/>
                <w:lang w:val="en-US" w:eastAsia="zh-CN"/>
              </w:rPr>
              <w:t>4人</w:t>
            </w:r>
            <w:r>
              <w:rPr>
                <w:rFonts w:hint="eastAsia" w:ascii="楷体" w:hAnsi="楷体" w:eastAsia="楷体" w:cs="楷体"/>
                <w:spacing w:val="2"/>
                <w:sz w:val="24"/>
                <w:szCs w:val="24"/>
              </w:rPr>
              <w:t>、 惠民社区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、香山社区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、惠泉路社区</w:t>
            </w:r>
            <w:r>
              <w:rPr>
                <w:rFonts w:hint="eastAsia" w:ascii="楷体" w:hAnsi="楷体" w:eastAsia="楷体" w:cs="楷体"/>
                <w:spacing w:val="2"/>
                <w:sz w:val="24"/>
                <w:szCs w:val="24"/>
                <w:lang w:val="en-US" w:eastAsia="zh-CN"/>
              </w:rPr>
              <w:t>4人</w:t>
            </w:r>
            <w:r>
              <w:rPr>
                <w:rFonts w:hint="eastAsia" w:ascii="楷体" w:hAnsi="楷体" w:eastAsia="楷体" w:cs="楷体"/>
                <w:spacing w:val="2"/>
                <w:sz w:val="24"/>
                <w:szCs w:val="24"/>
              </w:rPr>
              <w:t>、大兴社区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、阳涯沟工作站</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、麟悦社区</w:t>
            </w:r>
            <w:r>
              <w:rPr>
                <w:rFonts w:hint="eastAsia" w:ascii="楷体" w:hAnsi="楷体" w:eastAsia="楷体" w:cs="楷体"/>
                <w:spacing w:val="2"/>
                <w:sz w:val="24"/>
                <w:szCs w:val="24"/>
                <w:lang w:val="en-US" w:eastAsia="zh-CN"/>
              </w:rPr>
              <w:t>4人</w:t>
            </w:r>
            <w:r>
              <w:rPr>
                <w:rFonts w:hint="eastAsia" w:ascii="楷体" w:hAnsi="楷体" w:eastAsia="楷体" w:cs="楷体"/>
                <w:spacing w:val="2"/>
                <w:sz w:val="24"/>
                <w:szCs w:val="24"/>
              </w:rPr>
              <w:t>、人民路社区</w:t>
            </w:r>
            <w:r>
              <w:rPr>
                <w:rFonts w:hint="eastAsia" w:ascii="楷体" w:hAnsi="楷体" w:eastAsia="楷体" w:cs="楷体"/>
                <w:spacing w:val="2"/>
                <w:sz w:val="24"/>
                <w:szCs w:val="24"/>
                <w:lang w:val="en-US" w:eastAsia="zh-CN"/>
              </w:rPr>
              <w:t>5人</w:t>
            </w:r>
            <w:r>
              <w:rPr>
                <w:rFonts w:hint="eastAsia" w:ascii="楷体" w:hAnsi="楷体" w:eastAsia="楷体" w:cs="楷体"/>
                <w:spacing w:val="2"/>
                <w:sz w:val="24"/>
                <w:szCs w:val="24"/>
              </w:rPr>
              <w:t>、神华路社区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、兴神路社区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、果园路社区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、继业路社区</w:t>
            </w:r>
            <w:r>
              <w:rPr>
                <w:rFonts w:hint="eastAsia" w:ascii="楷体" w:hAnsi="楷体" w:eastAsia="楷体" w:cs="楷体"/>
                <w:spacing w:val="2"/>
                <w:sz w:val="24"/>
                <w:szCs w:val="24"/>
                <w:lang w:val="en-US" w:eastAsia="zh-CN"/>
              </w:rPr>
              <w:t>6人</w:t>
            </w:r>
            <w:r>
              <w:rPr>
                <w:rFonts w:hint="eastAsia" w:ascii="楷体" w:hAnsi="楷体" w:eastAsia="楷体" w:cs="楷体"/>
                <w:spacing w:val="2"/>
                <w:sz w:val="24"/>
                <w:szCs w:val="24"/>
              </w:rPr>
              <w:t>、宏光社区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、康兴社区</w:t>
            </w:r>
            <w:r>
              <w:rPr>
                <w:rFonts w:hint="eastAsia" w:ascii="楷体" w:hAnsi="楷体" w:eastAsia="楷体" w:cs="楷体"/>
                <w:spacing w:val="2"/>
                <w:sz w:val="24"/>
                <w:szCs w:val="24"/>
                <w:lang w:val="en-US" w:eastAsia="zh-CN"/>
              </w:rPr>
              <w:t>4人</w:t>
            </w:r>
            <w:r>
              <w:rPr>
                <w:rFonts w:hint="eastAsia" w:ascii="楷体" w:hAnsi="楷体" w:eastAsia="楷体" w:cs="楷体"/>
                <w:spacing w:val="2"/>
                <w:sz w:val="24"/>
                <w:szCs w:val="24"/>
              </w:rPr>
              <w:t>、黄庄社区</w:t>
            </w:r>
            <w:r>
              <w:rPr>
                <w:rFonts w:hint="eastAsia" w:ascii="楷体" w:hAnsi="楷体" w:eastAsia="楷体" w:cs="楷体"/>
                <w:spacing w:val="2"/>
                <w:sz w:val="24"/>
                <w:szCs w:val="24"/>
                <w:lang w:val="en-US" w:eastAsia="zh-CN"/>
              </w:rPr>
              <w:t>5人</w:t>
            </w:r>
            <w:r>
              <w:rPr>
                <w:rFonts w:hint="eastAsia" w:ascii="楷体" w:hAnsi="楷体" w:eastAsia="楷体" w:cs="楷体"/>
                <w:spacing w:val="2"/>
                <w:sz w:val="24"/>
                <w:szCs w:val="24"/>
              </w:rPr>
              <w:t>、惠安社区</w:t>
            </w:r>
            <w:r>
              <w:rPr>
                <w:rFonts w:hint="eastAsia" w:ascii="楷体" w:hAnsi="楷体" w:eastAsia="楷体" w:cs="楷体"/>
                <w:spacing w:val="2"/>
                <w:sz w:val="24"/>
                <w:szCs w:val="24"/>
                <w:lang w:val="en-US" w:eastAsia="zh-CN"/>
              </w:rPr>
              <w:t>3人。</w:t>
            </w:r>
          </w:p>
          <w:p w14:paraId="558F9D07">
            <w:pPr>
              <w:pStyle w:val="9"/>
              <w:spacing w:before="81" w:line="235" w:lineRule="auto"/>
              <w:ind w:right="63"/>
              <w:jc w:val="left"/>
              <w:rPr>
                <w:rFonts w:hint="eastAsia" w:ascii="楷体" w:hAnsi="楷体" w:eastAsia="楷体" w:cs="楷体"/>
                <w:sz w:val="24"/>
                <w:szCs w:val="24"/>
                <w:lang w:val="en-US" w:eastAsia="zh-CN"/>
              </w:rPr>
            </w:pPr>
            <w:r>
              <w:rPr>
                <w:rFonts w:hint="eastAsia" w:ascii="楷体" w:hAnsi="楷体" w:eastAsia="楷体" w:cs="楷体"/>
                <w:spacing w:val="-1"/>
                <w:sz w:val="24"/>
                <w:szCs w:val="24"/>
              </w:rPr>
              <w:t>负责项目内办公室、公共区域、活动室、</w:t>
            </w:r>
            <w:r>
              <w:rPr>
                <w:rFonts w:hint="eastAsia" w:ascii="楷体" w:hAnsi="楷体" w:eastAsia="楷体" w:cs="楷体"/>
                <w:spacing w:val="2"/>
                <w:sz w:val="24"/>
                <w:szCs w:val="24"/>
              </w:rPr>
              <w:t>值班室、院落及附属设施保洁服务工作。</w:t>
            </w:r>
          </w:p>
        </w:tc>
        <w:tc>
          <w:tcPr>
            <w:tcW w:w="1821" w:type="dxa"/>
            <w:vAlign w:val="top"/>
          </w:tcPr>
          <w:p w14:paraId="3AF303DA">
            <w:pPr>
              <w:pStyle w:val="9"/>
              <w:spacing w:before="81" w:line="235" w:lineRule="auto"/>
              <w:ind w:right="63"/>
              <w:jc w:val="left"/>
              <w:rPr>
                <w:rFonts w:hint="eastAsia" w:ascii="楷体" w:hAnsi="楷体" w:eastAsia="楷体" w:cs="楷体"/>
                <w:spacing w:val="-1"/>
                <w:sz w:val="24"/>
                <w:szCs w:val="24"/>
              </w:rPr>
            </w:pPr>
          </w:p>
        </w:tc>
      </w:tr>
      <w:tr w14:paraId="397DB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1" w:hRule="atLeast"/>
        </w:trPr>
        <w:tc>
          <w:tcPr>
            <w:tcW w:w="1644" w:type="dxa"/>
            <w:vAlign w:val="top"/>
          </w:tcPr>
          <w:p w14:paraId="67ADA65C">
            <w:pPr>
              <w:spacing w:line="389" w:lineRule="auto"/>
              <w:jc w:val="center"/>
              <w:rPr>
                <w:rFonts w:hint="eastAsia" w:ascii="楷体" w:hAnsi="楷体" w:eastAsia="楷体" w:cs="楷体"/>
                <w:sz w:val="24"/>
                <w:szCs w:val="24"/>
              </w:rPr>
            </w:pPr>
          </w:p>
          <w:p w14:paraId="784E03C2">
            <w:pPr>
              <w:pStyle w:val="9"/>
              <w:spacing w:before="91" w:line="222" w:lineRule="auto"/>
              <w:jc w:val="center"/>
              <w:rPr>
                <w:rFonts w:hint="eastAsia" w:ascii="楷体" w:hAnsi="楷体" w:eastAsia="楷体" w:cs="楷体"/>
                <w:sz w:val="24"/>
                <w:szCs w:val="24"/>
              </w:rPr>
            </w:pPr>
            <w:r>
              <w:rPr>
                <w:rFonts w:hint="eastAsia" w:ascii="楷体" w:hAnsi="楷体" w:eastAsia="楷体" w:cs="楷体"/>
                <w:spacing w:val="-21"/>
                <w:sz w:val="24"/>
                <w:szCs w:val="24"/>
              </w:rPr>
              <w:t>门卫</w:t>
            </w:r>
          </w:p>
        </w:tc>
        <w:tc>
          <w:tcPr>
            <w:tcW w:w="1694" w:type="dxa"/>
            <w:vAlign w:val="top"/>
          </w:tcPr>
          <w:p w14:paraId="7BBBEA6D">
            <w:pPr>
              <w:spacing w:line="389" w:lineRule="auto"/>
              <w:jc w:val="center"/>
              <w:rPr>
                <w:rFonts w:hint="eastAsia" w:ascii="楷体" w:hAnsi="楷体" w:eastAsia="楷体" w:cs="楷体"/>
                <w:sz w:val="24"/>
                <w:szCs w:val="24"/>
              </w:rPr>
            </w:pPr>
          </w:p>
          <w:p w14:paraId="51D7BE64">
            <w:pPr>
              <w:pStyle w:val="9"/>
              <w:spacing w:before="91" w:line="227" w:lineRule="auto"/>
              <w:ind w:left="333"/>
              <w:jc w:val="center"/>
              <w:rPr>
                <w:rFonts w:hint="eastAsia" w:ascii="楷体" w:hAnsi="楷体" w:eastAsia="楷体" w:cs="楷体"/>
                <w:sz w:val="24"/>
                <w:szCs w:val="24"/>
              </w:rPr>
            </w:pPr>
            <w:r>
              <w:rPr>
                <w:rFonts w:hint="eastAsia" w:ascii="楷体" w:hAnsi="楷体" w:eastAsia="楷体" w:cs="楷体"/>
                <w:spacing w:val="-5"/>
                <w:sz w:val="24"/>
                <w:szCs w:val="24"/>
                <w:lang w:val="en-US" w:eastAsia="zh-CN"/>
              </w:rPr>
              <w:t>47</w:t>
            </w:r>
            <w:r>
              <w:rPr>
                <w:rFonts w:hint="eastAsia" w:ascii="楷体" w:hAnsi="楷体" w:eastAsia="楷体" w:cs="楷体"/>
                <w:spacing w:val="-5"/>
                <w:sz w:val="24"/>
                <w:szCs w:val="24"/>
              </w:rPr>
              <w:t>人</w:t>
            </w:r>
          </w:p>
        </w:tc>
        <w:tc>
          <w:tcPr>
            <w:tcW w:w="3979" w:type="dxa"/>
            <w:vAlign w:val="top"/>
          </w:tcPr>
          <w:p w14:paraId="7632E14A">
            <w:pPr>
              <w:pStyle w:val="9"/>
              <w:spacing w:before="81" w:line="223" w:lineRule="auto"/>
              <w:jc w:val="left"/>
              <w:rPr>
                <w:rFonts w:hint="eastAsia" w:ascii="楷体" w:hAnsi="楷体" w:eastAsia="楷体" w:cs="楷体"/>
                <w:spacing w:val="2"/>
                <w:sz w:val="24"/>
                <w:szCs w:val="24"/>
                <w:lang w:val="en-US" w:eastAsia="zh-CN"/>
              </w:rPr>
            </w:pPr>
            <w:r>
              <w:rPr>
                <w:rFonts w:hint="eastAsia" w:ascii="楷体" w:hAnsi="楷体" w:eastAsia="楷体" w:cs="楷体"/>
                <w:spacing w:val="2"/>
                <w:sz w:val="24"/>
                <w:szCs w:val="24"/>
              </w:rPr>
              <w:t>神木市麟州街道办事处机关</w:t>
            </w:r>
            <w:r>
              <w:rPr>
                <w:rFonts w:hint="eastAsia" w:ascii="楷体" w:hAnsi="楷体" w:eastAsia="楷体" w:cs="楷体"/>
                <w:spacing w:val="2"/>
                <w:sz w:val="24"/>
                <w:szCs w:val="24"/>
                <w:lang w:val="en-US" w:eastAsia="zh-CN"/>
              </w:rPr>
              <w:t>7人</w:t>
            </w:r>
            <w:r>
              <w:rPr>
                <w:rFonts w:hint="eastAsia" w:ascii="楷体" w:hAnsi="楷体" w:eastAsia="楷体" w:cs="楷体"/>
                <w:spacing w:val="2"/>
                <w:sz w:val="24"/>
                <w:szCs w:val="24"/>
              </w:rPr>
              <w:t>、文化站</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、钟楼社区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、育才路社区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 惠民社区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、香山社区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、惠泉路社区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、大兴社区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、阳涯沟工作站</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、麟悦社区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、人民路社区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、神华路社区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、兴神路社区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、果园路社区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、继业路社区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、宏光社区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、康兴社区</w:t>
            </w:r>
            <w:r>
              <w:rPr>
                <w:rFonts w:hint="eastAsia" w:ascii="楷体" w:hAnsi="楷体" w:eastAsia="楷体" w:cs="楷体"/>
                <w:spacing w:val="2"/>
                <w:sz w:val="24"/>
                <w:szCs w:val="24"/>
                <w:lang w:val="en-US" w:eastAsia="zh-CN"/>
              </w:rPr>
              <w:t>2人</w:t>
            </w:r>
            <w:r>
              <w:rPr>
                <w:rFonts w:hint="eastAsia" w:ascii="楷体" w:hAnsi="楷体" w:eastAsia="楷体" w:cs="楷体"/>
                <w:spacing w:val="2"/>
                <w:sz w:val="24"/>
                <w:szCs w:val="24"/>
              </w:rPr>
              <w:t>、黄庄社区</w:t>
            </w:r>
            <w:r>
              <w:rPr>
                <w:rFonts w:hint="eastAsia" w:ascii="楷体" w:hAnsi="楷体" w:eastAsia="楷体" w:cs="楷体"/>
                <w:spacing w:val="2"/>
                <w:sz w:val="24"/>
                <w:szCs w:val="24"/>
                <w:lang w:val="en-US" w:eastAsia="zh-CN"/>
              </w:rPr>
              <w:t>3人</w:t>
            </w:r>
            <w:r>
              <w:rPr>
                <w:rFonts w:hint="eastAsia" w:ascii="楷体" w:hAnsi="楷体" w:eastAsia="楷体" w:cs="楷体"/>
                <w:spacing w:val="2"/>
                <w:sz w:val="24"/>
                <w:szCs w:val="24"/>
              </w:rPr>
              <w:t>、惠安社区</w:t>
            </w:r>
            <w:r>
              <w:rPr>
                <w:rFonts w:hint="eastAsia" w:ascii="楷体" w:hAnsi="楷体" w:eastAsia="楷体" w:cs="楷体"/>
                <w:spacing w:val="2"/>
                <w:sz w:val="24"/>
                <w:szCs w:val="24"/>
                <w:lang w:val="en-US" w:eastAsia="zh-CN"/>
              </w:rPr>
              <w:t>2人。</w:t>
            </w:r>
          </w:p>
          <w:p w14:paraId="1D02C4AF">
            <w:pPr>
              <w:pStyle w:val="9"/>
              <w:spacing w:before="81" w:line="223" w:lineRule="auto"/>
              <w:jc w:val="left"/>
              <w:rPr>
                <w:rFonts w:hint="eastAsia" w:ascii="楷体" w:hAnsi="楷体" w:eastAsia="楷体" w:cs="楷体"/>
                <w:spacing w:val="2"/>
                <w:sz w:val="24"/>
                <w:szCs w:val="24"/>
                <w:lang w:val="en-US" w:eastAsia="zh-CN"/>
              </w:rPr>
            </w:pPr>
            <w:r>
              <w:rPr>
                <w:rFonts w:hint="eastAsia" w:ascii="楷体" w:hAnsi="楷体" w:eastAsia="楷体" w:cs="楷体"/>
                <w:spacing w:val="-4"/>
                <w:sz w:val="24"/>
                <w:szCs w:val="24"/>
              </w:rPr>
              <w:t>负责项目内公共区域、值班室及附属设施</w:t>
            </w:r>
            <w:r>
              <w:rPr>
                <w:rFonts w:hint="eastAsia" w:ascii="楷体" w:hAnsi="楷体" w:eastAsia="楷体" w:cs="楷体"/>
                <w:spacing w:val="-3"/>
                <w:sz w:val="24"/>
                <w:szCs w:val="24"/>
              </w:rPr>
              <w:t>的安全防范保卫工作及人员进出、车辆停放管</w:t>
            </w:r>
            <w:r>
              <w:rPr>
                <w:rFonts w:hint="eastAsia" w:ascii="楷体" w:hAnsi="楷体" w:eastAsia="楷体" w:cs="楷体"/>
                <w:spacing w:val="-2"/>
                <w:sz w:val="24"/>
                <w:szCs w:val="24"/>
              </w:rPr>
              <w:t>理服务工作。</w:t>
            </w:r>
          </w:p>
        </w:tc>
        <w:tc>
          <w:tcPr>
            <w:tcW w:w="1821" w:type="dxa"/>
            <w:vAlign w:val="top"/>
          </w:tcPr>
          <w:p w14:paraId="766E1E32">
            <w:pPr>
              <w:pStyle w:val="9"/>
              <w:spacing w:before="81" w:line="223" w:lineRule="auto"/>
              <w:jc w:val="left"/>
              <w:rPr>
                <w:rFonts w:hint="default" w:ascii="楷体" w:hAnsi="楷体" w:eastAsia="楷体" w:cs="楷体"/>
                <w:spacing w:val="-4"/>
                <w:sz w:val="24"/>
                <w:szCs w:val="24"/>
                <w:lang w:val="en-US" w:eastAsia="zh-CN"/>
              </w:rPr>
            </w:pPr>
            <w:r>
              <w:rPr>
                <w:rFonts w:hint="eastAsia" w:ascii="楷体" w:hAnsi="楷体" w:eastAsia="楷体" w:cs="楷体"/>
                <w:spacing w:val="-4"/>
                <w:sz w:val="24"/>
                <w:szCs w:val="24"/>
                <w:lang w:val="en-US" w:eastAsia="zh-CN"/>
              </w:rPr>
              <w:t>具有保安证或退伍军人证</w:t>
            </w:r>
          </w:p>
        </w:tc>
      </w:tr>
      <w:tr w14:paraId="73FA0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trPr>
        <w:tc>
          <w:tcPr>
            <w:tcW w:w="1644" w:type="dxa"/>
            <w:vAlign w:val="top"/>
          </w:tcPr>
          <w:p w14:paraId="42DB4FD0">
            <w:pPr>
              <w:pStyle w:val="9"/>
              <w:spacing w:before="276" w:line="223" w:lineRule="auto"/>
              <w:rPr>
                <w:rFonts w:hint="eastAsia" w:ascii="楷体" w:hAnsi="楷体" w:eastAsia="楷体" w:cs="楷体"/>
                <w:sz w:val="24"/>
                <w:szCs w:val="24"/>
              </w:rPr>
            </w:pPr>
            <w:r>
              <w:rPr>
                <w:rFonts w:hint="eastAsia" w:ascii="楷体" w:hAnsi="楷体" w:eastAsia="楷体" w:cs="楷体"/>
                <w:spacing w:val="-12"/>
                <w:sz w:val="24"/>
                <w:szCs w:val="24"/>
              </w:rPr>
              <w:t>合计</w:t>
            </w:r>
          </w:p>
        </w:tc>
        <w:tc>
          <w:tcPr>
            <w:tcW w:w="1694" w:type="dxa"/>
            <w:vAlign w:val="top"/>
          </w:tcPr>
          <w:p w14:paraId="2A12E06E">
            <w:pPr>
              <w:pStyle w:val="9"/>
              <w:spacing w:before="277" w:line="227" w:lineRule="auto"/>
              <w:ind w:left="276"/>
              <w:rPr>
                <w:rFonts w:hint="eastAsia" w:ascii="楷体" w:hAnsi="楷体" w:eastAsia="楷体" w:cs="楷体"/>
                <w:sz w:val="24"/>
                <w:szCs w:val="24"/>
              </w:rPr>
            </w:pPr>
            <w:r>
              <w:rPr>
                <w:rFonts w:hint="eastAsia" w:ascii="楷体" w:hAnsi="楷体" w:eastAsia="楷体" w:cs="楷体"/>
                <w:spacing w:val="-7"/>
                <w:sz w:val="24"/>
                <w:szCs w:val="24"/>
              </w:rPr>
              <w:t>1</w:t>
            </w:r>
            <w:r>
              <w:rPr>
                <w:rFonts w:hint="eastAsia" w:ascii="楷体" w:hAnsi="楷体" w:eastAsia="楷体" w:cs="楷体"/>
                <w:spacing w:val="-7"/>
                <w:sz w:val="24"/>
                <w:szCs w:val="24"/>
                <w:lang w:val="en-US" w:eastAsia="zh-CN"/>
              </w:rPr>
              <w:t>49</w:t>
            </w:r>
            <w:r>
              <w:rPr>
                <w:rFonts w:hint="eastAsia" w:ascii="楷体" w:hAnsi="楷体" w:eastAsia="楷体" w:cs="楷体"/>
                <w:spacing w:val="-7"/>
                <w:sz w:val="24"/>
                <w:szCs w:val="24"/>
              </w:rPr>
              <w:t>人</w:t>
            </w:r>
          </w:p>
        </w:tc>
        <w:tc>
          <w:tcPr>
            <w:tcW w:w="3979" w:type="dxa"/>
            <w:vAlign w:val="top"/>
          </w:tcPr>
          <w:p w14:paraId="5E5F889C">
            <w:pPr>
              <w:pStyle w:val="9"/>
              <w:spacing w:before="276" w:line="222" w:lineRule="auto"/>
              <w:ind w:left="1643"/>
              <w:rPr>
                <w:rFonts w:hint="eastAsia" w:ascii="楷体" w:hAnsi="楷体" w:eastAsia="楷体" w:cs="楷体"/>
                <w:sz w:val="24"/>
                <w:szCs w:val="24"/>
              </w:rPr>
            </w:pPr>
          </w:p>
        </w:tc>
        <w:tc>
          <w:tcPr>
            <w:tcW w:w="1821" w:type="dxa"/>
            <w:vAlign w:val="top"/>
          </w:tcPr>
          <w:p w14:paraId="7C61545D">
            <w:pPr>
              <w:pStyle w:val="9"/>
              <w:spacing w:before="276" w:line="222" w:lineRule="auto"/>
              <w:ind w:left="1643"/>
              <w:rPr>
                <w:rFonts w:hint="eastAsia" w:ascii="楷体" w:hAnsi="楷体" w:eastAsia="楷体" w:cs="楷体"/>
                <w:sz w:val="24"/>
                <w:szCs w:val="24"/>
              </w:rPr>
            </w:pPr>
          </w:p>
        </w:tc>
      </w:tr>
      <w:tr w14:paraId="5411C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4" w:hRule="atLeast"/>
        </w:trPr>
        <w:tc>
          <w:tcPr>
            <w:tcW w:w="9138" w:type="dxa"/>
            <w:gridSpan w:val="4"/>
            <w:vAlign w:val="top"/>
          </w:tcPr>
          <w:p w14:paraId="10108E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80" w:firstLineChars="200"/>
              <w:jc w:val="left"/>
              <w:textAlignment w:val="auto"/>
              <w:rPr>
                <w:rFonts w:hint="eastAsia" w:ascii="楷体" w:hAnsi="楷体" w:eastAsia="楷体" w:cs="楷体"/>
                <w:b w:val="0"/>
                <w:bCs/>
                <w:color w:val="auto"/>
                <w:kern w:val="0"/>
                <w:sz w:val="24"/>
                <w:szCs w:val="24"/>
                <w:highlight w:val="none"/>
                <w:lang w:val="en-US" w:eastAsia="zh-CN" w:bidi="ar-SA"/>
              </w:rPr>
            </w:pPr>
            <w:r>
              <w:rPr>
                <w:rFonts w:hint="eastAsia" w:ascii="楷体" w:hAnsi="楷体" w:eastAsia="楷体" w:cs="楷体"/>
                <w:b w:val="0"/>
                <w:bCs/>
                <w:color w:val="auto"/>
                <w:kern w:val="0"/>
                <w:sz w:val="24"/>
                <w:szCs w:val="24"/>
                <w:highlight w:val="none"/>
                <w:lang w:val="en-US" w:eastAsia="zh-CN" w:bidi="ar-SA"/>
              </w:rPr>
              <w:t>注：1、供应商应当按国家相关法律法规，合理确定服务人员工资标准、工作时间等。</w:t>
            </w:r>
          </w:p>
          <w:p w14:paraId="109277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80" w:firstLineChars="200"/>
              <w:jc w:val="left"/>
              <w:textAlignment w:val="auto"/>
              <w:rPr>
                <w:rFonts w:hint="eastAsia" w:ascii="楷体" w:hAnsi="楷体" w:eastAsia="楷体" w:cs="楷体"/>
                <w:sz w:val="24"/>
                <w:szCs w:val="24"/>
              </w:rPr>
            </w:pPr>
            <w:r>
              <w:rPr>
                <w:rFonts w:hint="eastAsia" w:ascii="楷体" w:hAnsi="楷体" w:eastAsia="楷体" w:cs="楷体"/>
                <w:b w:val="0"/>
                <w:bCs/>
                <w:color w:val="auto"/>
                <w:kern w:val="0"/>
                <w:sz w:val="24"/>
                <w:szCs w:val="24"/>
                <w:highlight w:val="none"/>
                <w:lang w:val="en-US" w:eastAsia="zh-CN" w:bidi="ar-SA"/>
              </w:rPr>
              <w:t xml:space="preserve"> 2、供应商应当自行为服务人员办理必需的保险，有关人员伤亡及第三者责任险均应当考虑在报价因素中。</w:t>
            </w:r>
          </w:p>
        </w:tc>
      </w:tr>
    </w:tbl>
    <w:p w14:paraId="34DCE7E2">
      <w:bookmarkStart w:id="3" w:name="_GoBack"/>
      <w:bookmarkEnd w:id="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Kingsoft UE">
    <w:altName w:val="XcGJSymbol"/>
    <w:panose1 w:val="00000000000000000000"/>
    <w:charset w:val="00"/>
    <w:family w:val="auto"/>
    <w:pitch w:val="default"/>
    <w:sig w:usb0="00000000" w:usb1="00000000" w:usb2="00000000" w:usb3="00000000" w:csb0="00000000" w:csb1="00000000"/>
  </w:font>
  <w:font w:name="XcGJSymbol">
    <w:panose1 w:val="02000500000000000000"/>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DD40CB1"/>
    <w:rsid w:val="4DD40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7">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table" w:styleId="6">
    <w:name w:val="Table Grid"/>
    <w:basedOn w:val="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8">
    <w:name w:val="表"/>
    <w:basedOn w:val="1"/>
    <w:qFormat/>
    <w:uiPriority w:val="0"/>
    <w:pPr>
      <w:ind w:firstLine="0" w:firstLineChars="0"/>
      <w:jc w:val="center"/>
    </w:pPr>
    <w:rPr>
      <w:sz w:val="24"/>
    </w:rPr>
  </w:style>
  <w:style w:type="paragraph" w:customStyle="1" w:styleId="9">
    <w:name w:val="Table Text"/>
    <w:basedOn w:val="1"/>
    <w:semiHidden/>
    <w:qFormat/>
    <w:uiPriority w:val="0"/>
    <w:rPr>
      <w:rFonts w:ascii="Arial" w:hAnsi="Arial" w:eastAsia="Arial" w:cs="Arial"/>
      <w:sz w:val="21"/>
      <w:szCs w:val="21"/>
      <w:lang w:val="en-US" w:eastAsia="en-US" w:bidi="ar-SA"/>
    </w:rPr>
  </w:style>
  <w:style w:type="table" w:customStyle="1" w:styleId="10">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2026-06-11T08:41:00Z</dcterms:created>
  <dc:creator>1210</dc:creator>
  <cp:lastModifiedBy>1210</cp:lastModifiedBy>
  <dcterms:modified xsi:type="dcterms:W3CDTF">2026-06-11T08:42:25Z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354C8F8F73A04B448FFCF2DF236AECA5_11</vt:lpwstr>
  </property>
  <property fmtid="{D5CDD505-2E9C-101B-9397-08002B2CF9AE}" pid="4" name="KSOTemplateDocerSaveRecord">
    <vt:lpwstr>eyJoZGlkIjoiYWIwNzE5YjcxMTk0OTEyODIxY2Y0NDcxNzViMWY5ZmMiLCJ1c2VySWQiOiIyNTk2MDgzMTQifQ==</vt:lpwstr>
  </property>
</Properties>
</file>