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版本号：ZCZX2026-CS-06420260617002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西安经开区采购企业年金受托机构服务项目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ZCZX2026-CS-064</w:t>
      </w:r>
      <w:r>
        <w:br/>
      </w:r>
      <w:r>
        <w:br/>
      </w:r>
      <w:r>
        <w:br/>
      </w:r>
    </w:p>
    <w:p>
      <w:pPr>
        <w:pStyle w:val="null3"/>
        <w:jc w:val="center"/>
        <w:outlineLvl w:val="2"/>
      </w:pPr>
      <w:r>
        <w:rPr>
          <w:rFonts w:ascii="仿宋_GB2312" w:hAnsi="仿宋_GB2312" w:cs="仿宋_GB2312" w:eastAsia="仿宋_GB2312"/>
          <w:sz w:val="28"/>
          <w:b/>
        </w:rPr>
        <w:t>西安经济技术开发区组织人事部</w:t>
      </w:r>
    </w:p>
    <w:p>
      <w:pPr>
        <w:pStyle w:val="null3"/>
        <w:jc w:val="center"/>
        <w:outlineLvl w:val="2"/>
      </w:pPr>
      <w:r>
        <w:rPr>
          <w:rFonts w:ascii="仿宋_GB2312" w:hAnsi="仿宋_GB2312" w:cs="仿宋_GB2312" w:eastAsia="仿宋_GB2312"/>
          <w:sz w:val="28"/>
          <w:b/>
        </w:rPr>
        <w:t>陕西众诚致信管理咨询有限公司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陕西众诚致信管理咨询有限公司</w:t>
      </w:r>
      <w:r>
        <w:rPr>
          <w:rFonts w:ascii="仿宋_GB2312" w:hAnsi="仿宋_GB2312" w:cs="仿宋_GB2312" w:eastAsia="仿宋_GB2312"/>
        </w:rPr>
        <w:t>（以下简称“代理机构”）受</w:t>
      </w:r>
      <w:r>
        <w:rPr>
          <w:rFonts w:ascii="仿宋_GB2312" w:hAnsi="仿宋_GB2312" w:cs="仿宋_GB2312" w:eastAsia="仿宋_GB2312"/>
        </w:rPr>
        <w:t>西安经济技术开发区组织人事部</w:t>
      </w:r>
      <w:r>
        <w:rPr>
          <w:rFonts w:ascii="仿宋_GB2312" w:hAnsi="仿宋_GB2312" w:cs="仿宋_GB2312" w:eastAsia="仿宋_GB2312"/>
        </w:rPr>
        <w:t>委托，拟对</w:t>
      </w:r>
      <w:r>
        <w:rPr>
          <w:rFonts w:ascii="仿宋_GB2312" w:hAnsi="仿宋_GB2312" w:cs="仿宋_GB2312" w:eastAsia="仿宋_GB2312"/>
        </w:rPr>
        <w:t>西安经开区采购企业年金受托机构服务项目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ZCZX2026-CS-064</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西安经开区采购企业年金受托机构服务项目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次竞争性磋商择优确定1家企业年金法人受托机构，供应商须提供已在人力资源和社会保障部正式备案、状态正常、可接收新增委托人的成熟企业年金集合计划。集合计划已固定配置合规账户管理人、托管人、不少于3家投资管理人，成交后无需重新选聘管理人，仅办理计划加入备案，由成交受托人统筹负责全流程年金运营、风控、投资监督、信息披露、待遇支付、审计配合等全部服务工作。</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应授权合法的人员参加磋商全过程：供应商应授权合法的人员参加磋商全过程，其中法定代表人（或负责人）直接参加磋商的，须出具法定代表人（或负责人）身份证，并与营业执照上信息一致。法定代表人（或负责人）授权代表参加磋商的，提供法定代表人委托授权书及被授权人的参保缴费证明（须赋可查询的验证编号或验证二维码）</w:t>
      </w:r>
    </w:p>
    <w:p>
      <w:pPr>
        <w:pStyle w:val="null3"/>
      </w:pPr>
      <w:r>
        <w:rPr>
          <w:rFonts w:ascii="仿宋_GB2312" w:hAnsi="仿宋_GB2312" w:cs="仿宋_GB2312" w:eastAsia="仿宋_GB2312"/>
        </w:rPr>
        <w:t>2、资质：具备人力资源和社会保障部核发的企业年金基金法人受托机构资格证书，投标截止日资质持续有效，无暂停、撤销、降级、限制业务等监管异常记录</w:t>
      </w:r>
    </w:p>
    <w:p>
      <w:pPr>
        <w:pStyle w:val="null3"/>
      </w:pPr>
      <w:r>
        <w:rPr>
          <w:rFonts w:ascii="仿宋_GB2312" w:hAnsi="仿宋_GB2312" w:cs="仿宋_GB2312" w:eastAsia="仿宋_GB2312"/>
        </w:rPr>
        <w:t>3、信用查询：未被列入“信用中国”失信被执行人、重大税收违法失信主体、政府采购严重违法失信名单；未被列入中国政府采购网、中国执行信息公开网失信记录</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西安经济技术开发区组织人事部</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西安经开区明光路166号凯瑞F座管委会办公楼1216室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029-86513715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陕西众诚致信管理咨询有限公司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西安曲江新区翠华南路1688号创意盒子13层04室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 xml:space="preserve"> 魏江南、吴芳超、雷高峰、张斌、孟凌</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029-89565998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西安经济技术开发区政府采购管理股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邓谷元</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029-86538460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采购包1：239,800.00元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60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代理服务费收费标准：固定金额¥26200。成交单位的代理服务费交纳信息 银行户名：陕西众诚致信管理咨询有限公司 开户银行：北京银行股份有限公司西安分行营业部 账 号：20000042729000032633420 联系人：李薇 联系电话：029-88565528</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西安经济技术开发区组织人事部</w:t>
      </w:r>
      <w:r>
        <w:rPr>
          <w:rFonts w:ascii="仿宋_GB2312" w:hAnsi="仿宋_GB2312" w:cs="仿宋_GB2312" w:eastAsia="仿宋_GB2312"/>
        </w:rPr>
        <w:t>和</w:t>
      </w:r>
      <w:r>
        <w:rPr>
          <w:rFonts w:ascii="仿宋_GB2312" w:hAnsi="仿宋_GB2312" w:cs="仿宋_GB2312" w:eastAsia="仿宋_GB2312"/>
        </w:rPr>
        <w:t>陕西众诚致信管理咨询有限公司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西安经济技术开发区组织人事部</w:t>
      </w:r>
      <w:r>
        <w:rPr>
          <w:rFonts w:ascii="仿宋_GB2312" w:hAnsi="仿宋_GB2312" w:cs="仿宋_GB2312" w:eastAsia="仿宋_GB2312"/>
        </w:rPr>
        <w:t>负责解释。除上述磋商文件内容，其他内容由</w:t>
      </w:r>
      <w:r>
        <w:rPr>
          <w:rFonts w:ascii="仿宋_GB2312" w:hAnsi="仿宋_GB2312" w:cs="仿宋_GB2312" w:eastAsia="仿宋_GB2312"/>
        </w:rPr>
        <w:t>陕西众诚致信管理咨询有限公司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西安经济技术开发区组织人事部</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陕西众诚致信管理咨询有限公司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陕西众诚致信管理咨询有限公司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陕西众诚致信管理咨询有限公司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陕西众诚致信管理咨询有限公司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联系人：魏江南、吴芳超</w:t>
      </w:r>
    </w:p>
    <w:p>
      <w:pPr>
        <w:pStyle w:val="null3"/>
      </w:pPr>
      <w:r>
        <w:rPr>
          <w:rFonts w:ascii="仿宋_GB2312" w:hAnsi="仿宋_GB2312" w:cs="仿宋_GB2312" w:eastAsia="仿宋_GB2312"/>
        </w:rPr>
        <w:t>联系电话：029-89565998</w:t>
      </w:r>
    </w:p>
    <w:p>
      <w:pPr>
        <w:pStyle w:val="null3"/>
      </w:pPr>
      <w:r>
        <w:rPr>
          <w:rFonts w:ascii="仿宋_GB2312" w:hAnsi="仿宋_GB2312" w:cs="仿宋_GB2312" w:eastAsia="仿宋_GB2312"/>
        </w:rPr>
        <w:t>地址：西安曲江新区翠华南路1688号创意盒子13层1304室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次竞争性磋商择优确定1家企业年金法人受托机构，供应商须提供已在人力资源和社会保障部正式备案、状态正常、可接收新增委托人的成熟企业年金集合计划。集合计划已固定配置合规账户管理人、托管人、不少于3家投资管理人，成交后无需重新选聘管理人，仅办理计划加入备案，由成交受托人统筹负责全流程年金运营、风控、投资监督、信息披露、待遇支付、审计配合等全部服务工作。</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239,800.00</w:t>
      </w:r>
    </w:p>
    <w:p>
      <w:pPr>
        <w:pStyle w:val="null3"/>
      </w:pPr>
      <w:r>
        <w:rPr>
          <w:rFonts w:ascii="仿宋_GB2312" w:hAnsi="仿宋_GB2312" w:cs="仿宋_GB2312" w:eastAsia="仿宋_GB2312"/>
        </w:rPr>
        <w:t>采购包最高限价（元）: 239,800.00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西安经开区采购企业年金受托机构服务项目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239,800.00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标的名称：西安经开区采购企业年金受托机构服务项目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rPr>
              <w:t>一、项目概况</w:t>
            </w:r>
          </w:p>
          <w:p>
            <w:pPr>
              <w:pStyle w:val="null3"/>
              <w:ind w:firstLine="400"/>
              <w:jc w:val="left"/>
            </w:pPr>
            <w:r>
              <w:rPr>
                <w:rFonts w:ascii="仿宋_GB2312" w:hAnsi="仿宋_GB2312" w:cs="仿宋_GB2312" w:eastAsia="仿宋_GB2312"/>
                <w:sz w:val="20"/>
              </w:rPr>
              <w:t>我单位现有参保职工</w:t>
            </w:r>
            <w:r>
              <w:rPr>
                <w:rFonts w:ascii="仿宋_GB2312" w:hAnsi="仿宋_GB2312" w:cs="仿宋_GB2312" w:eastAsia="仿宋_GB2312"/>
                <w:sz w:val="20"/>
              </w:rPr>
              <w:t>151 人，后续随人事变动动态调整。企业年金单位年缴费 160 万元，个人年缴费 80 万元，采用企业年金集合计划的运作模式。本次竞争性磋商择优确定1家企业年金法人受托机构，供应商须提供已在人力资源和社会保障部正式备案、状态正常、可接收新增委托人的成熟企业年金集合计划。集合计划已固定配置合规账户管理人、托管人、不少于</w:t>
            </w:r>
            <w:r>
              <w:rPr>
                <w:rFonts w:ascii="仿宋_GB2312" w:hAnsi="仿宋_GB2312" w:cs="仿宋_GB2312" w:eastAsia="仿宋_GB2312"/>
                <w:sz w:val="20"/>
              </w:rPr>
              <w:t>3家</w:t>
            </w:r>
            <w:r>
              <w:rPr>
                <w:rFonts w:ascii="仿宋_GB2312" w:hAnsi="仿宋_GB2312" w:cs="仿宋_GB2312" w:eastAsia="仿宋_GB2312"/>
                <w:sz w:val="20"/>
              </w:rPr>
              <w:t>投资管理人，成交后无需重新选聘管理人，仅办理计划加入备案，由成交受托人统筹负责全流程年金运营、风控、投资监督、信息披露、待遇支付、审计配合等全部服务工作。</w:t>
            </w:r>
          </w:p>
          <w:p>
            <w:pPr>
              <w:pStyle w:val="null3"/>
              <w:jc w:val="left"/>
            </w:pPr>
            <w:r>
              <w:rPr>
                <w:rFonts w:ascii="仿宋_GB2312" w:hAnsi="仿宋_GB2312" w:cs="仿宋_GB2312" w:eastAsia="仿宋_GB2312"/>
                <w:sz w:val="20"/>
              </w:rPr>
              <w:t>二、服务要求及内容</w:t>
            </w:r>
          </w:p>
          <w:p>
            <w:pPr>
              <w:pStyle w:val="null3"/>
              <w:jc w:val="both"/>
            </w:pPr>
            <w:r>
              <w:rPr>
                <w:rFonts w:ascii="仿宋_GB2312" w:hAnsi="仿宋_GB2312" w:cs="仿宋_GB2312" w:eastAsia="仿宋_GB2312"/>
                <w:sz w:val="20"/>
              </w:rPr>
              <w:t>（一）服务要求</w:t>
            </w:r>
          </w:p>
          <w:p>
            <w:pPr>
              <w:pStyle w:val="null3"/>
              <w:jc w:val="left"/>
            </w:pPr>
            <w:r>
              <w:rPr>
                <w:rFonts w:ascii="仿宋_GB2312" w:hAnsi="仿宋_GB2312" w:cs="仿宋_GB2312" w:eastAsia="仿宋_GB2312"/>
                <w:sz w:val="20"/>
              </w:rPr>
              <w:t>1. 供应商所用集合计划，须为人社部正式备案、公示有效、正常运营的成熟集合计划，可正常接收新增委托人，无暂停运作、整改、异常公示、风险警示等情形。</w:t>
            </w:r>
            <w:r>
              <w:rPr>
                <w:rFonts w:ascii="仿宋_GB2312" w:hAnsi="仿宋_GB2312" w:cs="仿宋_GB2312" w:eastAsia="仿宋_GB2312"/>
                <w:sz w:val="20"/>
              </w:rPr>
              <w:t>推荐的集合计划需与职业年金的运行情况尽量匹配。</w:t>
            </w:r>
          </w:p>
          <w:p>
            <w:pPr>
              <w:pStyle w:val="null3"/>
              <w:jc w:val="left"/>
            </w:pPr>
            <w:r>
              <w:rPr>
                <w:rFonts w:ascii="仿宋_GB2312" w:hAnsi="仿宋_GB2312" w:cs="仿宋_GB2312" w:eastAsia="仿宋_GB2312"/>
                <w:sz w:val="20"/>
              </w:rPr>
              <w:t>2. 集合计划管理人配置完整：固定包含受托人1家、账户管理人1家、托管人1家、投资管理人不少于</w:t>
            </w:r>
            <w:r>
              <w:rPr>
                <w:rFonts w:ascii="仿宋_GB2312" w:hAnsi="仿宋_GB2312" w:cs="仿宋_GB2312" w:eastAsia="仿宋_GB2312"/>
                <w:sz w:val="20"/>
              </w:rPr>
              <w:t>3家</w:t>
            </w:r>
            <w:r>
              <w:rPr>
                <w:rFonts w:ascii="仿宋_GB2312" w:hAnsi="仿宋_GB2312" w:cs="仿宋_GB2312" w:eastAsia="仿宋_GB2312"/>
                <w:sz w:val="20"/>
              </w:rPr>
              <w:t>，管理人资质齐全、状态有效。</w:t>
            </w:r>
          </w:p>
          <w:p>
            <w:pPr>
              <w:pStyle w:val="null3"/>
              <w:jc w:val="left"/>
            </w:pPr>
            <w:r>
              <w:rPr>
                <w:rFonts w:ascii="仿宋_GB2312" w:hAnsi="仿宋_GB2312" w:cs="仿宋_GB2312" w:eastAsia="仿宋_GB2312"/>
                <w:sz w:val="20"/>
              </w:rPr>
              <w:t>3. 严格落实监管隔离制度：集合计划内受托人与托管人、托管人与投资管理人不为同一机构，各机构高管及从业人员无相互兼职，无违规关联交易、利益输送情形。</w:t>
            </w:r>
          </w:p>
          <w:p>
            <w:pPr>
              <w:pStyle w:val="null3"/>
              <w:jc w:val="left"/>
            </w:pPr>
            <w:r>
              <w:rPr>
                <w:rFonts w:ascii="仿宋_GB2312" w:hAnsi="仿宋_GB2312" w:cs="仿宋_GB2312" w:eastAsia="仿宋_GB2312"/>
                <w:sz w:val="20"/>
              </w:rPr>
              <w:t>4. 禁止使用临时新设、未备案、已暂停、异常整改的集合计划投标，一经发现直接作废标处理。</w:t>
            </w:r>
          </w:p>
          <w:p>
            <w:pPr>
              <w:pStyle w:val="null3"/>
              <w:jc w:val="left"/>
            </w:pPr>
            <w:r>
              <w:rPr>
                <w:rFonts w:ascii="仿宋_GB2312" w:hAnsi="仿宋_GB2312" w:cs="仿宋_GB2312" w:eastAsia="仿宋_GB2312"/>
                <w:sz w:val="20"/>
              </w:rPr>
              <w:t>（二）服务内容</w:t>
            </w:r>
          </w:p>
          <w:p>
            <w:pPr>
              <w:pStyle w:val="null3"/>
              <w:jc w:val="left"/>
            </w:pPr>
            <w:r>
              <w:rPr>
                <w:rFonts w:ascii="仿宋_GB2312" w:hAnsi="仿宋_GB2312" w:cs="仿宋_GB2312" w:eastAsia="仿宋_GB2312"/>
                <w:sz w:val="20"/>
              </w:rPr>
              <w:t>1. 法人受托核心服务</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1）计划备案服务：全程负责采购人单位加入集合计划的备案、信息变更、年度报备等全部合规流程，确保年金计划合法合规存续，按时完成人社部门备案工作。</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2）管理人统筹监管：对集合计划固定的账户管理人、托管人、投资管理人实施常态化监督、月度监控、季度考核、年度评估，全程管控服务质量、合规运作、投资业绩、风险防控，发现问题及时督促整改、启动风险处置流程，并定期向采购单位提交专项报告。</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3）投资风控管理：严格执行集合计划标准化投资策略与资产配置规则，监督各投资管理人合规运作，严控投资比例红线与市场风险，定期开展风险研判、绩效分析，杜绝违规投资、超比例投资行为。</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4）缴费与账户管理：核对单位及职工月度/季度缴费明细，完成资金合规归集、划转；负责职工年金账户开立、封存、转移、合并、信息变更等全流程管理，确保账账相符、账实相符、数据精准。</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5）待遇支付服务：精准核算职工退休、离职、身故、出国定居等各类支取场景的年金待遇，严格按政策及集合计划规则完成资金支付，保障参保职工合法权益。</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6）信息披露与报告：定期向采购单位提交季度、年度受托管理报告、基金运作报告、风险分析报告；每年向参保职工出具个人账户对账单；发生重大风险、净值大幅波动、监管问询、管理人异常等重大事项，24小时内专项书面上报采购单位。</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7）档案与审计配合：建立完整的电子及纸质业务档案，所有运营、交易、核算记录留存不少于15年，全程可追溯、可审计；无条件配合采购单位内审、纪检审计、财政监督、人社监管检查。</w:t>
            </w:r>
          </w:p>
          <w:p>
            <w:pPr>
              <w:pStyle w:val="null3"/>
              <w:jc w:val="left"/>
            </w:pPr>
            <w:r>
              <w:rPr>
                <w:rFonts w:ascii="仿宋_GB2312" w:hAnsi="仿宋_GB2312" w:cs="仿宋_GB2312" w:eastAsia="仿宋_GB2312"/>
                <w:sz w:val="20"/>
              </w:rPr>
              <w:t>2. 账户管理服务标准</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1）依托集合计划标准化账户系统，完成职工个人账户分户核算、缴费记录、收益分摊、净值核算，数据精准无误。</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2）提供网页端、移动端多渠道24小时线上查询服务，支持职工查询账户余额、缴费明细、投资收益、交易记录、对账单下载。</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3）按时完成年度对账、对账单推送，及时响应并处理职工咨询、数据异议更正。</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4）严格落实数据安全与保密要求，严禁泄露、篡改、外泄单位年金数据及职工个人信息。</w:t>
            </w:r>
          </w:p>
          <w:p>
            <w:pPr>
              <w:pStyle w:val="null3"/>
              <w:jc w:val="left"/>
            </w:pPr>
            <w:r>
              <w:rPr>
                <w:rFonts w:ascii="仿宋_GB2312" w:hAnsi="仿宋_GB2312" w:cs="仿宋_GB2312" w:eastAsia="仿宋_GB2312"/>
                <w:sz w:val="20"/>
              </w:rPr>
              <w:t>3.托管服务标准</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1）实行专户专人托管，实现年金基金资产与管理人自有资产完全隔离，严禁挪用、占用、混同运作，保障基金资产绝对安全。</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2）负责资金清算、交割、会计核算、资产估值、账务复核，确保估值公允、账务精准、结算合规。</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3）实时监督集合计划投资运作，对超比例投资、违规品种投资、高风险交易及时预警、制止并上报。</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4）定期出具托管报表、对账报告，全程配合各类审计、核查、监管检查工作。</w:t>
            </w:r>
          </w:p>
          <w:p>
            <w:pPr>
              <w:pStyle w:val="null3"/>
              <w:jc w:val="left"/>
            </w:pPr>
            <w:r>
              <w:rPr>
                <w:rFonts w:ascii="仿宋_GB2312" w:hAnsi="仿宋_GB2312" w:cs="仿宋_GB2312" w:eastAsia="仿宋_GB2312"/>
                <w:sz w:val="20"/>
              </w:rPr>
              <w:t>4.投资管理服务标准</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 严格遵循安全性、流动性、收益性原则，依托集合计划标准化投资组合稳健运作，以长期保值增值为核心目标。</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2）严格遵守人社部发〔2020〕95号文及年金投资监管规定，严守投资范围、比例红线，杜绝各类违规投资行为。</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3）依托多投资管理人协同机制分散投资风险，动态管控市场风险、信用风险、流动性风险，定期提交投资分析与风险评估报告。</w:t>
            </w:r>
          </w:p>
          <w:p>
            <w:pPr>
              <w:pStyle w:val="null3"/>
              <w:jc w:val="left"/>
            </w:pPr>
            <w:r>
              <w:rPr>
                <w:rFonts w:ascii="仿宋_GB2312" w:hAnsi="仿宋_GB2312" w:cs="仿宋_GB2312" w:eastAsia="仿宋_GB2312"/>
                <w:sz w:val="20"/>
              </w:rPr>
              <w:t>5.投资风控硬性红线</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1）投资范围合规：仅限监管许可的合规投资品种，严禁投资监管禁止的高风险品种、非标违规品种。</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2）比例刚性限制：</w:t>
            </w:r>
            <w:r>
              <w:rPr>
                <w:rFonts w:ascii="仿宋_GB2312" w:hAnsi="仿宋_GB2312" w:cs="仿宋_GB2312" w:eastAsia="仿宋_GB2312"/>
                <w:sz w:val="20"/>
                <w:color w:val="0000FF"/>
              </w:rPr>
              <w:t>0</w:t>
            </w:r>
            <w:r>
              <w:rPr>
                <w:rFonts w:ascii="仿宋_GB2312" w:hAnsi="仿宋_GB2312" w:cs="仿宋_GB2312" w:eastAsia="仿宋_GB2312"/>
                <w:sz w:val="20"/>
                <w:color w:val="0000FF"/>
              </w:rPr>
              <w:t>&lt;</w:t>
            </w:r>
            <w:r>
              <w:rPr>
                <w:rFonts w:ascii="仿宋_GB2312" w:hAnsi="仿宋_GB2312" w:cs="仿宋_GB2312" w:eastAsia="仿宋_GB2312"/>
                <w:sz w:val="20"/>
                <w:color w:val="0000FF"/>
              </w:rPr>
              <w:t>权益类资产合计占比</w:t>
            </w:r>
            <w:r>
              <w:rPr>
                <w:rFonts w:ascii="仿宋_GB2312" w:hAnsi="仿宋_GB2312" w:cs="仿宋_GB2312" w:eastAsia="仿宋_GB2312"/>
                <w:sz w:val="20"/>
                <w:color w:val="0000FF"/>
              </w:rPr>
              <w:t>≤40%</w:t>
            </w:r>
            <w:r>
              <w:rPr>
                <w:rFonts w:ascii="仿宋_GB2312" w:hAnsi="仿宋_GB2312" w:cs="仿宋_GB2312" w:eastAsia="仿宋_GB2312"/>
                <w:sz w:val="20"/>
              </w:rPr>
              <w:t>，固定收益类资产合计占比≥50%；单只股票投资金额不超过基金总资产5%，且不超过该股票总股本10%，严格动态监控、实时合规。</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3）禁止违规操作：严禁融资融券、杠杆交易、资产质押、对外担保、内幕交易、操纵市场等违规行为。</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4）业绩风控底线：</w:t>
            </w:r>
            <w:r>
              <w:rPr>
                <w:rFonts w:ascii="仿宋_GB2312" w:hAnsi="仿宋_GB2312" w:cs="仿宋_GB2312" w:eastAsia="仿宋_GB2312"/>
                <w:sz w:val="20"/>
                <w:color w:val="0000FF"/>
              </w:rPr>
              <w:t>保障</w:t>
            </w:r>
            <w:r>
              <w:rPr>
                <w:rFonts w:ascii="仿宋_GB2312" w:hAnsi="仿宋_GB2312" w:cs="仿宋_GB2312" w:eastAsia="仿宋_GB2312"/>
                <w:sz w:val="20"/>
              </w:rPr>
              <w:t>集合计划年度投资收益率不低于人社部同类型年金组合行业加权平均收益率，严控最大回撤与波动风险，无重大投资损失、无合规风险事件。</w:t>
            </w:r>
          </w:p>
          <w:p>
            <w:pPr>
              <w:pStyle w:val="null3"/>
              <w:jc w:val="left"/>
            </w:pPr>
            <w:r>
              <w:rPr>
                <w:rFonts w:ascii="仿宋_GB2312" w:hAnsi="仿宋_GB2312" w:cs="仿宋_GB2312" w:eastAsia="仿宋_GB2312"/>
                <w:sz w:val="20"/>
              </w:rPr>
              <w:t>（三）服务响应与履约考核要求</w:t>
            </w:r>
          </w:p>
          <w:p>
            <w:pPr>
              <w:pStyle w:val="null3"/>
              <w:jc w:val="left"/>
            </w:pPr>
            <w:r>
              <w:rPr>
                <w:rFonts w:ascii="仿宋_GB2312" w:hAnsi="仿宋_GB2312" w:cs="仿宋_GB2312" w:eastAsia="仿宋_GB2312"/>
                <w:sz w:val="20"/>
              </w:rPr>
              <w:t>1. 服务响应时效</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1）业务咨询、工作对接、问题答疑：24小时内出具正式书面回复。</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2）职工待遇支付：资料齐全、审核无误后5个工作日内完成到账。</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3）系统故障、数据异常、对账差错：4小时内响应处置，24小时内完成修复整改。</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4）重大合规风险、资产异常波动、监管事项：24小时内专项书面上报采购单位。</w:t>
            </w:r>
          </w:p>
          <w:p>
            <w:pPr>
              <w:pStyle w:val="null3"/>
              <w:jc w:val="left"/>
            </w:pPr>
            <w:r>
              <w:rPr>
                <w:rFonts w:ascii="仿宋_GB2312" w:hAnsi="仿宋_GB2312" w:cs="仿宋_GB2312" w:eastAsia="仿宋_GB2312"/>
                <w:sz w:val="20"/>
              </w:rPr>
              <w:t>2. 履约考核与退出机制</w:t>
            </w:r>
          </w:p>
          <w:p>
            <w:pPr>
              <w:pStyle w:val="null3"/>
              <w:jc w:val="left"/>
            </w:pPr>
            <w:r>
              <w:rPr>
                <w:rFonts w:ascii="仿宋_GB2312" w:hAnsi="仿宋_GB2312" w:cs="仿宋_GB2312" w:eastAsia="仿宋_GB2312"/>
                <w:sz w:val="20"/>
                <w:color w:val="0000FF"/>
              </w:rPr>
              <w:t>（1）</w:t>
            </w:r>
            <w:r>
              <w:rPr>
                <w:rFonts w:ascii="仿宋_GB2312" w:hAnsi="仿宋_GB2312" w:cs="仿宋_GB2312" w:eastAsia="仿宋_GB2312"/>
                <w:sz w:val="20"/>
                <w:color w:val="0000FF"/>
              </w:rPr>
              <w:t>实行</w:t>
            </w:r>
            <w:r>
              <w:rPr>
                <w:rFonts w:ascii="仿宋_GB2312" w:hAnsi="仿宋_GB2312" w:cs="仿宋_GB2312" w:eastAsia="仿宋_GB2312"/>
                <w:sz w:val="20"/>
                <w:color w:val="0000FF"/>
              </w:rPr>
              <w:t>综合考评机制，考核维度包含合规管理、服务质量、响应效率、投资业绩、风险控制、职工满意度等。</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）因服务商违规操作、管理失职、系统故障、风控缺失造成基金资产损失、单位或职工权益受损的，服务商承担全额赔偿责任。</w:t>
            </w:r>
          </w:p>
          <w:p>
            <w:pPr>
              <w:pStyle w:val="null3"/>
              <w:jc w:val="left"/>
            </w:pPr>
            <w:r>
              <w:rPr>
                <w:rFonts w:ascii="仿宋_GB2312" w:hAnsi="仿宋_GB2312" w:cs="仿宋_GB2312" w:eastAsia="仿宋_GB2312"/>
                <w:sz w:val="20"/>
              </w:rPr>
              <w:t>三、其他要求</w:t>
            </w:r>
          </w:p>
          <w:p>
            <w:pPr>
              <w:pStyle w:val="null3"/>
              <w:jc w:val="left"/>
            </w:pPr>
            <w:r>
              <w:rPr>
                <w:rFonts w:ascii="仿宋_GB2312" w:hAnsi="仿宋_GB2312" w:cs="仿宋_GB2312" w:eastAsia="仿宋_GB2312"/>
                <w:sz w:val="20"/>
              </w:rPr>
              <w:t xml:space="preserve">1. </w:t>
            </w:r>
            <w:r>
              <w:rPr>
                <w:rFonts w:ascii="仿宋_GB2312" w:hAnsi="仿宋_GB2312" w:cs="仿宋_GB2312" w:eastAsia="仿宋_GB2312"/>
                <w:sz w:val="20"/>
              </w:rPr>
              <w:t>保密要求：供应商对采购单位经营数据、涉密信息、职工个人信息、年金运作数据承担永久保密责任，严禁泄露、外传、商用，违约需承担法律责任与全额经济赔偿。</w:t>
            </w:r>
          </w:p>
          <w:p>
            <w:pPr>
              <w:pStyle w:val="null3"/>
              <w:jc w:val="left"/>
            </w:pPr>
            <w:r>
              <w:rPr>
                <w:rFonts w:ascii="仿宋_GB2312" w:hAnsi="仿宋_GB2312" w:cs="仿宋_GB2312" w:eastAsia="仿宋_GB2312"/>
                <w:sz w:val="20"/>
              </w:rPr>
              <w:t xml:space="preserve">2. </w:t>
            </w:r>
            <w:r>
              <w:rPr>
                <w:rFonts w:ascii="仿宋_GB2312" w:hAnsi="仿宋_GB2312" w:cs="仿宋_GB2312" w:eastAsia="仿宋_GB2312"/>
                <w:sz w:val="20"/>
              </w:rPr>
              <w:t>无缝移交要求：合同到期或提前终止，服务商须在</w:t>
            </w:r>
            <w:r>
              <w:rPr>
                <w:rFonts w:ascii="仿宋_GB2312" w:hAnsi="仿宋_GB2312" w:cs="仿宋_GB2312" w:eastAsia="仿宋_GB2312"/>
                <w:sz w:val="20"/>
              </w:rPr>
              <w:t>15</w:t>
            </w:r>
            <w:r>
              <w:rPr>
                <w:rFonts w:ascii="仿宋_GB2312" w:hAnsi="仿宋_GB2312" w:cs="仿宋_GB2312" w:eastAsia="仿宋_GB2312"/>
                <w:sz w:val="20"/>
              </w:rPr>
              <w:t>日内完成全部账户数据、资产资料、业务档案、系统权限的完整、无损移交，不得扣留、篡改、隐匿任何资料，保障年金业务无缝衔接。</w:t>
            </w:r>
          </w:p>
          <w:p>
            <w:pPr>
              <w:pStyle w:val="null3"/>
              <w:jc w:val="left"/>
            </w:pPr>
            <w:r>
              <w:rPr>
                <w:rFonts w:ascii="仿宋_GB2312" w:hAnsi="仿宋_GB2312" w:cs="仿宋_GB2312" w:eastAsia="仿宋_GB2312"/>
                <w:sz w:val="20"/>
              </w:rPr>
              <w:t xml:space="preserve">3. </w:t>
            </w:r>
            <w:r>
              <w:rPr>
                <w:rFonts w:ascii="仿宋_GB2312" w:hAnsi="仿宋_GB2312" w:cs="仿宋_GB2312" w:eastAsia="仿宋_GB2312"/>
                <w:sz w:val="20"/>
              </w:rPr>
              <w:t>禁止转包分包：本项目全程由中标机构自主履约，转包、分包、挂靠履约视为严重违约，采购单位可立即单方解约、追责、记入不良记录。</w:t>
            </w:r>
          </w:p>
          <w:p>
            <w:pPr>
              <w:pStyle w:val="null3"/>
            </w:pPr>
            <w:r>
              <w:rPr>
                <w:rFonts w:ascii="仿宋_GB2312" w:hAnsi="仿宋_GB2312" w:cs="仿宋_GB2312" w:eastAsia="仿宋_GB2312"/>
                <w:sz w:val="20"/>
              </w:rPr>
              <w:t xml:space="preserve">4. </w:t>
            </w:r>
            <w:r>
              <w:rPr>
                <w:rFonts w:ascii="仿宋_GB2312" w:hAnsi="仿宋_GB2312" w:cs="仿宋_GB2312" w:eastAsia="仿宋_GB2312"/>
                <w:sz w:val="20"/>
              </w:rPr>
              <w:t>政策适配义务：服务期内国家、省市年金监管政策更新的，服务商须无条件、无偿完成制度、系统、流程适配升级，保障全程合规。</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1.磋商报价为第一年度各项服务费用的总和（2026年7月1日至2027年6月30日），包括但不限于受托管理费、托管费、投资管理费、账户管理费及超额收益业绩报酬等。 2.在符合采购需求的前提下，供应商提供的企业年金服务方案应是唯一方案，不接受备选方案磋商，否则响应文件按无效文件处理。</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3年（2026年7月1日至2029年6月30日）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按照采购人要求</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（1）实行综合考评机制，考核维度包含合规管理、服务质量、响应效率、投资业绩、风险控制、职工满意度等。 （2）因服务商违规操作、管理失职、系统故障、风控缺失造成基金资产损失、单位或职工权益受损的，服务商承担全额赔偿责任。</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本合同项下的受托管理费、托管费、投资管理费按《企业年金基金管理办法》及本合同约定，从企业年金基金财产中列支；账户管理费由委托人（企业）另行支付，不从基金财产中列支，达到付款条件起10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1.成交供应商领取通知书时提供纸质文件2份，纸质版文件须是电子化交易平台系统生成的响应文件。 2.付款方式： （1）本合同项下的受托管理费、托管费、投资管理费按《企业年金基金管理办法》及本合同约定，从企业年金基金财产中列支；账户管理费由委托人（企业）另行支付，不从基金财产中列支。 （2）受托管理费每日计提，逐日累计，按季支付。 （3）托管费每日计提，逐日累计，按季支付。 （4）投资管理费每日计提，逐日累计，按季支付。 （5）账户管理费：委托人在职职工的个人账户的账户管理费按照每人的个人账户每月（） 元。由委托人按季支付账户管理费。</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（1）供应商合法注册的法人或其他组织的营业执照等证明文件，自然人的身份证明； （2）具有良好的商业信誉和健全的财务会计制度（提供会计师事务所出具的2024（或2025）年度审计报告（须赋验证码），或递交响应文件截止之日前六个月内银行开具的资信证明，或信用担保机构出具的担保函（以上三种形式的资料提供任何一种即可）； （3）具备履行合同所必需的设备和专业技术能力的证明材料或承诺书； （4）有依法缴纳税收和社会保障资金的良好记录相关证明材料； （5）参加政府采购活动前三年内，在经营活动中没有重大违法记录的书面声明；</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供应商应授权合法的人员参加磋商全过程</w:t>
            </w:r>
          </w:p>
        </w:tc>
        <w:tc>
          <w:tcPr>
            <w:tcW w:type="dxa" w:w="3322"/>
          </w:tcPr>
          <w:p>
            <w:pPr>
              <w:pStyle w:val="null3"/>
            </w:pPr>
            <w:r>
              <w:rPr>
                <w:rFonts w:ascii="仿宋_GB2312" w:hAnsi="仿宋_GB2312" w:cs="仿宋_GB2312" w:eastAsia="仿宋_GB2312"/>
              </w:rPr>
              <w:t>供应商应授权合法的人员参加磋商全过程，其中法定代表人（或负责人）直接参加磋商的，须出具法定代表人（或负责人）身份证，并与营业执照上信息一致。法定代表人（或负责人）授权代表参加磋商的，提供法定代表人委托授权书及被授权人的参保缴费证明（须赋可查询的验证编号或验证二维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资质</w:t>
            </w:r>
          </w:p>
        </w:tc>
        <w:tc>
          <w:tcPr>
            <w:tcW w:type="dxa" w:w="3322"/>
          </w:tcPr>
          <w:p>
            <w:pPr>
              <w:pStyle w:val="null3"/>
            </w:pPr>
            <w:r>
              <w:rPr>
                <w:rFonts w:ascii="仿宋_GB2312" w:hAnsi="仿宋_GB2312" w:cs="仿宋_GB2312" w:eastAsia="仿宋_GB2312"/>
              </w:rPr>
              <w:t>具备人力资源和社会保障部核发的企业年金基金法人受托机构资格证书，投标截止日资质持续有效，无暂停、撤销、降级、限制业务等监管异常记录</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未被列入“信用中国”失信被执行人、重大税收违法失信主体、政府采购严重违法失信名单；未被列入中国政府采购网、中国执行信息公开网失信记录</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磋商过程中，磋商小组认为供应商的报价明显低于其他通过符合性审查供应商的报价，有可能影响产品质量或者不能诚信履约的，磋商小组应当要求其在合理的时间内在项目电子化交易系统中上传说明材料，必要时提交相关证明材料。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 报价明细表.docx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签字或盖章</w:t>
            </w:r>
          </w:p>
        </w:tc>
        <w:tc>
          <w:tcPr>
            <w:tcW w:type="dxa" w:w="3322"/>
          </w:tcPr>
          <w:p>
            <w:pPr>
              <w:pStyle w:val="null3"/>
            </w:pPr>
            <w:r>
              <w:rPr>
                <w:rFonts w:ascii="仿宋_GB2312" w:hAnsi="仿宋_GB2312" w:cs="仿宋_GB2312" w:eastAsia="仿宋_GB2312"/>
              </w:rPr>
              <w:t>磋商响应文件加盖供应商单位公章或签字</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有效期</w:t>
            </w:r>
          </w:p>
        </w:tc>
        <w:tc>
          <w:tcPr>
            <w:tcW w:type="dxa" w:w="3322"/>
          </w:tcPr>
          <w:p>
            <w:pPr>
              <w:pStyle w:val="null3"/>
            </w:pPr>
            <w:r>
              <w:rPr>
                <w:rFonts w:ascii="仿宋_GB2312" w:hAnsi="仿宋_GB2312" w:cs="仿宋_GB2312" w:eastAsia="仿宋_GB2312"/>
              </w:rPr>
              <w:t>有效期达到磋商文件的要求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报价不得超出采购预算或最高限价</w:t>
            </w:r>
          </w:p>
        </w:tc>
        <w:tc>
          <w:tcPr>
            <w:tcW w:type="dxa" w:w="3322"/>
          </w:tcPr>
          <w:p>
            <w:pPr>
              <w:pStyle w:val="null3"/>
            </w:pPr>
            <w:r>
              <w:rPr>
                <w:rFonts w:ascii="仿宋_GB2312" w:hAnsi="仿宋_GB2312" w:cs="仿宋_GB2312" w:eastAsia="仿宋_GB2312"/>
              </w:rPr>
              <w:t>磋商报价未超出采购预算或单价最高限价</w:t>
            </w:r>
          </w:p>
        </w:tc>
        <w:tc>
          <w:tcPr>
            <w:tcW w:type="dxa" w:w="1661"/>
          </w:tcPr>
          <w:p>
            <w:pPr>
              <w:pStyle w:val="null3"/>
            </w:pPr>
            <w:r>
              <w:rPr>
                <w:rFonts w:ascii="仿宋_GB2312" w:hAnsi="仿宋_GB2312" w:cs="仿宋_GB2312" w:eastAsia="仿宋_GB2312"/>
              </w:rPr>
              <w:t>标的清单 报价表 报价明细表.docx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选择性报价</w:t>
            </w:r>
          </w:p>
        </w:tc>
        <w:tc>
          <w:tcPr>
            <w:tcW w:type="dxa" w:w="3322"/>
          </w:tcPr>
          <w:p>
            <w:pPr>
              <w:pStyle w:val="null3"/>
            </w:pPr>
            <w:r>
              <w:rPr>
                <w:rFonts w:ascii="仿宋_GB2312" w:hAnsi="仿宋_GB2312" w:cs="仿宋_GB2312" w:eastAsia="仿宋_GB2312"/>
              </w:rPr>
              <w:t>供应商磋商报价未出现选择性报价</w:t>
            </w:r>
          </w:p>
        </w:tc>
        <w:tc>
          <w:tcPr>
            <w:tcW w:type="dxa" w:w="1661"/>
          </w:tcPr>
          <w:p>
            <w:pPr>
              <w:pStyle w:val="null3"/>
            </w:pPr>
            <w:r>
              <w:rPr>
                <w:rFonts w:ascii="仿宋_GB2312" w:hAnsi="仿宋_GB2312" w:cs="仿宋_GB2312" w:eastAsia="仿宋_GB2312"/>
              </w:rPr>
              <w:t>标的清单 报价表 报价明细表.docx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响应文件中技术、服务内容须达到采购要求，不得出现重大负偏差，降低服务要求</w:t>
            </w:r>
          </w:p>
        </w:tc>
        <w:tc>
          <w:tcPr>
            <w:tcW w:type="dxa" w:w="3322"/>
          </w:tcPr>
          <w:p>
            <w:pPr>
              <w:pStyle w:val="null3"/>
            </w:pPr>
            <w:r>
              <w:rPr>
                <w:rFonts w:ascii="仿宋_GB2312" w:hAnsi="仿宋_GB2312" w:cs="仿宋_GB2312" w:eastAsia="仿宋_GB2312"/>
              </w:rPr>
              <w:t>技术、服务内容达到采购要求，未出现重大负偏差，未降低了服务要求</w:t>
            </w:r>
          </w:p>
        </w:tc>
        <w:tc>
          <w:tcPr>
            <w:tcW w:type="dxa" w:w="1661"/>
          </w:tcPr>
          <w:p>
            <w:pPr>
              <w:pStyle w:val="null3"/>
            </w:pPr>
            <w:r>
              <w:rPr>
                <w:rFonts w:ascii="仿宋_GB2312" w:hAnsi="仿宋_GB2312" w:cs="仿宋_GB2312" w:eastAsia="仿宋_GB2312"/>
              </w:rPr>
              <w:t>采购需求偏离表.docx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响应文件中不得附加了采购人难以接受的条件</w:t>
            </w:r>
          </w:p>
        </w:tc>
        <w:tc>
          <w:tcPr>
            <w:tcW w:type="dxa" w:w="3322"/>
          </w:tcPr>
          <w:p>
            <w:pPr>
              <w:pStyle w:val="null3"/>
            </w:pPr>
            <w:r>
              <w:rPr>
                <w:rFonts w:ascii="仿宋_GB2312" w:hAnsi="仿宋_GB2312" w:cs="仿宋_GB2312" w:eastAsia="仿宋_GB2312"/>
              </w:rPr>
              <w:t>响应文件中未附加采购人难以接受的条件</w:t>
            </w:r>
          </w:p>
        </w:tc>
        <w:tc>
          <w:tcPr>
            <w:tcW w:type="dxa" w:w="1661"/>
          </w:tcPr>
          <w:p>
            <w:pPr>
              <w:pStyle w:val="null3"/>
            </w:pPr>
            <w:r>
              <w:rPr>
                <w:rFonts w:ascii="仿宋_GB2312" w:hAnsi="仿宋_GB2312" w:cs="仿宋_GB2312" w:eastAsia="仿宋_GB2312"/>
              </w:rPr>
              <w:t>商务要求（合同草案条款）偏离表.docx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综合实力</w:t>
            </w:r>
          </w:p>
        </w:tc>
        <w:tc>
          <w:tcPr>
            <w:tcW w:type="dxa" w:w="2492"/>
          </w:tcPr>
          <w:p>
            <w:pPr>
              <w:pStyle w:val="null3"/>
            </w:pPr>
            <w:r>
              <w:rPr>
                <w:rFonts w:ascii="仿宋_GB2312" w:hAnsi="仿宋_GB2312" w:cs="仿宋_GB2312" w:eastAsia="仿宋_GB2312"/>
              </w:rPr>
              <w:t>1.受托服务年限（4分） 以截至开标之日，供应商开展企业年金受托业务的年限进行评审：15年及以上得4分；10（含）-15年得2分；10年以下得1分。（以首次获取企业年金基金管受托资格时间算起并提供证明材料） 2.合规经营情况（4分） 提供供应商近3年无监管处罚、无风险警示公示证明材料的得4分。 3.受托资产规模（6分） 以供应商2025年末企业年金法人受托管理资产规模为评分依据：2500亿元及以上得6分；2000亿元（含）—2500亿元得5分；1500亿元（含）—2000亿元得4分；1000亿元（含）-1500亿元得3分，500亿元（含）-1000亿元得2分，300亿元（含）-500亿元得1分，300亿元以下不得分。（提供人社部2025年度《全国企业年金基金业务数据摘要》截图） 4.业务发展情况（6分） 以供应商提供2021—2025年企业年金受托管理市场份额为评分依据：（1）近五年（2021—2025年）市场份额持续增长得6分；（2）近四年（2022—2025年）市场份额持续增长得 4 分；（3）近三年（2023—2025年）市场份额持续增长得3分；（4）近两年（2024—2025年）市场份额持续增长得2 分。（市场份额 = 供应商当年受托管理资产金额 ÷ 当年全市场企业年金受托管理资产总金额 ×100%，（以人社部发布的历年《全国企业年金基金业务数据摘要》官方数据为准，提供数据来源截图）</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集合计划业绩表现</w:t>
            </w:r>
          </w:p>
        </w:tc>
        <w:tc>
          <w:tcPr>
            <w:tcW w:type="dxa" w:w="2492"/>
          </w:tcPr>
          <w:p>
            <w:pPr>
              <w:pStyle w:val="null3"/>
            </w:pPr>
            <w:r>
              <w:rPr>
                <w:rFonts w:ascii="仿宋_GB2312" w:hAnsi="仿宋_GB2312" w:cs="仿宋_GB2312" w:eastAsia="仿宋_GB2312"/>
              </w:rPr>
              <w:t>1.供应商提供2023—2025年所管理集合计划综合累计收益率（6分） 根据供应商受托管理的所有集合计划产品2023—2025年每年人社部公开的综合累计收益率进行评分。综合累计收益率13%及以上得6分；12%（含）-13%得4分；11%（含）-12%得2分；11%以下不得分。 注：（1）2023—2025年供应商集合计划综合累计收益率=（集合计划产品1期末资产金额×集合计划产品1（2023—2025年）累计收益率+集合计划产品2期末资产金额×集合计划产品2（2023—2025年）累计收益率+...+集合计划产品N期末资产金额×集合计划产品N（2023—2025年）累计收益率)/(集合计划产品1期末资产金额+集合计划产品2期末资产金额+...+集合计划产品N期末资产金额) （2）以人社部发布2025年度《全国企业年金基金业务数据摘要》中的集合计划管理情况表数据为准，提供数据来源截图； （3）当年无收益的集合计划产品不纳入计算范围。 2.供应商提供2021—2025年所管理集合计划综合累计收益率（6分） 根据供应商受托管理的所有集合计划2021—2025年每年人社部公开的综合累计收益率进行评分。综合累计收益率18%及以上得6分；16%（含）-18%得4分；14%（含）-16%得2分；14%以下不得分。 注：（1）2021—2025年供应商集合计划综合累计收益率=（1+2021年供应商集合计划综合累计收益率）×（1+2022年供应商集合计划综合累计收益率）×（1+2023—2025年供应商集合计划综合累计收益率）-1； （2）以人社部发布2021、2022、2025年度《全国企业年金基金业务数据摘要》中的集合计划管理情况表数据为准，提供数据来源截图； （3）当年无收益的集合计划产品不纳入计算范围； （4）供应商集合计划综合累计收益率=(集合计划产品1期末资产金额×集合计划产品当年收益率+集合计划产品2期末资产金额×集合计划产品2当年收益率+...+集合计划产品N期末资产金额×集合计划产品N当年收益率)/(集合计划产品1期末资产金额+集合计划产品2期末资产金额+...+集合计划产品N期末资产金额)。 3.供应商拟提供的磋商集合计划历史投资业绩（8分） 以磋商集合计划近3个完整自然年度投资收益率为依据，对标人社部公布的同类型年金组合年度行业加权平均收益率，根据该计划收益率高于行业平均收益率的年度次数为评分依据，三年收益率均高于行业加权平均收益率得8分；两年收益率高于行业加权平均收益率得5分；一年收益率高于行业加权平均收益率得2分；三年收益率均低于行业加权平均收益率得0分。（须提供人社部官方数据、各供应商官网披露的年度收益率截图及对应计划业绩佐证） 4.供应商拟提供的磋商集合计划近五年（2021—2025年）年化波动率（5分） 年化波动率3%及以下得5分；3%-3.2%（含）得3分；3.2%-3.4%（含）得1分；3.4%以上不得分。（注：季度当期收益率由相邻两期成立以来累计收益率倒推，本季度当期收益率=（1+本季度末累计收益率）/(1+上季度末累计收益率)-1，年化波动率=季度收益率样本标准差×√4；该收益率为集合计划中含权的收益率。截止季度末累计收益率数据来源于各供应商官网公开披露数据并提供相关佐证材料）</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1.运营服务方案（5分） 供应商须结合本单位职工人数、缴费规模、动态人事调整特点，定制针对性的运营服务方案，包括但不限于管理人统筹监管、职工账户服务与便民保障、账户全周期管理等； 2.团队服务方案（5分） 供应商为本项目组建专属固定服务团队，明确项目总负责人、年金运营专员、风控专员、客户服务专员。团队人员具备年金从业资质、丰富从业经验，专人专岗、稳定对接，无兼职混岗。团队配置完整、人员资质齐全、经验充足、岗位职责清晰； 3.信息服务方案（5分） 供应商须结合项目情况提供信息服务方案，包括但不限于全链数据归集管理、信息披露与报告、档案管理、审计配合、信息安全与保密管控、系统运维与应急管理等； 4.增值服务方案（5分） 供应商结合自身资源，为委托人提供增值服务方案，包括但不限于服务种类丰富，价值高，实用性强、方案具体可落地，有明确的实施计划和落地团队保障、有已经落地的实操案例经验等。方案体系完整、逻辑严谨、贴合本项目实际、落地性强。 完整提供上述4项内容的得20分；每有一项未提供扣5分，扣完为止；每有一处有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管理能力</w:t>
            </w:r>
          </w:p>
        </w:tc>
        <w:tc>
          <w:tcPr>
            <w:tcW w:type="dxa" w:w="2492"/>
          </w:tcPr>
          <w:p>
            <w:pPr>
              <w:pStyle w:val="null3"/>
            </w:pPr>
            <w:r>
              <w:rPr>
                <w:rFonts w:ascii="仿宋_GB2312" w:hAnsi="仿宋_GB2312" w:cs="仿宋_GB2312" w:eastAsia="仿宋_GB2312"/>
              </w:rPr>
              <w:t>1.统筹监管能力（5分） 供应商须根据项目情况提供管理方案，包括但不限于：具有完备科学的管理人选择体系及选择经验、受托全链条统筹管控、具备完善的管理人监督及评估体系、监管合规报送统筹等； 2.战略资产配置能力（5分） 供应商须根据项目情况提供管理方案，包括但不限于：资产配置制度体系完善；科学有效的动态调整机制等； 3.投资监督管理能力（5分） 供应商须根据项目情况提供管理方案，包括但不限于具有资产配置追踪机制；完善的投资监督管理体系；投资波动情况管理机制等； 4.风险控制能力（5分） 针对市场剧烈波动、基金净值异常波动、监管问询、管理人服务异常、系统故障、数据差错、对账异常等突发情形，建立完整的风险研判、预警止损、应急处置、整改复核、24小时专项上报闭环机制。方案体系完整、逻辑严谨、贴合本项目实际、落地性强。 完整提供上述4项内容的得20分；每有一项未提供扣5分，扣完为止；每有一处有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满足磋商文件要求且最后报价最低的供应商的价格为磋商基准价。各供应商的价格分统一按照下列公式计算：磋商报价得分=（磋商基准价/最后磋商报价）×价格权值</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详见附件：报价明细表.docx</w:t>
      </w:r>
    </w:p>
    <w:p>
      <w:pPr>
        <w:pStyle w:val="null3"/>
        <w:ind w:firstLine="960"/>
      </w:pPr>
      <w:r>
        <w:rPr>
          <w:rFonts w:ascii="仿宋_GB2312" w:hAnsi="仿宋_GB2312" w:cs="仿宋_GB2312" w:eastAsia="仿宋_GB2312"/>
        </w:rPr>
        <w:t>详见附件：采购需求偏离表.docx</w:t>
      </w:r>
    </w:p>
    <w:p>
      <w:pPr>
        <w:pStyle w:val="null3"/>
        <w:ind w:firstLine="960"/>
      </w:pPr>
      <w:r>
        <w:rPr>
          <w:rFonts w:ascii="仿宋_GB2312" w:hAnsi="仿宋_GB2312" w:cs="仿宋_GB2312" w:eastAsia="仿宋_GB2312"/>
        </w:rPr>
        <w:t>详见附件：商务要求（合同草案条款）偏离表.docx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详见附件：合同（改）.docx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