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41D0C">
      <w:pPr>
        <w:keepNext w:val="0"/>
        <w:keepLines w:val="0"/>
        <w:widowControl/>
        <w:suppressLineNumbers w:val="0"/>
        <w:jc w:val="center"/>
        <w:rPr>
          <w:rFonts w:hint="default" w:ascii="宋体" w:hAnsi="宋体" w:eastAsia="宋体" w:cs="宋体"/>
          <w:kern w:val="0"/>
          <w:sz w:val="48"/>
          <w:szCs w:val="48"/>
          <w:lang w:val="en-US" w:eastAsia="zh-CN" w:bidi="ar"/>
        </w:rPr>
      </w:pPr>
    </w:p>
    <w:p w14:paraId="53986410">
      <w:pPr>
        <w:keepNext w:val="0"/>
        <w:keepLines w:val="0"/>
        <w:widowControl/>
        <w:suppressLineNumbers w:val="0"/>
        <w:jc w:val="center"/>
        <w:rPr>
          <w:rFonts w:hint="default" w:ascii="宋体" w:hAnsi="宋体" w:eastAsia="宋体" w:cs="宋体"/>
          <w:kern w:val="0"/>
          <w:sz w:val="48"/>
          <w:szCs w:val="48"/>
          <w:lang w:val="en-US" w:eastAsia="zh-CN" w:bidi="ar"/>
        </w:rPr>
      </w:pPr>
    </w:p>
    <w:p w14:paraId="48A65A5E">
      <w:pPr>
        <w:keepNext w:val="0"/>
        <w:keepLines w:val="0"/>
        <w:widowControl/>
        <w:suppressLineNumbers w:val="0"/>
        <w:jc w:val="center"/>
        <w:rPr>
          <w:rFonts w:hint="default" w:ascii="宋体" w:hAnsi="宋体" w:eastAsia="宋体" w:cs="宋体"/>
          <w:kern w:val="0"/>
          <w:sz w:val="48"/>
          <w:szCs w:val="48"/>
          <w:lang w:val="en-US" w:eastAsia="zh-CN" w:bidi="ar"/>
        </w:rPr>
      </w:pPr>
    </w:p>
    <w:p w14:paraId="43486E2F">
      <w:pPr>
        <w:keepNext w:val="0"/>
        <w:keepLines w:val="0"/>
        <w:widowControl/>
        <w:suppressLineNumbers w:val="0"/>
        <w:jc w:val="center"/>
        <w:rPr>
          <w:rFonts w:hint="default" w:ascii="宋体" w:hAnsi="宋体" w:eastAsia="宋体" w:cs="宋体"/>
          <w:kern w:val="0"/>
          <w:sz w:val="48"/>
          <w:szCs w:val="48"/>
          <w:lang w:val="en-US" w:eastAsia="zh-CN" w:bidi="ar"/>
        </w:rPr>
      </w:pPr>
      <w:r>
        <w:rPr>
          <w:rFonts w:hint="default" w:ascii="宋体" w:hAnsi="宋体" w:eastAsia="宋体" w:cs="宋体"/>
          <w:kern w:val="0"/>
          <w:sz w:val="48"/>
          <w:szCs w:val="48"/>
          <w:lang w:val="en-US" w:eastAsia="zh-CN" w:bidi="ar"/>
        </w:rPr>
        <w:t>企业年金集合计划受托管理服务</w:t>
      </w:r>
    </w:p>
    <w:p w14:paraId="0B48357B">
      <w:pPr>
        <w:pStyle w:val="2"/>
        <w:rPr>
          <w:rFonts w:hint="default"/>
          <w:lang w:val="en-US" w:eastAsia="zh-CN"/>
        </w:rPr>
      </w:pPr>
    </w:p>
    <w:p w14:paraId="49CDAF3B">
      <w:pPr>
        <w:keepNext w:val="0"/>
        <w:keepLines w:val="0"/>
        <w:widowControl/>
        <w:suppressLineNumbers w:val="0"/>
        <w:jc w:val="center"/>
        <w:rPr>
          <w:sz w:val="40"/>
          <w:szCs w:val="44"/>
        </w:rPr>
      </w:pPr>
      <w:r>
        <w:rPr>
          <w:rFonts w:hint="default" w:ascii="宋体" w:hAnsi="宋体" w:eastAsia="宋体" w:cs="宋体"/>
          <w:kern w:val="0"/>
          <w:sz w:val="48"/>
          <w:szCs w:val="48"/>
          <w:lang w:val="en-US" w:eastAsia="zh-CN" w:bidi="ar"/>
        </w:rPr>
        <w:t>政府采购合同</w:t>
      </w:r>
    </w:p>
    <w:p w14:paraId="7296EB37">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06187049">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39F9CB63">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5C436D59">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08D8BDB2">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49B05518">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214835AE">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538BAC44">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5EA1F5FE">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2388F691">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440112A5">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4D7962FA">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3BD9F126">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30CFD1DF">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015D7773">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4FFC5206">
      <w:pPr>
        <w:keepNext w:val="0"/>
        <w:keepLines w:val="0"/>
        <w:widowControl/>
        <w:suppressLineNumbers w:val="0"/>
        <w:jc w:val="left"/>
        <w:rPr>
          <w:rStyle w:val="11"/>
          <w:rFonts w:hint="default" w:ascii="宋体" w:hAnsi="宋体" w:eastAsia="宋体" w:cs="宋体"/>
          <w:kern w:val="0"/>
          <w:sz w:val="24"/>
          <w:szCs w:val="24"/>
          <w:lang w:val="en-US" w:eastAsia="zh-CN" w:bidi="ar"/>
        </w:rPr>
      </w:pPr>
    </w:p>
    <w:p w14:paraId="042ACECA">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合同编号：</w:t>
      </w:r>
      <w:r>
        <w:rPr>
          <w:rFonts w:hint="default" w:ascii="宋体" w:hAnsi="宋体" w:eastAsia="宋体" w:cs="宋体"/>
          <w:kern w:val="0"/>
          <w:sz w:val="24"/>
          <w:szCs w:val="24"/>
          <w:lang w:val="en-US" w:eastAsia="zh-CN" w:bidi="ar"/>
        </w:rPr>
        <w:t>________________________</w:t>
      </w:r>
    </w:p>
    <w:p w14:paraId="22C16909">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签订地点：</w:t>
      </w:r>
      <w:r>
        <w:rPr>
          <w:rFonts w:hint="default" w:ascii="宋体" w:hAnsi="宋体" w:eastAsia="宋体" w:cs="宋体"/>
          <w:kern w:val="0"/>
          <w:sz w:val="24"/>
          <w:szCs w:val="24"/>
          <w:lang w:val="en-US" w:eastAsia="zh-CN" w:bidi="ar"/>
        </w:rPr>
        <w:t>________________________</w:t>
      </w:r>
    </w:p>
    <w:p w14:paraId="039FED14">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签订日期：</w:t>
      </w:r>
      <w:r>
        <w:rPr>
          <w:rFonts w:hint="default" w:ascii="宋体" w:hAnsi="宋体" w:eastAsia="宋体" w:cs="宋体"/>
          <w:kern w:val="0"/>
          <w:sz w:val="24"/>
          <w:szCs w:val="24"/>
          <w:lang w:val="en-US" w:eastAsia="zh-CN" w:bidi="ar"/>
        </w:rPr>
        <w:t>______年____月____日</w:t>
      </w:r>
    </w:p>
    <w:p w14:paraId="099FC0D0">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服务期限：</w:t>
      </w:r>
      <w:r>
        <w:rPr>
          <w:rFonts w:hint="default" w:ascii="宋体" w:hAnsi="宋体" w:eastAsia="宋体" w:cs="宋体"/>
          <w:kern w:val="0"/>
          <w:sz w:val="24"/>
          <w:szCs w:val="24"/>
          <w:lang w:val="en-US" w:eastAsia="zh-CN" w:bidi="ar"/>
        </w:rPr>
        <w:t>______年____月____日 至 ______年____月____日</w:t>
      </w:r>
    </w:p>
    <w:p w14:paraId="0736A46E">
      <w:r>
        <w:br w:type="page"/>
      </w:r>
    </w:p>
    <w:p w14:paraId="2200675C">
      <w:pPr>
        <w:pStyle w:val="2"/>
        <w:keepNext w:val="0"/>
        <w:keepLines w:val="0"/>
        <w:widowControl/>
        <w:suppressLineNumbers w:val="0"/>
        <w:jc w:val="center"/>
      </w:pPr>
      <w:r>
        <w:t>第一部分 合同协议书</w:t>
      </w:r>
    </w:p>
    <w:p w14:paraId="7CB785B9">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采购人（甲方）：</w:t>
      </w:r>
      <w:r>
        <w:rPr>
          <w:rFonts w:hint="default" w:ascii="宋体" w:hAnsi="宋体" w:eastAsia="宋体" w:cs="宋体"/>
          <w:kern w:val="0"/>
          <w:sz w:val="24"/>
          <w:szCs w:val="24"/>
          <w:lang w:val="en-US" w:eastAsia="zh-CN" w:bidi="ar"/>
        </w:rPr>
        <w:t>________________________</w:t>
      </w:r>
    </w:p>
    <w:p w14:paraId="462E9BF8">
      <w:pPr>
        <w:keepNext w:val="0"/>
        <w:keepLines w:val="0"/>
        <w:widowControl/>
        <w:suppressLineNumbers w:val="0"/>
        <w:spacing w:line="360" w:lineRule="auto"/>
        <w:jc w:val="left"/>
      </w:pPr>
      <w:r>
        <w:rPr>
          <w:rFonts w:hint="default" w:ascii="宋体" w:hAnsi="宋体" w:eastAsia="宋体" w:cs="宋体"/>
          <w:kern w:val="0"/>
          <w:sz w:val="24"/>
          <w:szCs w:val="24"/>
          <w:lang w:val="en-US" w:eastAsia="zh-CN" w:bidi="ar"/>
        </w:rPr>
        <w:t>统一社会信用代码：________________________</w:t>
      </w:r>
    </w:p>
    <w:p w14:paraId="62BB33C8">
      <w:pPr>
        <w:keepNext w:val="0"/>
        <w:keepLines w:val="0"/>
        <w:widowControl/>
        <w:suppressLineNumbers w:val="0"/>
        <w:spacing w:line="360" w:lineRule="auto"/>
        <w:jc w:val="left"/>
      </w:pPr>
      <w:r>
        <w:rPr>
          <w:rFonts w:hint="default" w:ascii="宋体" w:hAnsi="宋体" w:eastAsia="宋体" w:cs="宋体"/>
          <w:kern w:val="0"/>
          <w:sz w:val="24"/>
          <w:szCs w:val="24"/>
          <w:lang w:val="en-US" w:eastAsia="zh-CN" w:bidi="ar"/>
        </w:rPr>
        <w:t>地址：________________________</w:t>
      </w:r>
    </w:p>
    <w:p w14:paraId="1C05D090">
      <w:pPr>
        <w:keepNext w:val="0"/>
        <w:keepLines w:val="0"/>
        <w:widowControl/>
        <w:suppressLineNumbers w:val="0"/>
        <w:spacing w:line="360" w:lineRule="auto"/>
        <w:jc w:val="left"/>
      </w:pPr>
      <w:r>
        <w:rPr>
          <w:rFonts w:hint="default" w:ascii="宋体" w:hAnsi="宋体" w:eastAsia="宋体" w:cs="宋体"/>
          <w:kern w:val="0"/>
          <w:sz w:val="24"/>
          <w:szCs w:val="24"/>
          <w:lang w:val="en-US" w:eastAsia="zh-CN" w:bidi="ar"/>
        </w:rPr>
        <w:t>联系人及电话：________________________</w:t>
      </w:r>
    </w:p>
    <w:p w14:paraId="17833A94">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成交供应商（乙方/受托机构）：</w:t>
      </w:r>
      <w:r>
        <w:rPr>
          <w:rFonts w:hint="default" w:ascii="宋体" w:hAnsi="宋体" w:eastAsia="宋体" w:cs="宋体"/>
          <w:kern w:val="0"/>
          <w:sz w:val="24"/>
          <w:szCs w:val="24"/>
          <w:lang w:val="en-US" w:eastAsia="zh-CN" w:bidi="ar"/>
        </w:rPr>
        <w:t>________________________</w:t>
      </w:r>
    </w:p>
    <w:p w14:paraId="71549E5A">
      <w:pPr>
        <w:keepNext w:val="0"/>
        <w:keepLines w:val="0"/>
        <w:widowControl/>
        <w:suppressLineNumbers w:val="0"/>
        <w:spacing w:line="360" w:lineRule="auto"/>
        <w:jc w:val="left"/>
      </w:pPr>
      <w:r>
        <w:rPr>
          <w:rFonts w:hint="default" w:ascii="宋体" w:hAnsi="宋体" w:eastAsia="宋体" w:cs="宋体"/>
          <w:kern w:val="0"/>
          <w:sz w:val="24"/>
          <w:szCs w:val="24"/>
          <w:lang w:val="en-US" w:eastAsia="zh-CN" w:bidi="ar"/>
        </w:rPr>
        <w:t>统一社会信用代码：________________________</w:t>
      </w:r>
    </w:p>
    <w:p w14:paraId="5747E137">
      <w:pPr>
        <w:keepNext w:val="0"/>
        <w:keepLines w:val="0"/>
        <w:widowControl/>
        <w:suppressLineNumbers w:val="0"/>
        <w:spacing w:line="360" w:lineRule="auto"/>
        <w:jc w:val="left"/>
      </w:pPr>
      <w:r>
        <w:rPr>
          <w:rFonts w:hint="default" w:ascii="宋体" w:hAnsi="宋体" w:eastAsia="宋体" w:cs="宋体"/>
          <w:kern w:val="0"/>
          <w:sz w:val="24"/>
          <w:szCs w:val="24"/>
          <w:lang w:val="en-US" w:eastAsia="zh-CN" w:bidi="ar"/>
        </w:rPr>
        <w:t>地址：________________________</w:t>
      </w:r>
    </w:p>
    <w:p w14:paraId="06943313">
      <w:pPr>
        <w:keepNext w:val="0"/>
        <w:keepLines w:val="0"/>
        <w:widowControl/>
        <w:suppressLineNumbers w:val="0"/>
        <w:spacing w:line="360" w:lineRule="auto"/>
        <w:jc w:val="left"/>
      </w:pPr>
      <w:r>
        <w:rPr>
          <w:rFonts w:hint="default" w:ascii="宋体" w:hAnsi="宋体" w:eastAsia="宋体" w:cs="宋体"/>
          <w:kern w:val="0"/>
          <w:sz w:val="24"/>
          <w:szCs w:val="24"/>
          <w:lang w:val="en-US" w:eastAsia="zh-CN" w:bidi="ar"/>
        </w:rPr>
        <w:t>联系人及电话：________________________</w:t>
      </w:r>
    </w:p>
    <w:p w14:paraId="06A3488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default" w:ascii="宋体" w:hAnsi="宋体" w:eastAsia="宋体" w:cs="宋体"/>
          <w:kern w:val="0"/>
          <w:sz w:val="24"/>
          <w:szCs w:val="24"/>
          <w:lang w:val="en-US" w:eastAsia="zh-CN" w:bidi="ar"/>
        </w:rPr>
        <w:t>根据《中华人民共和国民法典》《中华人民共和国政府采购法》《企业年金基金管理办法》（人社部令第11号）、人社部发〔2020〕95号文等法律法规及监管规定，甲方通过竞争性磋商方式择优确定乙方为本单位企业年金集合计划法人受托服务机构。甲乙双方本着平等自愿、公平诚信、合规履约的原则，结合本项目磋商文件、响应文件、答疑纪要</w:t>
      </w:r>
      <w:r>
        <w:rPr>
          <w:rFonts w:hint="eastAsia" w:ascii="宋体" w:hAnsi="宋体" w:eastAsia="宋体" w:cs="宋体"/>
          <w:kern w:val="0"/>
          <w:sz w:val="24"/>
          <w:szCs w:val="24"/>
          <w:lang w:val="en-US" w:eastAsia="zh-CN" w:bidi="ar"/>
        </w:rPr>
        <w:t>（如有）</w:t>
      </w:r>
      <w:r>
        <w:rPr>
          <w:rFonts w:hint="default" w:ascii="宋体" w:hAnsi="宋体" w:eastAsia="宋体" w:cs="宋体"/>
          <w:kern w:val="0"/>
          <w:sz w:val="24"/>
          <w:szCs w:val="24"/>
          <w:lang w:val="en-US" w:eastAsia="zh-CN" w:bidi="ar"/>
        </w:rPr>
        <w:t>及成交结果，订立本合同，共同遵照执行。</w:t>
      </w:r>
    </w:p>
    <w:p w14:paraId="45D68F23">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一、项目基本情况</w:t>
      </w:r>
    </w:p>
    <w:p w14:paraId="36F7A72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项目名称：</w:t>
      </w:r>
    </w:p>
    <w:p w14:paraId="05A0EB3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服务模式：</w:t>
      </w:r>
    </w:p>
    <w:p w14:paraId="1F28B5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项目规模：</w:t>
      </w:r>
    </w:p>
    <w:p w14:paraId="1FAD6E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管理架构：</w:t>
      </w:r>
    </w:p>
    <w:p w14:paraId="499F73C8">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二、合同文件组成</w:t>
      </w:r>
    </w:p>
    <w:p w14:paraId="381241C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下列文件为本合同不可分割的组成部分，与本合同正文具有同等法律效力，文件优先级依次为：</w:t>
      </w:r>
    </w:p>
    <w:p w14:paraId="4757909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本合同正式文本及补充协议；</w:t>
      </w:r>
    </w:p>
    <w:p w14:paraId="3DAC951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本项目竞争性磋商文件、答疑澄清文件；</w:t>
      </w:r>
    </w:p>
    <w:p w14:paraId="57B0A2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乙方响应文件、投标承诺、佐证材料及履约承诺书；</w:t>
      </w:r>
    </w:p>
    <w:p w14:paraId="463F2A8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本项目评分办法、成交结果通知书；</w:t>
      </w:r>
    </w:p>
    <w:p w14:paraId="5CA08B0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5. 国家、省市现行企业年金监管政策及行业规范。</w:t>
      </w:r>
    </w:p>
    <w:p w14:paraId="320566A7">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三、合同价款及支付方式</w:t>
      </w:r>
    </w:p>
    <w:p w14:paraId="5272BB1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本项目服务费按照行业合规收费标准及乙方投标报价执行，包含本项目全部受托运营、风控管理、信息披露、系统运维、职工服务、审计配合、政策适配等全部费用，甲方无需额外支付任何费用。</w:t>
      </w:r>
    </w:p>
    <w:p w14:paraId="576F81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支付方式：按年度/半年度结算，乙方完成全年合规履约、通过甲方年度考核、提交完整年度服务报告及结算资料后，甲方按政府采购流程无息支付。</w:t>
      </w:r>
    </w:p>
    <w:p w14:paraId="01EE3EE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服务期内国家政策、监管要求调整导致的系统升级、流程优化、制度适配等工作，乙方无偿完成，不得额外收费。</w:t>
      </w:r>
    </w:p>
    <w:p w14:paraId="49CB8885">
      <w:pPr>
        <w:keepNext w:val="0"/>
        <w:keepLines w:val="0"/>
        <w:widowControl/>
        <w:suppressLineNumbers w:val="0"/>
        <w:spacing w:line="360" w:lineRule="auto"/>
        <w:jc w:val="left"/>
      </w:pPr>
      <w:r>
        <w:rPr>
          <w:rStyle w:val="11"/>
          <w:rFonts w:hint="default" w:ascii="宋体" w:hAnsi="宋体" w:eastAsia="宋体" w:cs="宋体"/>
          <w:kern w:val="0"/>
          <w:sz w:val="24"/>
          <w:szCs w:val="24"/>
          <w:lang w:val="en-US" w:eastAsia="zh-CN" w:bidi="ar"/>
        </w:rPr>
        <w:t>四、服务期限</w:t>
      </w:r>
    </w:p>
    <w:p w14:paraId="4736D55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default" w:ascii="宋体" w:hAnsi="宋体" w:eastAsia="宋体" w:cs="宋体"/>
          <w:kern w:val="0"/>
          <w:sz w:val="24"/>
          <w:szCs w:val="24"/>
          <w:lang w:val="en-US" w:eastAsia="zh-CN" w:bidi="ar"/>
        </w:rPr>
        <w:t>本合同服务期为______年，自______年____月____日起至______年____月____日止。合同期满前30日，双方可协商续约事宜；未达成续约的，合同到期自动终止，乙方须按要求完成无缝移交。</w:t>
      </w:r>
    </w:p>
    <w:p w14:paraId="13F3C355">
      <w:pPr>
        <w:pStyle w:val="2"/>
        <w:keepNext w:val="0"/>
        <w:keepLines w:val="0"/>
        <w:widowControl/>
        <w:suppressLineNumbers w:val="0"/>
        <w:jc w:val="center"/>
        <w:rPr>
          <w:rFonts w:ascii="宋体" w:hAnsi="宋体" w:eastAsia="宋体" w:cs="宋体"/>
        </w:rPr>
      </w:pPr>
      <w:r>
        <w:rPr>
          <w:rFonts w:ascii="宋体" w:hAnsi="宋体" w:eastAsia="宋体" w:cs="宋体"/>
        </w:rPr>
        <w:t>第二部分 双方权利与义务</w:t>
      </w:r>
    </w:p>
    <w:p w14:paraId="6E6E4F83">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一、甲方权利与义务</w:t>
      </w:r>
    </w:p>
    <w:p w14:paraId="50AAEC6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甲方有权对乙方全部服务工作、管理人履职情况、基金投资运作、风险管控、信息披露等工作进行全程监督、检查、考核，有权要求乙方限期整改违规、失职问题。</w:t>
      </w:r>
    </w:p>
    <w:p w14:paraId="32955C0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甲方按规定及时足额划转单位及职工年金缴费资金，及时提供人员变动、信息变更等相关资料，配合乙方完成备案、账户管理、待遇核算等工作。</w:t>
      </w:r>
    </w:p>
    <w:p w14:paraId="4000271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甲方有权查阅年金运营全部资料、台账、报告，有权调取管理人服务记录、投资运作数据，对异常情况有权要求乙方专项说明及处置。</w:t>
      </w:r>
    </w:p>
    <w:p w14:paraId="409BAE8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按照合同约定及时足额支付服务费用，无正当理由不得拖欠、拒付合规服务费。</w:t>
      </w:r>
    </w:p>
    <w:p w14:paraId="5F71D19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5. 保守乙方服务系统、运营机制等非涉密商业信息，不得违规外泄、滥用。</w:t>
      </w:r>
    </w:p>
    <w:p w14:paraId="352677B3">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二、乙方权利与义务</w:t>
      </w:r>
    </w:p>
    <w:p w14:paraId="151B919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乙方须全程严格遵守人社部年金监管规定及本合同约定，独立、合规、专业开展受托管理服务，全面履行合同全部服务义务。</w:t>
      </w:r>
    </w:p>
    <w:p w14:paraId="18D793C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乙方保证所使用的集合计划为人社部正式备案、状态正常、可接收新增委托人的成熟计划，无暂停运作、整改、风险警示、异常公示等情形，管理人配置完整、监管隔离合规。</w:t>
      </w:r>
    </w:p>
    <w:p w14:paraId="524FF9D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乙方有权依规开展年金运营、投资监督、费用结算等合规工作，有权要求甲方配合提供必要业务资料。</w:t>
      </w:r>
    </w:p>
    <w:p w14:paraId="2D11551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乙方承担本项目全部运营风险、管理风险、合规风险，因自身失职、违规操作、风控缺失造成的全部损失，自行承担并全额赔偿甲方及职工损失。</w:t>
      </w:r>
    </w:p>
    <w:p w14:paraId="1621038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5. 严格履行永久保密义务，严禁泄露、篡改、商用甲方经营数据、职工个人信息、年金运作数据。</w:t>
      </w:r>
    </w:p>
    <w:p w14:paraId="02FD5978">
      <w:pPr>
        <w:pStyle w:val="2"/>
        <w:keepNext w:val="0"/>
        <w:keepLines w:val="0"/>
        <w:widowControl/>
        <w:suppressLineNumbers w:val="0"/>
        <w:jc w:val="center"/>
        <w:rPr>
          <w:rFonts w:ascii="宋体" w:hAnsi="宋体" w:eastAsia="宋体" w:cs="宋体"/>
        </w:rPr>
      </w:pPr>
      <w:r>
        <w:rPr>
          <w:rFonts w:ascii="宋体" w:hAnsi="宋体" w:eastAsia="宋体" w:cs="宋体"/>
        </w:rPr>
        <w:t>第三部分 核心服务内容与标准</w:t>
      </w:r>
    </w:p>
    <w:p w14:paraId="4479E798">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一、法人受托核心服务</w:t>
      </w:r>
    </w:p>
    <w:p w14:paraId="3B0234B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1.计划合规备案服务：乙方全程负责甲方加入集合计划的备案、信息变更、年度报备、政策适配等全部合规流程，确保年金计划全程合法合规存续，按时完成人社部门各项备案工作，无逾期、无违规记录。</w:t>
      </w:r>
    </w:p>
    <w:p w14:paraId="4A857C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管理人统筹监管：对账户管理人、托管人、投资管理人实施常态化监督、月度监控、季度考核、年度评估，全程管控服务质量、合规运作、投资业绩、风险防控；发现违规、失职、异常问题及时督促整改、启动风险处置流程，定期向甲方提交专项监管报告、考核评估报告。</w:t>
      </w:r>
    </w:p>
    <w:p w14:paraId="06D383F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themeColor="text1"/>
          <w:kern w:val="0"/>
          <w:sz w:val="24"/>
          <w:szCs w:val="24"/>
          <w:lang w:val="en-US" w:eastAsia="zh-CN" w:bidi="ar"/>
          <w14:textFill>
            <w14:solidFill>
              <w14:schemeClr w14:val="tx1"/>
            </w14:solidFill>
          </w14:textFill>
        </w:rPr>
      </w:pPr>
      <w:r>
        <w:rPr>
          <w:rFonts w:hint="default" w:ascii="宋体" w:hAnsi="宋体" w:eastAsia="宋体" w:cs="宋体"/>
          <w:kern w:val="0"/>
          <w:sz w:val="24"/>
          <w:szCs w:val="24"/>
          <w:lang w:val="en-US" w:eastAsia="zh-CN" w:bidi="ar"/>
        </w:rPr>
        <w:t xml:space="preserve">3. </w:t>
      </w:r>
      <w:r>
        <w:rPr>
          <w:rFonts w:hint="default" w:ascii="宋体" w:hAnsi="宋体" w:eastAsia="宋体" w:cs="宋体"/>
          <w:color w:val="000000" w:themeColor="text1"/>
          <w:kern w:val="0"/>
          <w:sz w:val="24"/>
          <w:szCs w:val="24"/>
          <w:lang w:val="en-US" w:eastAsia="zh-CN" w:bidi="ar"/>
          <w14:textFill>
            <w14:solidFill>
              <w14:schemeClr w14:val="tx1"/>
            </w14:solidFill>
          </w14:textFill>
        </w:rPr>
        <w:t>投资风控管理：严格执行标准化投资策略与资产配置规则，严守投资硬性红线：</w:t>
      </w:r>
      <w:r>
        <w:rPr>
          <w:rFonts w:hint="default" w:ascii="宋体" w:hAnsi="宋体" w:eastAsia="宋体" w:cs="宋体"/>
          <w:color w:val="0000FF"/>
          <w:kern w:val="0"/>
          <w:sz w:val="24"/>
          <w:szCs w:val="24"/>
          <w:lang w:val="en-US" w:eastAsia="zh-CN" w:bidi="ar"/>
        </w:rPr>
        <w:t>0&lt;权益类资产合计占比≤40%</w:t>
      </w:r>
      <w:r>
        <w:rPr>
          <w:rFonts w:hint="default" w:ascii="宋体" w:hAnsi="宋体" w:eastAsia="宋体" w:cs="宋体"/>
          <w:color w:val="000000" w:themeColor="text1"/>
          <w:kern w:val="0"/>
          <w:sz w:val="24"/>
          <w:szCs w:val="24"/>
          <w:lang w:val="en-US" w:eastAsia="zh-CN" w:bidi="ar"/>
          <w14:textFill>
            <w14:solidFill>
              <w14:schemeClr w14:val="tx1"/>
            </w14:solidFill>
          </w14:textFill>
        </w:rPr>
        <w:t>，固</w:t>
      </w:r>
      <w:bookmarkStart w:id="0" w:name="_GoBack"/>
      <w:bookmarkEnd w:id="0"/>
      <w:r>
        <w:rPr>
          <w:rFonts w:hint="default" w:ascii="宋体" w:hAnsi="宋体" w:eastAsia="宋体" w:cs="宋体"/>
          <w:color w:val="000000" w:themeColor="text1"/>
          <w:kern w:val="0"/>
          <w:sz w:val="24"/>
          <w:szCs w:val="24"/>
          <w:lang w:val="en-US" w:eastAsia="zh-CN" w:bidi="ar"/>
          <w14:textFill>
            <w14:solidFill>
              <w14:schemeClr w14:val="tx1"/>
            </w14:solidFill>
          </w14:textFill>
        </w:rPr>
        <w:t>定收益类资产合计占比≥50%，严格执行单只股票双重投资比例限制；严禁杠杆交易、融资融券、资产质押、内幕交易等违规行为；定期开展风险研判、绩效分析，杜绝违规投资、超比例投资。保障集合计划年度投资收益率不低于人社部同类型年金组合行业加权平均收益率，严控最大回撤与市场风险，杜绝重大投资损失及合规风险事件。</w:t>
      </w:r>
    </w:p>
    <w:p w14:paraId="4453B1A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缴费与账户管理：按月、按季核对甲方及职工缴费明细，完成资金合规归集、划转；负责职工年金账户开立、封存、转移、合并、信息变更等全流程管理，确保账账相符、账实相符、数据精准无误。</w:t>
      </w:r>
    </w:p>
    <w:p w14:paraId="0FECFD0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5. 待遇支付服务：精准核算职工退休、离职、身故、出国定居等各类支取场景的年金待遇，严格按国家政策及集合计划规则完成资金核算与支付，资料齐全无误后5个工作日内完成资金到账，保障职工合法权益。</w:t>
      </w:r>
    </w:p>
    <w:p w14:paraId="4628F3E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6. 信息披露与专项上报：定期向甲方提交季度、年度受托管理报告、基金运作报告、风险分析报告；每年向参保职工出具个人账户对账单；发生重大风险、净值大幅波动、监管问询、管理人异常、数据差错等重大事项，24小时内出具专项书面报告上报甲方。</w:t>
      </w:r>
    </w:p>
    <w:p w14:paraId="122ACDA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7. 档案与审计配合：建立电子+纸质双轨制业务档案，所有运营、交易、核算、备案、对账记录留存不少于15年，全程可追溯、可审计；无条件配合甲方内审、纪检审计、财政监督、人社监管及各类专项核查工作。</w:t>
      </w:r>
    </w:p>
    <w:p w14:paraId="5912BD60">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二、配套管理服务标准</w:t>
      </w:r>
    </w:p>
    <w:p w14:paraId="3C4C8BB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账户管理服务：依托标准化系统完成分户核算、缴费记录、收益分摊、净值精准核算；提供网页端、移动端24小时线上查询、明细下载、对账单查询服务；按时完成年度对账、对账单推送，及时响应职工咨询、更正数据异议；严格落实数据安全与保密制度。</w:t>
      </w:r>
    </w:p>
    <w:p w14:paraId="27769C5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托管服务：实行专户专人托管，实现基金资产与管理人自有资产完全隔离，严禁挪用、混同、占用；负责资金清算、交割、会计核算、资产估值、账务复核；实时监督投资运作，对违规投资、高风险交易及时预警、制止并上报；定期出具托管报表、对账报告，全程配合各类审计核查。</w:t>
      </w:r>
    </w:p>
    <w:p w14:paraId="148C7E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投资管理服务：遵循安全性、流动性、收益性原则，依托多投资管理人协同机制分散风险，稳健运作、长期保值增值；严格遵守年金投资监管规定，无违规投资行为；定期提交投资分析、风险评估报告。</w:t>
      </w:r>
    </w:p>
    <w:p w14:paraId="10E0C212">
      <w:pPr>
        <w:pStyle w:val="2"/>
        <w:keepNext w:val="0"/>
        <w:keepLines w:val="0"/>
        <w:widowControl/>
        <w:suppressLineNumbers w:val="0"/>
        <w:jc w:val="center"/>
        <w:rPr>
          <w:rFonts w:ascii="宋体" w:hAnsi="宋体" w:eastAsia="宋体" w:cs="宋体"/>
        </w:rPr>
      </w:pPr>
      <w:r>
        <w:rPr>
          <w:rFonts w:ascii="宋体" w:hAnsi="宋体" w:eastAsia="宋体" w:cs="宋体"/>
        </w:rPr>
        <w:t>第四部分 服务响应与履约考核</w:t>
      </w:r>
    </w:p>
    <w:p w14:paraId="3E529313">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一、服务响应时效约定</w:t>
      </w:r>
    </w:p>
    <w:p w14:paraId="1ECC1A9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业务咨询、工作对接、问题答疑：24小时内出具正式书面回复；</w:t>
      </w:r>
    </w:p>
    <w:p w14:paraId="59728F6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职工待遇支付：资料齐全、审核无误后5个工作日内完成到账；</w:t>
      </w:r>
    </w:p>
    <w:p w14:paraId="0B64412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系统故障、数据异常、对账差错：4小时内响应处置，24小时内完成修复整改；</w:t>
      </w:r>
    </w:p>
    <w:p w14:paraId="425B3A5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重大合规风险、资产异常波动、监管问询、管理人异常：24小时内专项书面上报甲方。</w:t>
      </w:r>
    </w:p>
    <w:p w14:paraId="1B9B20D0">
      <w:pPr>
        <w:keepNext w:val="0"/>
        <w:keepLines w:val="0"/>
        <w:widowControl/>
        <w:suppressLineNumbers w:val="0"/>
        <w:spacing w:line="360" w:lineRule="auto"/>
        <w:jc w:val="left"/>
        <w:rPr>
          <w:rStyle w:val="11"/>
          <w:rFonts w:hint="default" w:ascii="宋体" w:hAnsi="宋体" w:eastAsia="宋体" w:cs="宋体"/>
          <w:color w:val="000000" w:themeColor="text1"/>
          <w:kern w:val="0"/>
          <w:sz w:val="24"/>
          <w:szCs w:val="24"/>
          <w:lang w:val="en-US" w:eastAsia="zh-CN" w:bidi="ar"/>
          <w14:textFill>
            <w14:solidFill>
              <w14:schemeClr w14:val="tx1"/>
            </w14:solidFill>
          </w14:textFill>
        </w:rPr>
      </w:pPr>
      <w:r>
        <w:rPr>
          <w:rStyle w:val="11"/>
          <w:rFonts w:hint="default" w:ascii="宋体" w:hAnsi="宋体" w:eastAsia="宋体" w:cs="宋体"/>
          <w:color w:val="000000" w:themeColor="text1"/>
          <w:kern w:val="0"/>
          <w:sz w:val="24"/>
          <w:szCs w:val="24"/>
          <w:lang w:val="en-US" w:eastAsia="zh-CN" w:bidi="ar"/>
          <w14:textFill>
            <w14:solidFill>
              <w14:schemeClr w14:val="tx1"/>
            </w14:solidFill>
          </w14:textFill>
        </w:rPr>
        <w:t>二、考核与退出机制</w:t>
      </w:r>
    </w:p>
    <w:p w14:paraId="504DFEE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FF"/>
          <w:kern w:val="0"/>
          <w:sz w:val="24"/>
          <w:szCs w:val="24"/>
          <w:lang w:val="en-US" w:eastAsia="zh-CN" w:bidi="ar"/>
        </w:rPr>
      </w:pPr>
      <w:r>
        <w:rPr>
          <w:rFonts w:hint="default" w:ascii="宋体" w:hAnsi="宋体" w:eastAsia="宋体" w:cs="宋体"/>
          <w:color w:val="0000FF"/>
          <w:kern w:val="0"/>
          <w:sz w:val="24"/>
          <w:szCs w:val="24"/>
          <w:lang w:val="en-US" w:eastAsia="zh-CN" w:bidi="ar"/>
        </w:rPr>
        <w:t>1. 甲方实行综合考评机制，考核维度包含合规管理、服务质量、响应效率、投资业绩、风险控制、职工满意度六大模块。</w:t>
      </w:r>
    </w:p>
    <w:p w14:paraId="3501E6A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FF"/>
          <w:kern w:val="0"/>
          <w:sz w:val="24"/>
          <w:szCs w:val="24"/>
          <w:lang w:val="en-US" w:eastAsia="zh-CN" w:bidi="ar"/>
        </w:rPr>
      </w:pPr>
      <w:r>
        <w:rPr>
          <w:rFonts w:hint="eastAsia" w:ascii="宋体" w:hAnsi="宋体" w:cs="宋体"/>
          <w:color w:val="0000FF"/>
          <w:kern w:val="0"/>
          <w:sz w:val="24"/>
          <w:szCs w:val="24"/>
          <w:lang w:val="en-US" w:eastAsia="zh-CN" w:bidi="ar"/>
        </w:rPr>
        <w:t>2</w:t>
      </w:r>
      <w:r>
        <w:rPr>
          <w:rFonts w:hint="default" w:ascii="宋体" w:hAnsi="宋体" w:eastAsia="宋体" w:cs="宋体"/>
          <w:color w:val="0000FF"/>
          <w:kern w:val="0"/>
          <w:sz w:val="24"/>
          <w:szCs w:val="24"/>
          <w:lang w:val="en-US" w:eastAsia="zh-CN" w:bidi="ar"/>
        </w:rPr>
        <w:t>. 因乙方违规操作、管理失职、系统故障、风控缺失、服务不作为，造成年金基金资产损失、甲方或职工权益受损的，乙方承担全额赔偿责任。</w:t>
      </w:r>
    </w:p>
    <w:p w14:paraId="22BE33CB">
      <w:pPr>
        <w:pStyle w:val="2"/>
        <w:keepNext w:val="0"/>
        <w:keepLines w:val="0"/>
        <w:widowControl/>
        <w:suppressLineNumbers w:val="0"/>
        <w:jc w:val="center"/>
        <w:rPr>
          <w:rFonts w:ascii="宋体" w:hAnsi="宋体" w:eastAsia="宋体" w:cs="宋体"/>
        </w:rPr>
      </w:pPr>
      <w:r>
        <w:rPr>
          <w:rFonts w:ascii="宋体" w:hAnsi="宋体" w:eastAsia="宋体" w:cs="宋体"/>
        </w:rPr>
        <w:t>第五部分 专项约束条款</w:t>
      </w:r>
    </w:p>
    <w:p w14:paraId="717C5F6E">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一、保密责任</w:t>
      </w:r>
    </w:p>
    <w:p w14:paraId="05CD4B5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乙方对甲方经营数据、涉密信息、职工个人信息、年金运作全量数据、业务台账等信息承担永久保密责任，严禁泄露、外传、商用、篡改、倒卖。合同终止后保密义务持续有效，若发生泄密行为，乙方承担全部法律责任、行政处罚及全额经济赔偿。</w:t>
      </w:r>
    </w:p>
    <w:p w14:paraId="2B5090DB">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二、无缝移交约定</w:t>
      </w:r>
    </w:p>
    <w:p w14:paraId="554E90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合同到期、提前终止或甲方更换服务机构的，乙方须在15日内完成全部账户数据、资产资料、业务档案、系统权限、对账资料的完整、无损、无遗漏移交，不得扣留、篡改、隐匿、删除任何资料，保障年金业务无缝衔接、连续合规运作，否则视为严重违约。</w:t>
      </w:r>
    </w:p>
    <w:p w14:paraId="146326A6">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三、禁止转包分包</w:t>
      </w:r>
    </w:p>
    <w:p w14:paraId="4083383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本项目服务全程由乙方自主履约，严禁转包、分包、挂靠、委托第三方履约。一经发现转包分包行为，甲方可立即单方解除合同、没收履约保证金、追究违约责任、记入不良记录，由此产生的一切损失由乙方承担。</w:t>
      </w:r>
    </w:p>
    <w:p w14:paraId="67021A73">
      <w:pPr>
        <w:keepNext w:val="0"/>
        <w:keepLines w:val="0"/>
        <w:widowControl/>
        <w:suppressLineNumbers w:val="0"/>
        <w:spacing w:line="360" w:lineRule="auto"/>
        <w:jc w:val="left"/>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四、政策无偿适配义务</w:t>
      </w:r>
    </w:p>
    <w:p w14:paraId="508593B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服务期内国家、省市企业年金监管政策、制度、标准更新调整的，乙方须无条件、无偿完成系统升级、流程优化、制度适配、合规整改，保障全程合规，不得以此为由加价、延期、降低服务标准。</w:t>
      </w:r>
    </w:p>
    <w:p w14:paraId="5CBE7072">
      <w:pPr>
        <w:pStyle w:val="2"/>
        <w:keepNext w:val="0"/>
        <w:keepLines w:val="0"/>
        <w:widowControl/>
        <w:suppressLineNumbers w:val="0"/>
        <w:jc w:val="center"/>
        <w:rPr>
          <w:rFonts w:hint="default" w:ascii="宋体" w:hAnsi="宋体" w:eastAsia="宋体" w:cs="宋体"/>
          <w:color w:val="0000FF"/>
          <w:kern w:val="0"/>
          <w:sz w:val="28"/>
          <w:szCs w:val="28"/>
          <w:lang w:val="en-US" w:eastAsia="zh-CN" w:bidi="ar"/>
        </w:rPr>
      </w:pPr>
      <w:r>
        <w:rPr>
          <w:rFonts w:hint="default" w:ascii="宋体" w:hAnsi="宋体" w:eastAsia="宋体" w:cs="宋体"/>
          <w:color w:val="0000FF"/>
          <w:kern w:val="0"/>
          <w:sz w:val="28"/>
          <w:szCs w:val="28"/>
          <w:lang w:val="en-US" w:eastAsia="zh-CN" w:bidi="ar"/>
        </w:rPr>
        <w:t>第六部分 违约责任</w:t>
      </w:r>
    </w:p>
    <w:p w14:paraId="3F5EF1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w:t>
      </w:r>
      <w:r>
        <w:rPr>
          <w:rFonts w:hint="default" w:ascii="宋体" w:hAnsi="宋体" w:eastAsia="宋体" w:cs="宋体"/>
          <w:kern w:val="0"/>
          <w:sz w:val="24"/>
          <w:szCs w:val="24"/>
          <w:lang w:val="en-US" w:eastAsia="zh-CN" w:bidi="ar"/>
        </w:rPr>
        <w:t>. 乙方存在违规投资、风控失效、管理失职，造成基金资产损失的，全额赔偿损失，并承担监管处罚及甲方全部间接损失。</w:t>
      </w:r>
    </w:p>
    <w:p w14:paraId="53B4945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w:t>
      </w:r>
      <w:r>
        <w:rPr>
          <w:rFonts w:hint="default" w:ascii="宋体" w:hAnsi="宋体" w:eastAsia="宋体" w:cs="宋体"/>
          <w:kern w:val="0"/>
          <w:sz w:val="24"/>
          <w:szCs w:val="24"/>
          <w:lang w:val="en-US" w:eastAsia="zh-CN" w:bidi="ar"/>
        </w:rPr>
        <w:t>. 乙方存在泄密、数据篡改、资料隐匿、转包分包等严重违约行为的，甲方有权立即解约、追责、记入不良记录，乙方承担全部经济及法律责任。</w:t>
      </w:r>
    </w:p>
    <w:p w14:paraId="77A6669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3</w:t>
      </w:r>
      <w:r>
        <w:rPr>
          <w:rFonts w:hint="default" w:ascii="宋体" w:hAnsi="宋体" w:eastAsia="宋体" w:cs="宋体"/>
          <w:kern w:val="0"/>
          <w:sz w:val="24"/>
          <w:szCs w:val="24"/>
          <w:lang w:val="en-US" w:eastAsia="zh-CN" w:bidi="ar"/>
        </w:rPr>
        <w:t>. 甲方无正当理由逾期支付服务费的，按同期银行活期利率支付逾期利息。</w:t>
      </w:r>
    </w:p>
    <w:p w14:paraId="74165992">
      <w:pPr>
        <w:pStyle w:val="2"/>
        <w:keepNext w:val="0"/>
        <w:keepLines w:val="0"/>
        <w:widowControl/>
        <w:suppressLineNumbers w:val="0"/>
        <w:jc w:val="center"/>
        <w:rPr>
          <w:rFonts w:ascii="宋体" w:hAnsi="宋体" w:eastAsia="宋体" w:cs="宋体"/>
        </w:rPr>
      </w:pPr>
      <w:r>
        <w:rPr>
          <w:rFonts w:ascii="宋体" w:hAnsi="宋体" w:eastAsia="宋体" w:cs="宋体"/>
        </w:rPr>
        <w:t>第七部分 不可抗力与争议解决</w:t>
      </w:r>
    </w:p>
    <w:p w14:paraId="0949D14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因地震、灾害、重大政策突变等不可抗力导致无法履约的，双方互不追责，可协商延期或变更履约方式。</w:t>
      </w:r>
    </w:p>
    <w:p w14:paraId="49F4B4B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本合同履行过程中发生争议，双方优先友好协商解决；协商不成的，依法向甲方所在地人民法院提起诉讼。</w:t>
      </w:r>
    </w:p>
    <w:p w14:paraId="6EAAD78C">
      <w:pPr>
        <w:pStyle w:val="2"/>
        <w:keepNext w:val="0"/>
        <w:keepLines w:val="0"/>
        <w:widowControl/>
        <w:suppressLineNumbers w:val="0"/>
        <w:jc w:val="center"/>
        <w:rPr>
          <w:rFonts w:ascii="宋体" w:hAnsi="宋体" w:eastAsia="宋体" w:cs="宋体"/>
        </w:rPr>
      </w:pPr>
      <w:r>
        <w:rPr>
          <w:rFonts w:ascii="宋体" w:hAnsi="宋体" w:eastAsia="宋体" w:cs="宋体"/>
        </w:rPr>
        <w:t>第八部分 合同终止与附则</w:t>
      </w:r>
    </w:p>
    <w:p w14:paraId="7526956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本合同自双方签字盖章之日起生效，一式肆份，甲方贰份、乙方贰份，具有同等法律效力。</w:t>
      </w:r>
    </w:p>
    <w:p w14:paraId="05E530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本合同未尽事宜，双方可签订补充协议，补充协议与本合同具有同等法律效力。</w:t>
      </w:r>
    </w:p>
    <w:p w14:paraId="1B70172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本合同所有承诺、磋商文件、响应文件内容均为本合同履约依据，乙方投标承诺与合同内容不一致的，以更严格、更有利于甲方的条款为准。</w:t>
      </w:r>
    </w:p>
    <w:p w14:paraId="73D1483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本合同服务期满、款项结清、资料移交完毕后自动终止。</w:t>
      </w:r>
    </w:p>
    <w:p w14:paraId="561C6B27">
      <w:pPr>
        <w:pStyle w:val="2"/>
        <w:rPr>
          <w:rStyle w:val="11"/>
          <w:rFonts w:hint="default" w:ascii="宋体" w:hAnsi="宋体" w:eastAsia="宋体" w:cs="宋体"/>
          <w:kern w:val="0"/>
          <w:sz w:val="24"/>
          <w:szCs w:val="24"/>
          <w:lang w:val="en-US" w:eastAsia="zh-CN" w:bidi="ar"/>
        </w:rPr>
      </w:pPr>
      <w:r>
        <w:rPr>
          <w:rStyle w:val="11"/>
          <w:rFonts w:hint="default" w:ascii="宋体" w:hAnsi="宋体" w:eastAsia="宋体" w:cs="宋体"/>
          <w:kern w:val="0"/>
          <w:sz w:val="24"/>
          <w:szCs w:val="24"/>
          <w:lang w:val="en-US" w:eastAsia="zh-CN" w:bidi="ar"/>
        </w:rPr>
        <w:t>（以下无正文，为签字盖章页）</w:t>
      </w:r>
    </w:p>
    <w:p w14:paraId="250E36CB">
      <w:pPr>
        <w:rPr>
          <w:rStyle w:val="11"/>
          <w:rFonts w:hint="default" w:ascii="宋体" w:hAnsi="宋体" w:eastAsia="宋体" w:cs="宋体"/>
          <w:kern w:val="0"/>
          <w:sz w:val="24"/>
          <w:szCs w:val="24"/>
          <w:lang w:val="en-US" w:eastAsia="zh-CN" w:bidi="ar"/>
        </w:rPr>
      </w:pPr>
    </w:p>
    <w:p w14:paraId="73480079">
      <w:pPr>
        <w:pStyle w:val="2"/>
        <w:rPr>
          <w:rStyle w:val="11"/>
          <w:rFonts w:hint="default" w:ascii="宋体" w:hAnsi="宋体" w:eastAsia="宋体" w:cs="宋体"/>
          <w:kern w:val="0"/>
          <w:sz w:val="24"/>
          <w:szCs w:val="24"/>
          <w:lang w:val="en-US" w:eastAsia="zh-CN" w:bidi="ar"/>
        </w:rPr>
      </w:pPr>
    </w:p>
    <w:p w14:paraId="3634C7D0">
      <w:pPr>
        <w:rPr>
          <w:rFonts w:hint="default"/>
          <w:lang w:val="en-US" w:eastAsia="zh-CN"/>
        </w:rPr>
      </w:pPr>
    </w:p>
    <w:tbl>
      <w:tblPr>
        <w:tblStyle w:val="9"/>
        <w:tblW w:w="10022" w:type="dxa"/>
        <w:tblInd w:w="-7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4"/>
        <w:gridCol w:w="5168"/>
      </w:tblGrid>
      <w:tr w14:paraId="2E5F9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4" w:type="dxa"/>
            <w:tcBorders>
              <w:tl2br w:val="nil"/>
              <w:tr2bl w:val="nil"/>
            </w:tcBorders>
          </w:tcPr>
          <w:p w14:paraId="7BE7D2CE">
            <w:pPr>
              <w:keepNext w:val="0"/>
              <w:keepLines w:val="0"/>
              <w:widowControl/>
              <w:suppressLineNumbers w:val="0"/>
              <w:spacing w:before="0" w:beforeAutospacing="0" w:after="0" w:afterAutospacing="0" w:line="360" w:lineRule="auto"/>
              <w:ind w:left="0" w:right="0"/>
              <w:jc w:val="center"/>
            </w:pPr>
            <w:r>
              <w:rPr>
                <w:rStyle w:val="11"/>
                <w:rFonts w:hint="default" w:ascii="宋体" w:hAnsi="宋体" w:eastAsia="宋体" w:cs="宋体"/>
                <w:kern w:val="0"/>
                <w:sz w:val="24"/>
                <w:szCs w:val="24"/>
                <w:lang w:val="en-US" w:eastAsia="zh-CN" w:bidi="ar"/>
              </w:rPr>
              <w:t>采购人（甲方）（盖章）：</w:t>
            </w:r>
          </w:p>
          <w:p w14:paraId="07F424D9">
            <w:pPr>
              <w:keepNext w:val="0"/>
              <w:keepLines w:val="0"/>
              <w:widowControl/>
              <w:suppressLineNumbers w:val="0"/>
              <w:spacing w:before="0" w:beforeAutospacing="0" w:after="0" w:afterAutospacing="0" w:line="360" w:lineRule="auto"/>
              <w:ind w:left="0" w:right="0"/>
              <w:jc w:val="center"/>
            </w:pPr>
            <w:r>
              <w:rPr>
                <w:rFonts w:hint="default" w:ascii="宋体" w:hAnsi="宋体" w:eastAsia="宋体" w:cs="宋体"/>
                <w:kern w:val="0"/>
                <w:sz w:val="24"/>
                <w:szCs w:val="24"/>
                <w:lang w:val="en-US" w:eastAsia="zh-CN" w:bidi="ar"/>
              </w:rPr>
              <w:t>法定代表人/授权代表人（签字）：</w:t>
            </w:r>
          </w:p>
          <w:p w14:paraId="08EDB619">
            <w:pPr>
              <w:keepNext w:val="0"/>
              <w:keepLines w:val="0"/>
              <w:widowControl/>
              <w:suppressLineNumbers w:val="0"/>
              <w:spacing w:before="0" w:beforeAutospacing="0" w:after="0" w:afterAutospacing="0" w:line="360" w:lineRule="auto"/>
              <w:ind w:left="0" w:right="0"/>
              <w:jc w:val="center"/>
            </w:pPr>
            <w:r>
              <w:rPr>
                <w:rFonts w:hint="default" w:ascii="宋体" w:hAnsi="宋体" w:eastAsia="宋体" w:cs="宋体"/>
                <w:kern w:val="0"/>
                <w:sz w:val="24"/>
                <w:szCs w:val="24"/>
                <w:lang w:val="en-US" w:eastAsia="zh-CN" w:bidi="ar"/>
              </w:rPr>
              <w:t>日期：______年____月____日</w:t>
            </w:r>
          </w:p>
          <w:p w14:paraId="7F2A24D6">
            <w:pPr>
              <w:keepNext w:val="0"/>
              <w:keepLines w:val="0"/>
              <w:widowControl/>
              <w:suppressLineNumbers w:val="0"/>
              <w:spacing w:before="0" w:beforeAutospacing="0" w:after="0" w:afterAutospacing="0"/>
              <w:ind w:left="0" w:right="0"/>
              <w:jc w:val="center"/>
              <w:rPr>
                <w:rStyle w:val="11"/>
                <w:rFonts w:hint="default" w:ascii="宋体" w:hAnsi="宋体" w:eastAsia="宋体" w:cs="宋体"/>
                <w:kern w:val="0"/>
                <w:sz w:val="24"/>
                <w:szCs w:val="24"/>
                <w:vertAlign w:val="baseline"/>
                <w:lang w:val="en-US" w:eastAsia="zh-CN" w:bidi="ar"/>
              </w:rPr>
            </w:pPr>
          </w:p>
        </w:tc>
        <w:tc>
          <w:tcPr>
            <w:tcW w:w="5168" w:type="dxa"/>
            <w:tcBorders>
              <w:tl2br w:val="nil"/>
              <w:tr2bl w:val="nil"/>
            </w:tcBorders>
          </w:tcPr>
          <w:p w14:paraId="0AC948BF">
            <w:pPr>
              <w:keepNext w:val="0"/>
              <w:keepLines w:val="0"/>
              <w:widowControl/>
              <w:suppressLineNumbers w:val="0"/>
              <w:spacing w:before="0" w:beforeAutospacing="0" w:after="0" w:afterAutospacing="0" w:line="360" w:lineRule="auto"/>
              <w:ind w:left="0" w:right="0"/>
              <w:jc w:val="center"/>
            </w:pPr>
            <w:r>
              <w:rPr>
                <w:rStyle w:val="11"/>
                <w:rFonts w:hint="default" w:ascii="宋体" w:hAnsi="宋体" w:eastAsia="宋体" w:cs="宋体"/>
                <w:kern w:val="0"/>
                <w:sz w:val="24"/>
                <w:szCs w:val="24"/>
                <w:lang w:val="en-US" w:eastAsia="zh-CN" w:bidi="ar"/>
              </w:rPr>
              <w:t>成交供应商（乙方）（盖章）：</w:t>
            </w:r>
          </w:p>
          <w:p w14:paraId="0C5C57DC">
            <w:pPr>
              <w:keepNext w:val="0"/>
              <w:keepLines w:val="0"/>
              <w:widowControl/>
              <w:suppressLineNumbers w:val="0"/>
              <w:spacing w:before="0" w:beforeAutospacing="0" w:after="0" w:afterAutospacing="0" w:line="360" w:lineRule="auto"/>
              <w:ind w:left="0" w:right="0"/>
              <w:jc w:val="center"/>
            </w:pPr>
            <w:r>
              <w:rPr>
                <w:rFonts w:hint="default" w:ascii="宋体" w:hAnsi="宋体" w:eastAsia="宋体" w:cs="宋体"/>
                <w:kern w:val="0"/>
                <w:sz w:val="24"/>
                <w:szCs w:val="24"/>
                <w:lang w:val="en-US" w:eastAsia="zh-CN" w:bidi="ar"/>
              </w:rPr>
              <w:t>法定代表人/授权代表人（签字）：</w:t>
            </w:r>
          </w:p>
          <w:p w14:paraId="3F708F2C">
            <w:pPr>
              <w:keepNext w:val="0"/>
              <w:keepLines w:val="0"/>
              <w:widowControl/>
              <w:suppressLineNumbers w:val="0"/>
              <w:spacing w:before="0" w:beforeAutospacing="0" w:after="0" w:afterAutospacing="0" w:line="360" w:lineRule="auto"/>
              <w:ind w:left="0" w:right="0"/>
              <w:jc w:val="center"/>
            </w:pPr>
            <w:r>
              <w:rPr>
                <w:rFonts w:hint="default" w:ascii="宋体" w:hAnsi="宋体" w:eastAsia="宋体" w:cs="宋体"/>
                <w:kern w:val="0"/>
                <w:sz w:val="24"/>
                <w:szCs w:val="24"/>
                <w:lang w:val="en-US" w:eastAsia="zh-CN" w:bidi="ar"/>
              </w:rPr>
              <w:t>日期：______年____月____日</w:t>
            </w:r>
          </w:p>
          <w:p w14:paraId="4E06E746">
            <w:pPr>
              <w:keepNext w:val="0"/>
              <w:keepLines w:val="0"/>
              <w:widowControl/>
              <w:suppressLineNumbers w:val="0"/>
              <w:spacing w:before="0" w:beforeAutospacing="0" w:after="0" w:afterAutospacing="0"/>
              <w:ind w:left="0" w:right="0"/>
              <w:jc w:val="center"/>
              <w:rPr>
                <w:rStyle w:val="11"/>
                <w:rFonts w:hint="default" w:ascii="宋体" w:hAnsi="宋体" w:eastAsia="宋体" w:cs="宋体"/>
                <w:kern w:val="0"/>
                <w:sz w:val="24"/>
                <w:szCs w:val="24"/>
                <w:vertAlign w:val="baseline"/>
                <w:lang w:val="en-US" w:eastAsia="zh-CN" w:bidi="ar"/>
              </w:rPr>
            </w:pPr>
          </w:p>
        </w:tc>
      </w:tr>
    </w:tbl>
    <w:p w14:paraId="29CDC3D1">
      <w:pPr>
        <w:rPr>
          <w:rFonts w:hint="default"/>
          <w:lang w:val="en-US" w:eastAsia="zh-CN"/>
        </w:rPr>
      </w:pPr>
    </w:p>
    <w:p w14:paraId="2945F841"/>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95944">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9525"/>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301FAB">
                          <w:pPr>
                            <w:pStyle w:val="6"/>
                            <w:jc w:val="center"/>
                          </w:pPr>
                          <w:r>
                            <w:fldChar w:fldCharType="begin"/>
                          </w:r>
                          <w:r>
                            <w:instrText xml:space="preserve">PAGE   \* MERGEFORMAT</w:instrText>
                          </w:r>
                          <w:r>
                            <w:fldChar w:fldCharType="separate"/>
                          </w:r>
                          <w:r>
                            <w:rPr>
                              <w:lang w:val="zh-CN"/>
                            </w:rPr>
                            <w:t>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C301FAB">
                    <w:pPr>
                      <w:pStyle w:val="6"/>
                      <w:jc w:val="center"/>
                    </w:pPr>
                    <w:r>
                      <w:fldChar w:fldCharType="begin"/>
                    </w:r>
                    <w:r>
                      <w:instrText xml:space="preserve">PAGE   \* MERGEFORMAT</w:instrText>
                    </w:r>
                    <w:r>
                      <w:fldChar w:fldCharType="separate"/>
                    </w:r>
                    <w:r>
                      <w:rPr>
                        <w:lang w:val="zh-CN"/>
                      </w:rPr>
                      <w:t>3</w:t>
                    </w:r>
                    <w:r>
                      <w:fldChar w:fldCharType="end"/>
                    </w:r>
                  </w:p>
                </w:txbxContent>
              </v:textbox>
            </v:shape>
          </w:pict>
        </mc:Fallback>
      </mc:AlternateContent>
    </w:r>
  </w:p>
  <w:p w14:paraId="7EE46F58">
    <w:pPr>
      <w:pStyle w:val="6"/>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B941E">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46A"/>
    <w:rsid w:val="00096B43"/>
    <w:rsid w:val="00132B39"/>
    <w:rsid w:val="0046446A"/>
    <w:rsid w:val="00475A93"/>
    <w:rsid w:val="004F5EBD"/>
    <w:rsid w:val="007C0A8C"/>
    <w:rsid w:val="0081489C"/>
    <w:rsid w:val="00927272"/>
    <w:rsid w:val="00A8673A"/>
    <w:rsid w:val="00AB483C"/>
    <w:rsid w:val="00C17C28"/>
    <w:rsid w:val="00D11360"/>
    <w:rsid w:val="00E103D2"/>
    <w:rsid w:val="00FD5B07"/>
    <w:rsid w:val="0E1409F6"/>
    <w:rsid w:val="23841D23"/>
    <w:rsid w:val="5587605A"/>
    <w:rsid w:val="5FA8056B"/>
    <w:rsid w:val="60E07891"/>
    <w:rsid w:val="61224006"/>
    <w:rsid w:val="6CCD59F5"/>
    <w:rsid w:val="6D4D6372"/>
    <w:rsid w:val="73CB5271"/>
    <w:rsid w:val="78AC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4"/>
    <w:qFormat/>
    <w:uiPriority w:val="0"/>
    <w:pPr>
      <w:keepNext/>
      <w:spacing w:line="720" w:lineRule="exact"/>
      <w:outlineLvl w:val="1"/>
    </w:pPr>
    <w:rPr>
      <w:rFonts w:ascii="黑体" w:hAnsi="Copperplate Gothic Bold" w:eastAsia="楷体_GB2312"/>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5"/>
    <w:qFormat/>
    <w:uiPriority w:val="0"/>
    <w:pPr>
      <w:ind w:firstLine="420"/>
    </w:pPr>
  </w:style>
  <w:style w:type="paragraph" w:styleId="4">
    <w:name w:val="Body Text"/>
    <w:basedOn w:val="1"/>
    <w:link w:val="16"/>
    <w:qFormat/>
    <w:uiPriority w:val="0"/>
    <w:pPr>
      <w:jc w:val="left"/>
    </w:pPr>
    <w:rPr>
      <w:rFonts w:ascii="Copperplate Gothic Bold" w:hAnsi="Copperplate Gothic Bold"/>
      <w:sz w:val="28"/>
    </w:rPr>
  </w:style>
  <w:style w:type="paragraph" w:styleId="5">
    <w:name w:val="Balloon Text"/>
    <w:basedOn w:val="1"/>
    <w:link w:val="17"/>
    <w:semiHidden/>
    <w:unhideWhenUsed/>
    <w:qFormat/>
    <w:uiPriority w:val="99"/>
    <w:rPr>
      <w:sz w:val="18"/>
      <w:szCs w:val="18"/>
    </w:rPr>
  </w:style>
  <w:style w:type="paragraph" w:styleId="6">
    <w:name w:val="footer"/>
    <w:basedOn w:val="1"/>
    <w:next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character" w:customStyle="1" w:styleId="14">
    <w:name w:val="标题 2 Char"/>
    <w:basedOn w:val="10"/>
    <w:link w:val="2"/>
    <w:qFormat/>
    <w:uiPriority w:val="0"/>
    <w:rPr>
      <w:rFonts w:ascii="黑体" w:hAnsi="Copperplate Gothic Bold" w:eastAsia="楷体_GB2312" w:cs="Times New Roman"/>
      <w:sz w:val="28"/>
      <w:szCs w:val="20"/>
    </w:rPr>
  </w:style>
  <w:style w:type="character" w:customStyle="1" w:styleId="15">
    <w:name w:val="正文缩进 Char"/>
    <w:link w:val="3"/>
    <w:qFormat/>
    <w:uiPriority w:val="0"/>
    <w:rPr>
      <w:rFonts w:ascii="Times New Roman" w:hAnsi="Times New Roman" w:eastAsia="宋体" w:cs="Times New Roman"/>
      <w:szCs w:val="20"/>
    </w:rPr>
  </w:style>
  <w:style w:type="character" w:customStyle="1" w:styleId="16">
    <w:name w:val="正文文本 Char"/>
    <w:basedOn w:val="10"/>
    <w:link w:val="4"/>
    <w:qFormat/>
    <w:uiPriority w:val="0"/>
    <w:rPr>
      <w:rFonts w:ascii="Copperplate Gothic Bold" w:hAnsi="Copperplate Gothic Bold" w:eastAsia="宋体" w:cs="Times New Roman"/>
      <w:sz w:val="28"/>
      <w:szCs w:val="20"/>
    </w:rPr>
  </w:style>
  <w:style w:type="character" w:customStyle="1" w:styleId="17">
    <w:name w:val="批注框文本 Char"/>
    <w:basedOn w:val="10"/>
    <w:link w:val="5"/>
    <w:semiHidden/>
    <w:qFormat/>
    <w:uiPriority w:val="99"/>
    <w:rPr>
      <w:rFonts w:ascii="Times New Roman" w:hAnsi="Times New Roman" w:eastAsia="宋体" w:cs="Times New Roman"/>
      <w:sz w:val="18"/>
      <w:szCs w:val="18"/>
    </w:rPr>
  </w:style>
  <w:style w:type="paragraph" w:customStyle="1" w:styleId="18">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3939</Words>
  <Characters>4317</Characters>
  <Lines>13</Lines>
  <Paragraphs>3</Paragraphs>
  <TotalTime>10</TotalTime>
  <ScaleCrop>false</ScaleCrop>
  <LinksUpToDate>false</LinksUpToDate>
  <CharactersWithSpaces>4375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2024-05-20T01:45:00Z</dcterms:created>
  <dc:creator>Lenovo</dc:creator>
  <cp:lastModifiedBy>YY</cp:lastModifiedBy>
  <dcterms:modified xsi:type="dcterms:W3CDTF">2026-06-17T06:26:30Z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eyJoZGlkIjoiM2ZkYjQzNTI4OWMzMmU5NWFlMmU0MzVmNTg3MjlmMmMiLCJ1c2VySWQiOiIxNzUzNTMzNTQ0In0=</vt:lpwstr>
  </property>
  <property fmtid="{D5CDD505-2E9C-101B-9397-08002B2CF9AE}" pid="3" name="KSOProductBuildVer">
    <vt:lpwstr>2052-12.1.0.26895</vt:lpwstr>
  </property>
  <property fmtid="{D5CDD505-2E9C-101B-9397-08002B2CF9AE}" pid="4" name="ICV">
    <vt:lpwstr>CB8109F63E5742329E26CD9FCAE10318_13</vt:lpwstr>
  </property>
</Properties>
</file>