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998323">
      <w:pPr>
        <w:jc w:val="center"/>
        <w:rPr>
          <w:sz w:val="32"/>
          <w:szCs w:val="32"/>
          <w:lang w:eastAsia="zh-CN"/>
        </w:rPr>
      </w:pPr>
      <w:r>
        <w:rPr>
          <w:rFonts w:hint="eastAsia" w:ascii="宋体" w:hAnsi="宋体" w:cs="宋体"/>
          <w:b/>
          <w:sz w:val="32"/>
          <w:szCs w:val="32"/>
          <w:lang w:eastAsia="zh-CN" w:bidi="ar"/>
        </w:rPr>
        <w:t>详见附件：供应商资格证明文件</w:t>
      </w:r>
    </w:p>
    <w:p w14:paraId="2B952177">
      <w:pPr>
        <w:rPr>
          <w:rFonts w:ascii="宋体" w:hAnsi="宋体" w:cs="宋体"/>
          <w:sz w:val="24"/>
          <w:szCs w:val="24"/>
          <w:lang w:eastAsia="zh-CN" w:bidi="ar"/>
        </w:rPr>
      </w:pPr>
    </w:p>
    <w:p w14:paraId="13D63761">
      <w:pPr>
        <w:spacing w:line="360" w:lineRule="auto"/>
        <w:ind w:firstLine="480" w:firstLineChars="200"/>
        <w:outlineLvl w:val="2"/>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1、营业执照等主体资格证明文件：在中华人民共和国境内注册，依法取得并有效存续的营业执照（含电子营业执照）\事业单位法人证书\民办非企业单位登记证书\非企业专业服务机构执业许可证等。</w:t>
      </w:r>
    </w:p>
    <w:p w14:paraId="74E5284D">
      <w:pPr>
        <w:spacing w:line="360" w:lineRule="auto"/>
        <w:ind w:firstLine="480" w:firstLineChars="200"/>
        <w:outlineLvl w:val="2"/>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2、授权书：法定代表人（主要负责人）委托代理人参加磋商时，应提供法定代表人（主要负责人）委托授权书；法定代表人（主要负责人）亲自参加磋商时，应提供法定代表人（主要负责人）身份证明书。</w:t>
      </w:r>
    </w:p>
    <w:p w14:paraId="53E9886C">
      <w:pPr>
        <w:spacing w:line="360" w:lineRule="auto"/>
        <w:ind w:firstLine="480" w:firstLineChars="200"/>
        <w:outlineLvl w:val="2"/>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3、税收缴纳证明：提交响应文件截止时间前一年内至少一个月的纳税证明或完税证明（任意税种），纳税证明或完税证明上应有代收机构或税务机关的公章或业务专用章。（依法免税的供应商应提供相应文件证明）。</w:t>
      </w:r>
    </w:p>
    <w:p w14:paraId="6A3A44CA">
      <w:pPr>
        <w:spacing w:line="360" w:lineRule="auto"/>
        <w:ind w:firstLine="480" w:firstLineChars="200"/>
        <w:outlineLvl w:val="2"/>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4、社会保障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14:paraId="15B7DE19">
      <w:pPr>
        <w:spacing w:line="360" w:lineRule="auto"/>
        <w:ind w:firstLine="480" w:firstLineChars="200"/>
        <w:outlineLvl w:val="2"/>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5、财务状况报告：提供2024年度或2025年度经审计的财务会计报告（至少包括审计报告、资产负债表、现金流量表和</w:t>
      </w:r>
      <w:r>
        <w:rPr>
          <w:rFonts w:hint="eastAsia" w:ascii="宋体" w:hAnsi="宋体" w:eastAsia="宋体" w:cs="宋体"/>
          <w:snapToGrid/>
          <w:color w:val="auto"/>
          <w:kern w:val="2"/>
          <w:sz w:val="24"/>
          <w:szCs w:val="24"/>
          <w:highlight w:val="none"/>
          <w:lang w:eastAsia="zh-CN"/>
        </w:rPr>
        <w:t>利润表。且审计报告应当经过注册会计师行业统一监管平台</w:t>
      </w:r>
      <w:r>
        <w:rPr>
          <w:rFonts w:hint="eastAsia" w:ascii="宋体" w:hAnsi="宋体" w:cs="宋体"/>
          <w:sz w:val="24"/>
          <w:szCs w:val="24"/>
          <w:highlight w:val="none"/>
        </w:rPr>
        <w:t>（http://acc.mof.gov.cn）</w:t>
      </w:r>
      <w:r>
        <w:rPr>
          <w:rFonts w:hint="eastAsia" w:ascii="宋体" w:hAnsi="宋体" w:eastAsia="宋体" w:cs="宋体"/>
          <w:snapToGrid/>
          <w:color w:val="auto"/>
          <w:kern w:val="2"/>
          <w:sz w:val="24"/>
          <w:szCs w:val="24"/>
          <w:highlight w:val="none"/>
          <w:lang w:eastAsia="zh-CN"/>
        </w:rPr>
        <w:t>备案赋码。成立时间至提交响应文件截止时间不足一年的可提供成立后任意时段的资产负债表）或提</w:t>
      </w:r>
      <w:r>
        <w:rPr>
          <w:rFonts w:hint="eastAsia" w:ascii="宋体" w:hAnsi="宋体" w:eastAsia="宋体" w:cs="宋体"/>
          <w:snapToGrid/>
          <w:color w:val="auto"/>
          <w:kern w:val="2"/>
          <w:sz w:val="24"/>
          <w:szCs w:val="24"/>
          <w:lang w:eastAsia="zh-CN"/>
        </w:rPr>
        <w:t>交响应文件截止时间前六个月内其基本账户开户银行出具的资信证明(附基本存款账户信息）或信用担保机构出具的投标担保函（以上三种形式的资料提供任何一种即可）。</w:t>
      </w:r>
    </w:p>
    <w:p w14:paraId="0BA1DCD2">
      <w:pPr>
        <w:spacing w:line="360" w:lineRule="auto"/>
        <w:ind w:firstLine="480" w:firstLineChars="200"/>
        <w:outlineLvl w:val="2"/>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6、专业技术能力说明：供应商提供具有履行本合同所必需的设备和专业技术能力的承诺函。</w:t>
      </w:r>
    </w:p>
    <w:p w14:paraId="349DDBDE">
      <w:pPr>
        <w:spacing w:line="360" w:lineRule="auto"/>
        <w:ind w:firstLine="480" w:firstLineChars="200"/>
        <w:outlineLvl w:val="2"/>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7、参加本次政府采购活动前3年内在经营活动中没有重大违法记录。</w:t>
      </w:r>
    </w:p>
    <w:p w14:paraId="47CBC9C1">
      <w:pPr>
        <w:spacing w:line="360" w:lineRule="auto"/>
        <w:ind w:firstLine="480" w:firstLineChars="200"/>
        <w:outlineLvl w:val="2"/>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8、信用记录：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磋商（供应商无须提供，磋商现场查询）。</w:t>
      </w:r>
    </w:p>
    <w:p w14:paraId="33D77AE4">
      <w:pPr>
        <w:spacing w:line="360" w:lineRule="auto"/>
        <w:ind w:firstLine="480" w:firstLineChars="200"/>
        <w:outlineLvl w:val="2"/>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9、供应商承诺函：供应商非采购人单位职工及家属投资开办，其法人、股东和经营管理人员非采购人单位职工及家属。</w:t>
      </w:r>
      <w:bookmarkStart w:id="0" w:name="_GoBack"/>
      <w:bookmarkEnd w:id="0"/>
    </w:p>
    <w:p w14:paraId="3909C511">
      <w:pPr>
        <w:spacing w:line="360" w:lineRule="auto"/>
        <w:ind w:firstLine="480" w:firstLineChars="200"/>
        <w:outlineLvl w:val="2"/>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10、非联合体承诺书：本项目不接受联合体磋商。</w:t>
      </w:r>
    </w:p>
    <w:p w14:paraId="4B89FBEF">
      <w:pPr>
        <w:spacing w:line="560" w:lineRule="exact"/>
        <w:ind w:firstLine="480" w:firstLineChars="200"/>
        <w:rPr>
          <w:rFonts w:ascii="宋体" w:hAnsi="宋体" w:cs="仿宋"/>
          <w:sz w:val="24"/>
          <w:lang w:val="zh-CN" w:eastAsia="zh-CN"/>
        </w:rPr>
      </w:pPr>
    </w:p>
    <w:p w14:paraId="6768DD74">
      <w:pPr>
        <w:pStyle w:val="10"/>
        <w:spacing w:line="360" w:lineRule="auto"/>
        <w:rPr>
          <w:rFonts w:hint="default"/>
          <w:b/>
          <w:bCs/>
          <w:sz w:val="22"/>
          <w:szCs w:val="22"/>
          <w:lang w:eastAsia="zh-CN"/>
        </w:rPr>
      </w:pPr>
    </w:p>
    <w:p w14:paraId="056E1DF0"/>
    <w:sectPr>
      <w:footerReference r:id="rId3" w:type="default"/>
      <w:pgSz w:w="11900" w:h="16840"/>
      <w:pgMar w:top="1440" w:right="1800" w:bottom="1440" w:left="180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Lucida Sans Unicode">
    <w:panose1 w:val="020B0602030504020204"/>
    <w:charset w:val="00"/>
    <w:family w:val="swiss"/>
    <w:pitch w:val="default"/>
    <w:sig w:usb0="80001AFF" w:usb1="0000396B" w:usb2="00000000" w:usb3="00000000" w:csb0="200000BF" w:csb1="D7F70000"/>
  </w:font>
  <w:font w:name="仿宋">
    <w:panose1 w:val="02010609060101010101"/>
    <w:charset w:val="86"/>
    <w:family w:val="modern"/>
    <w:pitch w:val="default"/>
    <w:sig w:usb0="800002BF" w:usb1="38CF7CFA" w:usb2="00000016" w:usb3="00000000" w:csb0="00040001" w:csb1="00000000"/>
  </w:font>
  <w:font w:name="仿宋_GB2312">
    <w:altName w:val="仿宋"/>
    <w:panose1 w:val="020B0604020202020204"/>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D3E35">
    <w:pPr>
      <w:pStyle w:val="3"/>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7FC1CF">
                          <w:pPr>
                            <w:pStyle w:val="5"/>
                          </w:pPr>
                          <w:r>
                            <w:t xml:space="preserve">第 </w:t>
                          </w:r>
                          <w:r>
                            <w:fldChar w:fldCharType="begin"/>
                          </w:r>
                          <w:r>
                            <w:instrText xml:space="preserve"> PAGE  \* MERGEFORMAT </w:instrText>
                          </w:r>
                          <w:r>
                            <w:fldChar w:fldCharType="separate"/>
                          </w:r>
                          <w:r>
                            <w:t>41</w:t>
                          </w:r>
                          <w:r>
                            <w:fldChar w:fldCharType="end"/>
                          </w:r>
                          <w:r>
                            <w:t xml:space="preserve"> 页 共 </w:t>
                          </w:r>
                          <w:r>
                            <w:fldChar w:fldCharType="begin"/>
                          </w:r>
                          <w:r>
                            <w:instrText xml:space="preserve"> NUMPAGES  \* MERGEFORMAT </w:instrText>
                          </w:r>
                          <w:r>
                            <w:fldChar w:fldCharType="separate"/>
                          </w:r>
                          <w:r>
                            <w:t>82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687FC1CF">
                    <w:pPr>
                      <w:pStyle w:val="5"/>
                    </w:pPr>
                    <w:r>
                      <w:t xml:space="preserve">第 </w:t>
                    </w:r>
                    <w:r>
                      <w:fldChar w:fldCharType="begin"/>
                    </w:r>
                    <w:r>
                      <w:instrText xml:space="preserve"> PAGE  \* MERGEFORMAT </w:instrText>
                    </w:r>
                    <w:r>
                      <w:fldChar w:fldCharType="separate"/>
                    </w:r>
                    <w:r>
                      <w:t>41</w:t>
                    </w:r>
                    <w:r>
                      <w:fldChar w:fldCharType="end"/>
                    </w:r>
                    <w:r>
                      <w:t xml:space="preserve"> 页 共 </w:t>
                    </w:r>
                    <w:r>
                      <w:fldChar w:fldCharType="begin"/>
                    </w:r>
                    <w:r>
                      <w:instrText xml:space="preserve"> NUMPAGES  \* MERGEFORMAT </w:instrText>
                    </w:r>
                    <w:r>
                      <w:fldChar w:fldCharType="separate"/>
                    </w:r>
                    <w:r>
                      <w:t>82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7F4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unhideWhenUsed/>
    <w:qFormat/>
    <w:uiPriority w:val="0"/>
    <w:pPr>
      <w:keepNext/>
      <w:keepLines/>
      <w:numPr>
        <w:ilvl w:val="2"/>
        <w:numId w:val="1"/>
      </w:numPr>
      <w:spacing w:line="360" w:lineRule="auto"/>
      <w:outlineLvl w:val="2"/>
    </w:pPr>
    <w:rPr>
      <w:b/>
      <w:bCs/>
      <w:sz w:val="28"/>
      <w:szCs w:val="28"/>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style>
  <w:style w:type="paragraph" w:styleId="4">
    <w:name w:val="Plain Text"/>
    <w:basedOn w:val="1"/>
    <w:next w:val="1"/>
    <w:qFormat/>
    <w:uiPriority w:val="99"/>
    <w:rPr>
      <w:rFonts w:ascii="宋体" w:hAnsi="Courier New"/>
    </w:rPr>
  </w:style>
  <w:style w:type="paragraph" w:styleId="5">
    <w:name w:val="footer"/>
    <w:basedOn w:val="1"/>
    <w:qFormat/>
    <w:uiPriority w:val="0"/>
    <w:pPr>
      <w:tabs>
        <w:tab w:val="center" w:pos="4153"/>
        <w:tab w:val="right" w:pos="8306"/>
      </w:tabs>
    </w:pPr>
    <w:rPr>
      <w:sz w:val="18"/>
    </w:rPr>
  </w:style>
  <w:style w:type="paragraph" w:styleId="6">
    <w:name w:val="Normal (Web)"/>
    <w:basedOn w:val="1"/>
    <w:unhideWhenUsed/>
    <w:qFormat/>
    <w:uiPriority w:val="99"/>
    <w:pPr>
      <w:spacing w:before="100" w:beforeAutospacing="1" w:after="100" w:afterAutospacing="1"/>
    </w:pPr>
    <w:rPr>
      <w:rFonts w:cs="Times New Roman"/>
      <w:sz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19"/>
      <w:szCs w:val="19"/>
    </w:rPr>
  </w:style>
  <w:style w:type="character" w:customStyle="1" w:styleId="13">
    <w:name w:val="NormalCharacter"/>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2026-07-03T06:57:50Z</dcterms:created>
  <dc:creator>huawei</dc:creator>
  <cp:lastModifiedBy>牛超</cp:lastModifiedBy>
  <dcterms:modified xsi:type="dcterms:W3CDTF">2026-07-03T06:58:37Z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eyJoZGlkIjoiMzEwNTM5NzYwMDRjMzkwZTVkZjY2ODkwMGIxNGU0OTUiLCJ1c2VySWQiOiI0NTA5Nzk3MDQifQ==</vt:lpwstr>
  </property>
  <property fmtid="{D5CDD505-2E9C-101B-9397-08002B2CF9AE}" pid="4" name="ICV">
    <vt:lpwstr>300026AD75714CDABF2EB6F86F442D15_12</vt:lpwstr>
  </property>
</Properties>
</file>