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版本号：GXZB2026-085Z20260818001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液相色谱质谱联用仪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GXZB2026-085Z</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陕西国信招标有限公司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陕西国信招标有限公司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液相色谱质谱联用仪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GXZB2026-085Z</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液相色谱质谱联用仪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本项目拟对陕西能源职业技术学院液相色谱质谱联用仪进行采购，具体详见招标文件。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1、法定代表人授权书及被授权人身份证明：供应商应授权合法的人员参加投标全过程，其中法定代表人直接参加投标的，须出具法人身份证明。法定代表人授权代表参加投标的，须出具法定代表人授权书；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陕西能源职业技术学院经办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陕西省西安市曲江新区旺座曲江F座1708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高丹、孙翠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029-82680887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开户名称：陕西国信招标有限公司</w:t>
            </w:r>
          </w:p>
          <w:p>
            <w:pPr>
              <w:pStyle w:val="null3"/>
            </w:pPr>
            <w:r>
              <w:rPr>
                <w:rFonts w:ascii="仿宋_GB2312" w:hAnsi="仿宋_GB2312" w:cs="仿宋_GB2312" w:eastAsia="仿宋_GB2312"/>
              </w:rPr>
              <w:t>开户银行：浙商银行西安高新开发区支行</w:t>
            </w:r>
          </w:p>
          <w:p>
            <w:pPr>
              <w:pStyle w:val="null3"/>
            </w:pPr>
            <w:r>
              <w:rPr>
                <w:rFonts w:ascii="仿宋_GB2312" w:hAnsi="仿宋_GB2312" w:cs="仿宋_GB2312" w:eastAsia="仿宋_GB2312"/>
              </w:rPr>
              <w:t>银行账号：7910 0001 1012 0100 0561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说明：验收合格后一次性无息退还。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的金额参照《国家计委关于印发&lt;招标代理服务收费管理暂行办法&gt;的通知》（计价格[2002]1980号）和国家发改委办公厅颁发的《关于招标代理服务收费有关问题的通知》（发改办价格【2003】857号）的有关规定按下浮28%收取。 招标代理服务费专用户: 名 称：陕西国信招标有限公司 开户行：西安银行股份有限公司咸宁中路支行 帐 号：4120 1158 00000 61474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陕西国信招标有限公司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以合同条款及双⽅约定为准。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联系人：高丹、孙翠</w:t>
      </w:r>
    </w:p>
    <w:p>
      <w:pPr>
        <w:pStyle w:val="null3"/>
      </w:pPr>
      <w:r>
        <w:rPr>
          <w:rFonts w:ascii="仿宋_GB2312" w:hAnsi="仿宋_GB2312" w:cs="仿宋_GB2312" w:eastAsia="仿宋_GB2312"/>
        </w:rPr>
        <w:t>联系电话：029-82680887</w:t>
      </w:r>
    </w:p>
    <w:p>
      <w:pPr>
        <w:pStyle w:val="null3"/>
      </w:pPr>
      <w:r>
        <w:rPr>
          <w:rFonts w:ascii="仿宋_GB2312" w:hAnsi="仿宋_GB2312" w:cs="仿宋_GB2312" w:eastAsia="仿宋_GB2312"/>
        </w:rPr>
        <w:t>地址：陕西省西安市曲江新区旺座曲江F座1708</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本项目拟对陕西能源职业技术学院液相色谱质谱联用仪进行采购，具体详见招标文件。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液相色谱质谱联用仪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标的名称：液相色谱质谱联用仪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液相色谱质谱联用仪</w:t>
            </w:r>
          </w:p>
          <w:p>
            <w:pPr>
              <w:pStyle w:val="null3"/>
              <w:jc w:val="center"/>
            </w:pPr>
            <w:r>
              <w:rPr>
                <w:rFonts w:ascii="仿宋_GB2312" w:hAnsi="仿宋_GB2312" w:cs="仿宋_GB2312" w:eastAsia="仿宋_GB2312"/>
                <w:sz w:val="24"/>
                <w:b/>
                <w:color w:val="000000"/>
              </w:rPr>
              <w:t>设备配置清单</w:t>
            </w:r>
          </w:p>
          <w:tbl>
            <w:tblPr>
              <w:tblInd w:type="dxa" w:w="135"/>
              <w:tblBorders>
                <w:top w:val="none" w:color="000000" w:sz="4"/>
                <w:left w:val="none" w:color="000000" w:sz="4"/>
                <w:bottom w:val="none" w:color="000000" w:sz="4"/>
                <w:right w:val="none" w:color="000000" w:sz="4"/>
                <w:insideH w:val="none"/>
                <w:insideV w:val="none"/>
              </w:tblBorders>
            </w:tblPr>
            <w:tblGrid>
              <w:gridCol w:w="343"/>
              <w:gridCol w:w="1881"/>
              <w:gridCol w:w="209"/>
            </w:tblGrid>
            <w:tr>
              <w:tc>
                <w:tcPr>
                  <w:tcW w:type="dxa" w:w="343"/>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仪器设备名称</w:t>
                  </w:r>
                </w:p>
              </w:tc>
              <w:tc>
                <w:tcPr>
                  <w:tcW w:type="dxa" w:w="1881"/>
                  <w:tcBorders>
                    <w:top w:val="doub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技术指标要求</w:t>
                  </w:r>
                </w:p>
              </w:tc>
              <w:tc>
                <w:tcPr>
                  <w:tcW w:type="dxa" w:w="209"/>
                  <w:tcBorders>
                    <w:top w:val="double" w:color="000000" w:sz="4"/>
                    <w:left w:val="single" w:color="000000" w:sz="4"/>
                    <w:bottom w:val="sing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43"/>
                  <w:tcBorders>
                    <w:top w:val="singl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液相色谱质谱联用仪</w:t>
                  </w:r>
                </w:p>
                <w:p>
                  <w:pPr>
                    <w:pStyle w:val="null3"/>
                    <w:jc w:val="center"/>
                  </w:pPr>
                </w:p>
              </w:tc>
              <w:tc>
                <w:tcPr>
                  <w:tcW w:type="dxa" w:w="1881"/>
                  <w:tcBorders>
                    <w:top w:val="single" w:color="000000" w:sz="4"/>
                    <w:left w:val="single" w:color="000000" w:sz="4"/>
                    <w:bottom w:val="doub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液相色谱部分</w:t>
                  </w:r>
                  <w:r>
                    <w:br/>
                  </w:r>
                  <w:r>
                    <w:rPr>
                      <w:rFonts w:ascii="仿宋_GB2312" w:hAnsi="仿宋_GB2312" w:cs="仿宋_GB2312" w:eastAsia="仿宋_GB2312"/>
                      <w:sz w:val="21"/>
                    </w:rPr>
                    <w:t>1.1</w:t>
                  </w:r>
                  <w:r>
                    <w:rPr>
                      <w:rFonts w:ascii="仿宋_GB2312" w:hAnsi="仿宋_GB2312" w:cs="仿宋_GB2312" w:eastAsia="仿宋_GB2312"/>
                      <w:sz w:val="21"/>
                    </w:rPr>
                    <w:t>四元梯度系统</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1</w:t>
                  </w:r>
                  <w:r>
                    <w:rPr>
                      <w:rFonts w:ascii="仿宋_GB2312" w:hAnsi="仿宋_GB2312" w:cs="仿宋_GB2312" w:eastAsia="仿宋_GB2312"/>
                      <w:sz w:val="21"/>
                    </w:rPr>
                    <w:t>驱动马达数量：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2</w:t>
                  </w:r>
                  <w:r>
                    <w:rPr>
                      <w:rFonts w:ascii="仿宋_GB2312" w:hAnsi="仿宋_GB2312" w:cs="仿宋_GB2312" w:eastAsia="仿宋_GB2312"/>
                      <w:sz w:val="21"/>
                    </w:rPr>
                    <w:t>压力传感器数量：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3</w:t>
                  </w:r>
                  <w:r>
                    <w:rPr>
                      <w:rFonts w:ascii="仿宋_GB2312" w:hAnsi="仿宋_GB2312" w:cs="仿宋_GB2312" w:eastAsia="仿宋_GB2312"/>
                      <w:sz w:val="21"/>
                    </w:rPr>
                    <w:t>延迟体积不随反压变化；</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4</w:t>
                  </w:r>
                  <w:r>
                    <w:rPr>
                      <w:rFonts w:ascii="仿宋_GB2312" w:hAnsi="仿宋_GB2312" w:cs="仿宋_GB2312" w:eastAsia="仿宋_GB2312"/>
                      <w:sz w:val="21"/>
                    </w:rPr>
                    <w:t>压缩补偿：自动连续；</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5</w:t>
                  </w:r>
                  <w:r>
                    <w:rPr>
                      <w:rFonts w:ascii="仿宋_GB2312" w:hAnsi="仿宋_GB2312" w:cs="仿宋_GB2312" w:eastAsia="仿宋_GB2312"/>
                      <w:sz w:val="21"/>
                    </w:rPr>
                    <w:t>流量范围：</w:t>
                  </w:r>
                  <w:r>
                    <w:rPr>
                      <w:rFonts w:ascii="仿宋_GB2312" w:hAnsi="仿宋_GB2312" w:cs="仿宋_GB2312" w:eastAsia="仿宋_GB2312"/>
                      <w:sz w:val="21"/>
                    </w:rPr>
                    <w:t>0.001</w:t>
                  </w:r>
                  <w:r>
                    <w:rPr>
                      <w:rFonts w:ascii="仿宋_GB2312" w:hAnsi="仿宋_GB2312" w:cs="仿宋_GB2312" w:eastAsia="仿宋_GB2312"/>
                      <w:sz w:val="21"/>
                    </w:rPr>
                    <w:t>～</w:t>
                  </w:r>
                  <w:r>
                    <w:rPr>
                      <w:rFonts w:ascii="仿宋_GB2312" w:hAnsi="仿宋_GB2312" w:cs="仿宋_GB2312" w:eastAsia="仿宋_GB2312"/>
                      <w:sz w:val="21"/>
                    </w:rPr>
                    <w:t>4.000 mL/min</w:t>
                  </w:r>
                  <w:r>
                    <w:rPr>
                      <w:rFonts w:ascii="仿宋_GB2312" w:hAnsi="仿宋_GB2312" w:cs="仿宋_GB2312" w:eastAsia="仿宋_GB2312"/>
                      <w:sz w:val="21"/>
                    </w:rPr>
                    <w:t>，增量为≤</w:t>
                  </w:r>
                  <w:r>
                    <w:rPr>
                      <w:rFonts w:ascii="仿宋_GB2312" w:hAnsi="仿宋_GB2312" w:cs="仿宋_GB2312" w:eastAsia="仿宋_GB2312"/>
                      <w:sz w:val="21"/>
                    </w:rPr>
                    <w:t>0.001mL/min</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6</w:t>
                  </w:r>
                  <w:r>
                    <w:rPr>
                      <w:rFonts w:ascii="仿宋_GB2312" w:hAnsi="仿宋_GB2312" w:cs="仿宋_GB2312" w:eastAsia="仿宋_GB2312"/>
                      <w:sz w:val="21"/>
                    </w:rPr>
                    <w:t>最大操作压力</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62</w:t>
                  </w:r>
                  <w:r>
                    <w:rPr>
                      <w:rFonts w:ascii="仿宋_GB2312" w:hAnsi="仿宋_GB2312" w:cs="仿宋_GB2312" w:eastAsia="仿宋_GB2312"/>
                      <w:sz w:val="21"/>
                    </w:rPr>
                    <w:t>MPa</w:t>
                  </w:r>
                  <w:r>
                    <w:rPr>
                      <w:rFonts w:ascii="仿宋_GB2312" w:hAnsi="仿宋_GB2312" w:cs="仿宋_GB2312" w:eastAsia="仿宋_GB2312"/>
                      <w:sz w:val="21"/>
                    </w:rPr>
                    <w:t>或</w:t>
                  </w:r>
                  <w:r>
                    <w:rPr>
                      <w:rFonts w:ascii="仿宋_GB2312" w:hAnsi="仿宋_GB2312" w:cs="仿宋_GB2312" w:eastAsia="仿宋_GB2312"/>
                      <w:sz w:val="21"/>
                    </w:rPr>
                    <w:t>620bar</w:t>
                  </w:r>
                  <w:r>
                    <w:rPr>
                      <w:rFonts w:ascii="仿宋_GB2312" w:hAnsi="仿宋_GB2312" w:cs="仿宋_GB2312" w:eastAsia="仿宋_GB2312"/>
                      <w:sz w:val="21"/>
                    </w:rPr>
                    <w:t>或</w:t>
                  </w:r>
                  <w:r>
                    <w:rPr>
                      <w:rFonts w:ascii="仿宋_GB2312" w:hAnsi="仿宋_GB2312" w:cs="仿宋_GB2312" w:eastAsia="仿宋_GB2312"/>
                      <w:sz w:val="21"/>
                    </w:rPr>
                    <w:t>9000psi</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w:t>
                  </w:r>
                  <w:r>
                    <w:rPr>
                      <w:rFonts w:ascii="仿宋_GB2312" w:hAnsi="仿宋_GB2312" w:cs="仿宋_GB2312" w:eastAsia="仿宋_GB2312"/>
                      <w:sz w:val="21"/>
                    </w:rPr>
                    <w:t>7</w:t>
                  </w:r>
                  <w:r>
                    <w:rPr>
                      <w:rFonts w:ascii="仿宋_GB2312" w:hAnsi="仿宋_GB2312" w:cs="仿宋_GB2312" w:eastAsia="仿宋_GB2312"/>
                      <w:sz w:val="21"/>
                    </w:rPr>
                    <w:t>流速准确度：</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1.1.8</w:t>
                  </w:r>
                  <w:r>
                    <w:rPr>
                      <w:rFonts w:ascii="仿宋_GB2312" w:hAnsi="仿宋_GB2312" w:cs="仿宋_GB2312" w:eastAsia="仿宋_GB2312"/>
                      <w:sz w:val="21"/>
                    </w:rPr>
                    <w:t>混合准确度：</w:t>
                  </w:r>
                  <w:r>
                    <w:rPr>
                      <w:rFonts w:ascii="仿宋_GB2312" w:hAnsi="仿宋_GB2312" w:cs="仿宋_GB2312" w:eastAsia="仿宋_GB2312"/>
                      <w:sz w:val="21"/>
                    </w:rPr>
                    <w:t>≤</w:t>
                  </w:r>
                  <w:r>
                    <w:rPr>
                      <w:rFonts w:ascii="仿宋_GB2312" w:hAnsi="仿宋_GB2312" w:cs="仿宋_GB2312" w:eastAsia="仿宋_GB2312"/>
                      <w:sz w:val="21"/>
                    </w:rPr>
                    <w:t>0.5%</w:t>
                  </w:r>
                  <w:r>
                    <w:rPr>
                      <w:rFonts w:ascii="仿宋_GB2312" w:hAnsi="仿宋_GB2312" w:cs="仿宋_GB2312" w:eastAsia="仿宋_GB2312"/>
                      <w:sz w:val="21"/>
                    </w:rPr>
                    <w:t>，不随反压变化；</w:t>
                  </w:r>
                </w:p>
                <w:p>
                  <w:pPr>
                    <w:pStyle w:val="null3"/>
                    <w:jc w:val="left"/>
                  </w:pPr>
                  <w:r>
                    <w:rPr>
                      <w:rFonts w:ascii="仿宋_GB2312" w:hAnsi="仿宋_GB2312" w:cs="仿宋_GB2312" w:eastAsia="仿宋_GB2312"/>
                      <w:sz w:val="21"/>
                    </w:rPr>
                    <w:t>1.1.9</w:t>
                  </w:r>
                  <w:r>
                    <w:rPr>
                      <w:rFonts w:ascii="仿宋_GB2312" w:hAnsi="仿宋_GB2312" w:cs="仿宋_GB2312" w:eastAsia="仿宋_GB2312"/>
                      <w:sz w:val="21"/>
                    </w:rPr>
                    <w:t>混合精度：</w:t>
                  </w:r>
                  <w:r>
                    <w:rPr>
                      <w:rFonts w:ascii="仿宋_GB2312" w:hAnsi="仿宋_GB2312" w:cs="仿宋_GB2312" w:eastAsia="仿宋_GB2312"/>
                      <w:sz w:val="21"/>
                    </w:rPr>
                    <w:t>≤</w:t>
                  </w:r>
                  <w:r>
                    <w:rPr>
                      <w:rFonts w:ascii="仿宋_GB2312" w:hAnsi="仿宋_GB2312" w:cs="仿宋_GB2312" w:eastAsia="仿宋_GB2312"/>
                      <w:sz w:val="21"/>
                    </w:rPr>
                    <w:t>0.15% RSD</w:t>
                  </w:r>
                  <w:r>
                    <w:rPr>
                      <w:rFonts w:ascii="仿宋_GB2312" w:hAnsi="仿宋_GB2312" w:cs="仿宋_GB2312" w:eastAsia="仿宋_GB2312"/>
                      <w:sz w:val="21"/>
                    </w:rPr>
                    <w:t>，不随反压变化；</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w:t>
                  </w:r>
                  <w:r>
                    <w:rPr>
                      <w:rFonts w:ascii="仿宋_GB2312" w:hAnsi="仿宋_GB2312" w:cs="仿宋_GB2312" w:eastAsia="仿宋_GB2312"/>
                      <w:sz w:val="21"/>
                    </w:rPr>
                    <w:t>10</w:t>
                  </w:r>
                  <w:r>
                    <w:rPr>
                      <w:rFonts w:ascii="仿宋_GB2312" w:hAnsi="仿宋_GB2312" w:cs="仿宋_GB2312" w:eastAsia="仿宋_GB2312"/>
                      <w:sz w:val="21"/>
                    </w:rPr>
                    <w:t>梯度变化模式：预编不少于</w:t>
                  </w:r>
                  <w:r>
                    <w:rPr>
                      <w:rFonts w:ascii="仿宋_GB2312" w:hAnsi="仿宋_GB2312" w:cs="仿宋_GB2312" w:eastAsia="仿宋_GB2312"/>
                      <w:sz w:val="21"/>
                    </w:rPr>
                    <w:t>10</w:t>
                  </w:r>
                  <w:r>
                    <w:rPr>
                      <w:rFonts w:ascii="仿宋_GB2312" w:hAnsi="仿宋_GB2312" w:cs="仿宋_GB2312" w:eastAsia="仿宋_GB2312"/>
                      <w:sz w:val="21"/>
                    </w:rPr>
                    <w:t>种梯度曲线</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1.1.11</w:t>
                  </w:r>
                  <w:r>
                    <w:rPr>
                      <w:rFonts w:ascii="仿宋_GB2312" w:hAnsi="仿宋_GB2312" w:cs="仿宋_GB2312" w:eastAsia="仿宋_GB2312"/>
                      <w:sz w:val="21"/>
                    </w:rPr>
                    <w:t>自动缓冲盐配制功能：可实现自动配制缓冲盐浓度和</w:t>
                  </w:r>
                  <w:r>
                    <w:rPr>
                      <w:rFonts w:ascii="仿宋_GB2312" w:hAnsi="仿宋_GB2312" w:cs="仿宋_GB2312" w:eastAsia="仿宋_GB2312"/>
                      <w:sz w:val="21"/>
                    </w:rPr>
                    <w:t>pH</w:t>
                  </w:r>
                  <w:r>
                    <w:rPr>
                      <w:rFonts w:ascii="仿宋_GB2312" w:hAnsi="仿宋_GB2312" w:cs="仿宋_GB2312" w:eastAsia="仿宋_GB2312"/>
                      <w:sz w:val="21"/>
                    </w:rPr>
                    <w:t>值梯度变化</w:t>
                  </w:r>
                  <w:r>
                    <w:rPr>
                      <w:rFonts w:ascii="仿宋_GB2312" w:hAnsi="仿宋_GB2312" w:cs="仿宋_GB2312" w:eastAsia="仿宋_GB2312"/>
                      <w:sz w:val="21"/>
                    </w:rPr>
                    <w:t>，</w:t>
                  </w:r>
                  <w:r>
                    <w:rPr>
                      <w:rFonts w:ascii="仿宋_GB2312" w:hAnsi="仿宋_GB2312" w:cs="仿宋_GB2312" w:eastAsia="仿宋_GB2312"/>
                      <w:sz w:val="21"/>
                    </w:rPr>
                    <w:t>pH</w:t>
                  </w:r>
                  <w:r>
                    <w:rPr>
                      <w:rFonts w:ascii="仿宋_GB2312" w:hAnsi="仿宋_GB2312" w:cs="仿宋_GB2312" w:eastAsia="仿宋_GB2312"/>
                      <w:sz w:val="21"/>
                    </w:rPr>
                    <w:t>值配置准确度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w:t>
                  </w:r>
                  <w:r>
                    <w:rPr>
                      <w:rFonts w:ascii="仿宋_GB2312" w:hAnsi="仿宋_GB2312" w:cs="仿宋_GB2312" w:eastAsia="仿宋_GB2312"/>
                      <w:sz w:val="21"/>
                    </w:rPr>
                    <w:t>；</w:t>
                  </w:r>
                  <w:r>
                    <w:rPr>
                      <w:rFonts w:ascii="仿宋_GB2312" w:hAnsi="仿宋_GB2312" w:cs="仿宋_GB2312" w:eastAsia="仿宋_GB2312"/>
                      <w:sz w:val="21"/>
                    </w:rPr>
                    <w:t>pH</w:t>
                  </w:r>
                  <w:r>
                    <w:rPr>
                      <w:rFonts w:ascii="仿宋_GB2312" w:hAnsi="仿宋_GB2312" w:cs="仿宋_GB2312" w:eastAsia="仿宋_GB2312"/>
                      <w:sz w:val="21"/>
                    </w:rPr>
                    <w:t>值配置精度：</w:t>
                  </w:r>
                  <w:r>
                    <w:rPr>
                      <w:rFonts w:ascii="仿宋_GB2312" w:hAnsi="仿宋_GB2312" w:cs="仿宋_GB2312" w:eastAsia="仿宋_GB2312"/>
                      <w:sz w:val="21"/>
                    </w:rPr>
                    <w:t>&lt;2.5%RSD</w:t>
                  </w:r>
                  <w:r>
                    <w:rPr>
                      <w:rFonts w:ascii="仿宋_GB2312" w:hAnsi="仿宋_GB2312" w:cs="仿宋_GB2312" w:eastAsia="仿宋_GB2312"/>
                      <w:sz w:val="21"/>
                    </w:rPr>
                    <w:t>；内置缓冲盐配置体系数量：≥</w:t>
                  </w:r>
                  <w:r>
                    <w:rPr>
                      <w:rFonts w:ascii="仿宋_GB2312" w:hAnsi="仿宋_GB2312" w:cs="仿宋_GB2312" w:eastAsia="仿宋_GB2312"/>
                      <w:sz w:val="21"/>
                    </w:rPr>
                    <w:t>8</w:t>
                  </w:r>
                  <w:r>
                    <w:rPr>
                      <w:rFonts w:ascii="仿宋_GB2312" w:hAnsi="仿宋_GB2312" w:cs="仿宋_GB2312" w:eastAsia="仿宋_GB2312"/>
                      <w:sz w:val="21"/>
                    </w:rPr>
                    <w:t>种</w:t>
                  </w:r>
                  <w:r>
                    <w:rPr>
                      <w:rFonts w:ascii="仿宋_GB2312" w:hAnsi="仿宋_GB2312" w:cs="仿宋_GB2312" w:eastAsia="仿宋_GB2312"/>
                      <w:sz w:val="21"/>
                    </w:rPr>
                    <w:t>；梯度种类：</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种；</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自动进样器</w:t>
                  </w:r>
                </w:p>
                <w:p>
                  <w:pPr>
                    <w:pStyle w:val="null3"/>
                    <w:jc w:val="left"/>
                  </w:pPr>
                  <w:r>
                    <w:rPr>
                      <w:rFonts w:ascii="仿宋_GB2312" w:hAnsi="仿宋_GB2312" w:cs="仿宋_GB2312" w:eastAsia="仿宋_GB2312"/>
                      <w:sz w:val="21"/>
                    </w:rPr>
                    <w:t>1.2.1</w:t>
                  </w:r>
                  <w:r>
                    <w:rPr>
                      <w:rFonts w:ascii="仿宋_GB2312" w:hAnsi="仿宋_GB2312" w:cs="仿宋_GB2312" w:eastAsia="仿宋_GB2312"/>
                      <w:sz w:val="21"/>
                    </w:rPr>
                    <w:t>样品容量：≥</w:t>
                  </w:r>
                  <w:r>
                    <w:rPr>
                      <w:rFonts w:ascii="仿宋_GB2312" w:hAnsi="仿宋_GB2312" w:cs="仿宋_GB2312" w:eastAsia="仿宋_GB2312"/>
                      <w:sz w:val="21"/>
                    </w:rPr>
                    <w:t>90</w:t>
                  </w:r>
                  <w:r>
                    <w:rPr>
                      <w:rFonts w:ascii="仿宋_GB2312" w:hAnsi="仿宋_GB2312" w:cs="仿宋_GB2312" w:eastAsia="仿宋_GB2312"/>
                      <w:sz w:val="21"/>
                    </w:rPr>
                    <w:t>位；</w:t>
                  </w:r>
                </w:p>
                <w:p>
                  <w:pPr>
                    <w:pStyle w:val="null3"/>
                    <w:jc w:val="left"/>
                  </w:pPr>
                  <w:r>
                    <w:rPr>
                      <w:rFonts w:ascii="仿宋_GB2312" w:hAnsi="仿宋_GB2312" w:cs="仿宋_GB2312" w:eastAsia="仿宋_GB2312"/>
                      <w:sz w:val="21"/>
                    </w:rPr>
                    <w:t>1.2.2</w:t>
                  </w:r>
                  <w:r>
                    <w:rPr>
                      <w:rFonts w:ascii="仿宋_GB2312" w:hAnsi="仿宋_GB2312" w:cs="仿宋_GB2312" w:eastAsia="仿宋_GB2312"/>
                      <w:sz w:val="21"/>
                    </w:rPr>
                    <w:t>进样体积：</w:t>
                  </w:r>
                  <w:r>
                    <w:rPr>
                      <w:rFonts w:ascii="仿宋_GB2312" w:hAnsi="仿宋_GB2312" w:cs="仿宋_GB2312" w:eastAsia="仿宋_GB2312"/>
                      <w:sz w:val="21"/>
                    </w:rPr>
                    <w:t>0.1</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μ</w:t>
                  </w:r>
                  <w:r>
                    <w:rPr>
                      <w:rFonts w:ascii="仿宋_GB2312" w:hAnsi="仿宋_GB2312" w:cs="仿宋_GB2312" w:eastAsia="仿宋_GB2312"/>
                      <w:sz w:val="21"/>
                    </w:rPr>
                    <w:t>L</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1.2.3</w:t>
                  </w:r>
                  <w:r>
                    <w:rPr>
                      <w:rFonts w:ascii="仿宋_GB2312" w:hAnsi="仿宋_GB2312" w:cs="仿宋_GB2312" w:eastAsia="仿宋_GB2312"/>
                      <w:sz w:val="21"/>
                    </w:rPr>
                    <w:t>进样精度：</w:t>
                  </w:r>
                  <w:r>
                    <w:rPr>
                      <w:rFonts w:ascii="仿宋_GB2312" w:hAnsi="仿宋_GB2312" w:cs="仿宋_GB2312" w:eastAsia="仿宋_GB2312"/>
                      <w:sz w:val="21"/>
                    </w:rPr>
                    <w:t>≤</w:t>
                  </w:r>
                  <w:r>
                    <w:rPr>
                      <w:rFonts w:ascii="仿宋_GB2312" w:hAnsi="仿宋_GB2312" w:cs="仿宋_GB2312" w:eastAsia="仿宋_GB2312"/>
                      <w:sz w:val="21"/>
                    </w:rPr>
                    <w:t>0.3% RSD</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4</w:t>
                  </w:r>
                  <w:r>
                    <w:rPr>
                      <w:rFonts w:ascii="仿宋_GB2312" w:hAnsi="仿宋_GB2312" w:cs="仿宋_GB2312" w:eastAsia="仿宋_GB2312"/>
                      <w:sz w:val="21"/>
                    </w:rPr>
                    <w:t>温度范围：</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35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1.2.</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交叉污染：</w:t>
                  </w:r>
                  <w:r>
                    <w:rPr>
                      <w:rFonts w:ascii="仿宋_GB2312" w:hAnsi="仿宋_GB2312" w:cs="仿宋_GB2312" w:eastAsia="仿宋_GB2312"/>
                      <w:sz w:val="21"/>
                    </w:rPr>
                    <w:t>≤</w:t>
                  </w:r>
                  <w:r>
                    <w:rPr>
                      <w:rFonts w:ascii="仿宋_GB2312" w:hAnsi="仿宋_GB2312" w:cs="仿宋_GB2312" w:eastAsia="仿宋_GB2312"/>
                      <w:sz w:val="21"/>
                    </w:rPr>
                    <w:t>0.0025%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 xml:space="preserve">1.3 </w:t>
                  </w:r>
                  <w:r>
                    <w:rPr>
                      <w:rFonts w:ascii="仿宋_GB2312" w:hAnsi="仿宋_GB2312" w:cs="仿宋_GB2312" w:eastAsia="仿宋_GB2312"/>
                      <w:sz w:val="21"/>
                    </w:rPr>
                    <w:t>柱温箱</w:t>
                  </w:r>
                  <w:r>
                    <w:rPr>
                      <w:rFonts w:ascii="仿宋_GB2312" w:hAnsi="仿宋_GB2312" w:cs="仿宋_GB2312" w:eastAsia="仿宋_GB2312"/>
                      <w:sz w:val="21"/>
                    </w:rPr>
                    <w:t>：</w:t>
                  </w:r>
                  <w:r>
                    <w:rPr>
                      <w:rFonts w:ascii="仿宋_GB2312" w:hAnsi="仿宋_GB2312" w:cs="仿宋_GB2312" w:eastAsia="仿宋_GB2312"/>
                      <w:sz w:val="21"/>
                    </w:rPr>
                    <w:t>温度范围：</w:t>
                  </w:r>
                  <w:r>
                    <w:rPr>
                      <w:rFonts w:ascii="仿宋_GB2312" w:hAnsi="仿宋_GB2312" w:cs="仿宋_GB2312" w:eastAsia="仿宋_GB2312"/>
                      <w:sz w:val="21"/>
                    </w:rPr>
                    <w:t>（</w:t>
                  </w:r>
                  <w:r>
                    <w:rPr>
                      <w:rFonts w:ascii="仿宋_GB2312" w:hAnsi="仿宋_GB2312" w:cs="仿宋_GB2312" w:eastAsia="仿宋_GB2312"/>
                      <w:sz w:val="21"/>
                    </w:rPr>
                    <w:t>室温</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℃；控温精度：±≤</w:t>
                  </w:r>
                  <w:r>
                    <w:rPr>
                      <w:rFonts w:ascii="仿宋_GB2312" w:hAnsi="仿宋_GB2312" w:cs="仿宋_GB2312" w:eastAsia="仿宋_GB2312"/>
                      <w:sz w:val="21"/>
                    </w:rPr>
                    <w:t>0.1</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紫外检测器</w:t>
                  </w:r>
                </w:p>
                <w:p>
                  <w:pPr>
                    <w:pStyle w:val="null3"/>
                    <w:jc w:val="left"/>
                  </w:pPr>
                  <w:r>
                    <w:rPr>
                      <w:rFonts w:ascii="仿宋_GB2312" w:hAnsi="仿宋_GB2312" w:cs="仿宋_GB2312" w:eastAsia="仿宋_GB2312"/>
                      <w:sz w:val="21"/>
                    </w:rPr>
                    <w:t>1.4.1</w:t>
                  </w:r>
                  <w:r>
                    <w:rPr>
                      <w:rFonts w:ascii="仿宋_GB2312" w:hAnsi="仿宋_GB2312" w:cs="仿宋_GB2312" w:eastAsia="仿宋_GB2312"/>
                      <w:sz w:val="21"/>
                    </w:rPr>
                    <w:t>波长范围：</w:t>
                  </w:r>
                  <w:r>
                    <w:rPr>
                      <w:rFonts w:ascii="仿宋_GB2312" w:hAnsi="仿宋_GB2312" w:cs="仿宋_GB2312" w:eastAsia="仿宋_GB2312"/>
                      <w:sz w:val="21"/>
                    </w:rPr>
                    <w:t>200</w:t>
                  </w:r>
                  <w:r>
                    <w:rPr>
                      <w:rFonts w:ascii="仿宋_GB2312" w:hAnsi="仿宋_GB2312" w:cs="仿宋_GB2312" w:eastAsia="仿宋_GB2312"/>
                      <w:sz w:val="21"/>
                    </w:rPr>
                    <w:t>～</w:t>
                  </w:r>
                  <w:r>
                    <w:rPr>
                      <w:rFonts w:ascii="仿宋_GB2312" w:hAnsi="仿宋_GB2312" w:cs="仿宋_GB2312" w:eastAsia="仿宋_GB2312"/>
                      <w:sz w:val="21"/>
                    </w:rPr>
                    <w:t>700nm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1.4.2</w:t>
                  </w:r>
                  <w:r>
                    <w:rPr>
                      <w:rFonts w:ascii="仿宋_GB2312" w:hAnsi="仿宋_GB2312" w:cs="仿宋_GB2312" w:eastAsia="仿宋_GB2312"/>
                      <w:sz w:val="21"/>
                    </w:rPr>
                    <w:t>波长准确度：</w:t>
                  </w:r>
                  <w:r>
                    <w:rPr>
                      <w:rFonts w:ascii="仿宋_GB2312" w:hAnsi="仿宋_GB2312" w:cs="仿宋_GB2312" w:eastAsia="仿宋_GB2312"/>
                      <w:sz w:val="21"/>
                    </w:rPr>
                    <w:t>±</w:t>
                  </w:r>
                  <w:r>
                    <w:rPr>
                      <w:rFonts w:ascii="仿宋_GB2312" w:hAnsi="仿宋_GB2312" w:cs="仿宋_GB2312" w:eastAsia="仿宋_GB2312"/>
                      <w:sz w:val="21"/>
                    </w:rPr>
                    <w:t>1nm</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3</w:t>
                  </w:r>
                  <w:r>
                    <w:rPr>
                      <w:rFonts w:ascii="仿宋_GB2312" w:hAnsi="仿宋_GB2312" w:cs="仿宋_GB2312" w:eastAsia="仿宋_GB2312"/>
                      <w:sz w:val="21"/>
                    </w:rPr>
                    <w:t>基线噪音：</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-6</w:t>
                  </w:r>
                  <w:r>
                    <w:rPr>
                      <w:rFonts w:ascii="仿宋_GB2312" w:hAnsi="仿宋_GB2312" w:cs="仿宋_GB2312" w:eastAsia="仿宋_GB2312"/>
                      <w:sz w:val="21"/>
                    </w:rPr>
                    <w:t>AU</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1.4.4</w:t>
                  </w:r>
                  <w:r>
                    <w:rPr>
                      <w:rFonts w:ascii="仿宋_GB2312" w:hAnsi="仿宋_GB2312" w:cs="仿宋_GB2312" w:eastAsia="仿宋_GB2312"/>
                      <w:sz w:val="21"/>
                    </w:rPr>
                    <w:t>基线</w:t>
                  </w:r>
                  <w:r>
                    <w:rPr>
                      <w:rFonts w:ascii="仿宋_GB2312" w:hAnsi="仿宋_GB2312" w:cs="仿宋_GB2312" w:eastAsia="仿宋_GB2312"/>
                      <w:sz w:val="21"/>
                    </w:rPr>
                    <w:t>漂移：</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vertAlign w:val="superscript"/>
                    </w:rPr>
                    <w:t>-4</w:t>
                  </w:r>
                  <w:r>
                    <w:rPr>
                      <w:rFonts w:ascii="仿宋_GB2312" w:hAnsi="仿宋_GB2312" w:cs="仿宋_GB2312" w:eastAsia="仿宋_GB2312"/>
                      <w:sz w:val="21"/>
                    </w:rPr>
                    <w:t>AU/hr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1.4.</w:t>
                  </w:r>
                  <w:r>
                    <w:rPr>
                      <w:rFonts w:ascii="仿宋_GB2312" w:hAnsi="仿宋_GB2312" w:cs="仿宋_GB2312" w:eastAsia="仿宋_GB2312"/>
                      <w:sz w:val="21"/>
                    </w:rPr>
                    <w:t>5</w:t>
                  </w:r>
                  <w:r>
                    <w:rPr>
                      <w:rFonts w:ascii="仿宋_GB2312" w:hAnsi="仿宋_GB2312" w:cs="仿宋_GB2312" w:eastAsia="仿宋_GB2312"/>
                      <w:sz w:val="21"/>
                    </w:rPr>
                    <w:t>吸收范围：</w:t>
                  </w:r>
                  <w:r>
                    <w:rPr>
                      <w:rFonts w:ascii="仿宋_GB2312" w:hAnsi="仿宋_GB2312" w:cs="仿宋_GB2312" w:eastAsia="仿宋_GB2312"/>
                      <w:sz w:val="21"/>
                    </w:rPr>
                    <w:t>0.0001</w:t>
                  </w:r>
                  <w:r>
                    <w:rPr>
                      <w:rFonts w:ascii="仿宋_GB2312" w:hAnsi="仿宋_GB2312" w:cs="仿宋_GB2312" w:eastAsia="仿宋_GB2312"/>
                      <w:sz w:val="21"/>
                    </w:rPr>
                    <w:t>～</w:t>
                  </w:r>
                  <w:r>
                    <w:rPr>
                      <w:rFonts w:ascii="仿宋_GB2312" w:hAnsi="仿宋_GB2312" w:cs="仿宋_GB2312" w:eastAsia="仿宋_GB2312"/>
                      <w:sz w:val="21"/>
                    </w:rPr>
                    <w:t>4.0000 AU</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质</w:t>
                  </w:r>
                  <w:r>
                    <w:rPr>
                      <w:rFonts w:ascii="仿宋_GB2312" w:hAnsi="仿宋_GB2312" w:cs="仿宋_GB2312" w:eastAsia="仿宋_GB2312"/>
                      <w:sz w:val="21"/>
                    </w:rPr>
                    <w:t>谱部分</w:t>
                  </w:r>
                  <w:r>
                    <w:br/>
                  </w:r>
                  <w:r>
                    <w:rPr>
                      <w:rFonts w:ascii="仿宋_GB2312" w:hAnsi="仿宋_GB2312" w:cs="仿宋_GB2312" w:eastAsia="仿宋_GB2312"/>
                      <w:sz w:val="21"/>
                    </w:rPr>
                    <w:t>2.1</w:t>
                  </w:r>
                  <w:r>
                    <w:rPr>
                      <w:rFonts w:ascii="仿宋_GB2312" w:hAnsi="仿宋_GB2312" w:cs="仿宋_GB2312" w:eastAsia="仿宋_GB2312"/>
                      <w:sz w:val="21"/>
                    </w:rPr>
                    <w:t>大气压离子源具备中性粒子去除能力，可有效降低大量复杂基质脏样品对仪器的污染，离子源喷针支持免工具更换，无需手动调整喷针位置；</w:t>
                  </w:r>
                  <w:r>
                    <w:br/>
                  </w:r>
                  <w:r>
                    <w:rPr>
                      <w:rFonts w:ascii="仿宋_GB2312" w:hAnsi="仿宋_GB2312" w:cs="仿宋_GB2312" w:eastAsia="仿宋_GB2312"/>
                      <w:sz w:val="21"/>
                    </w:rPr>
                    <w:t>▲</w:t>
                  </w:r>
                  <w:r>
                    <w:rPr>
                      <w:rFonts w:ascii="仿宋_GB2312" w:hAnsi="仿宋_GB2312" w:cs="仿宋_GB2312" w:eastAsia="仿宋_GB2312"/>
                      <w:sz w:val="21"/>
                    </w:rPr>
                    <w:t xml:space="preserve">2.2 </w:t>
                  </w:r>
                  <w:r>
                    <w:rPr>
                      <w:rFonts w:ascii="仿宋_GB2312" w:hAnsi="仿宋_GB2312" w:cs="仿宋_GB2312" w:eastAsia="仿宋_GB2312"/>
                      <w:sz w:val="21"/>
                    </w:rPr>
                    <w:t>离子源传输</w:t>
                  </w:r>
                  <w:r>
                    <w:rPr>
                      <w:rFonts w:ascii="仿宋_GB2312" w:hAnsi="仿宋_GB2312" w:cs="仿宋_GB2312" w:eastAsia="仿宋_GB2312"/>
                      <w:sz w:val="21"/>
                    </w:rPr>
                    <w:t>部分采用锥孔设计</w:t>
                  </w:r>
                  <w:r>
                    <w:rPr>
                      <w:rFonts w:ascii="仿宋_GB2312" w:hAnsi="仿宋_GB2312" w:cs="仿宋_GB2312" w:eastAsia="仿宋_GB2312"/>
                      <w:sz w:val="21"/>
                    </w:rPr>
                    <w:t>，具备防冷凝、防热裂解、抗堵塞能力，核心维护部件更换无需卸除质谱高真空，维护便捷；</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 xml:space="preserve">2.3 </w:t>
                  </w:r>
                  <w:r>
                    <w:rPr>
                      <w:rFonts w:ascii="仿宋_GB2312" w:hAnsi="仿宋_GB2312" w:cs="仿宋_GB2312" w:eastAsia="仿宋_GB2312"/>
                      <w:sz w:val="21"/>
                    </w:rPr>
                    <w:t>雾化气温度：</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0</w:t>
                  </w:r>
                  <w:r>
                    <w:rPr>
                      <w:rFonts w:ascii="仿宋_GB2312" w:hAnsi="仿宋_GB2312" w:cs="仿宋_GB2312" w:eastAsia="仿宋_GB2312"/>
                      <w:sz w:val="21"/>
                    </w:rPr>
                    <w:t>0</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2.4</w:t>
                  </w:r>
                  <w:r>
                    <w:rPr>
                      <w:rFonts w:ascii="仿宋_GB2312" w:hAnsi="仿宋_GB2312" w:cs="仿宋_GB2312" w:eastAsia="仿宋_GB2312"/>
                      <w:sz w:val="21"/>
                    </w:rPr>
                    <w:t>真空系统：开机后≤</w:t>
                  </w:r>
                  <w:r>
                    <w:rPr>
                      <w:rFonts w:ascii="仿宋_GB2312" w:hAnsi="仿宋_GB2312" w:cs="仿宋_GB2312" w:eastAsia="仿宋_GB2312"/>
                      <w:sz w:val="21"/>
                    </w:rPr>
                    <w:t>7</w:t>
                  </w:r>
                  <w:r>
                    <w:rPr>
                      <w:rFonts w:ascii="仿宋_GB2312" w:hAnsi="仿宋_GB2312" w:cs="仿宋_GB2312" w:eastAsia="仿宋_GB2312"/>
                      <w:sz w:val="21"/>
                    </w:rPr>
                    <w:t>分钟达到定性所需真空度，≤</w:t>
                  </w:r>
                  <w:r>
                    <w:rPr>
                      <w:rFonts w:ascii="仿宋_GB2312" w:hAnsi="仿宋_GB2312" w:cs="仿宋_GB2312" w:eastAsia="仿宋_GB2312"/>
                      <w:sz w:val="21"/>
                    </w:rPr>
                    <w:t>22</w:t>
                  </w:r>
                  <w:r>
                    <w:rPr>
                      <w:rFonts w:ascii="仿宋_GB2312" w:hAnsi="仿宋_GB2312" w:cs="仿宋_GB2312" w:eastAsia="仿宋_GB2312"/>
                      <w:sz w:val="21"/>
                    </w:rPr>
                    <w:t>分钟达到定量分析所需真空度。具备快捷启动能力，支持日常快关机，具备完善断电保护功能，保护真空泵使用寿命；</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2.5</w:t>
                  </w:r>
                  <w:r>
                    <w:rPr>
                      <w:rFonts w:ascii="仿宋_GB2312" w:hAnsi="仿宋_GB2312" w:cs="仿宋_GB2312" w:eastAsia="仿宋_GB2312"/>
                      <w:sz w:val="21"/>
                    </w:rPr>
                    <w:t>检测器：采用长寿命光电倍增器。若采用电子倍增器，需配置至少</w:t>
                  </w:r>
                  <w:r>
                    <w:rPr>
                      <w:rFonts w:ascii="仿宋_GB2312" w:hAnsi="仿宋_GB2312" w:cs="仿宋_GB2312" w:eastAsia="仿宋_GB2312"/>
                      <w:sz w:val="21"/>
                    </w:rPr>
                    <w:t>5</w:t>
                  </w:r>
                  <w:r>
                    <w:rPr>
                      <w:rFonts w:ascii="仿宋_GB2312" w:hAnsi="仿宋_GB2312" w:cs="仿宋_GB2312" w:eastAsia="仿宋_GB2312"/>
                      <w:sz w:val="21"/>
                    </w:rPr>
                    <w:t>个备用；</w:t>
                  </w:r>
                </w:p>
                <w:p>
                  <w:pPr>
                    <w:pStyle w:val="null3"/>
                    <w:jc w:val="left"/>
                  </w:pPr>
                  <w:r>
                    <w:rPr>
                      <w:rFonts w:ascii="仿宋_GB2312" w:hAnsi="仿宋_GB2312" w:cs="仿宋_GB2312" w:eastAsia="仿宋_GB2312"/>
                      <w:sz w:val="21"/>
                    </w:rPr>
                    <w:t xml:space="preserve">2.6 </w:t>
                  </w:r>
                  <w:r>
                    <w:rPr>
                      <w:rFonts w:ascii="仿宋_GB2312" w:hAnsi="仿宋_GB2312" w:cs="仿宋_GB2312" w:eastAsia="仿宋_GB2312"/>
                      <w:sz w:val="21"/>
                    </w:rPr>
                    <w:t>质量范围：</w:t>
                  </w:r>
                  <w:r>
                    <w:rPr>
                      <w:rFonts w:ascii="仿宋_GB2312" w:hAnsi="仿宋_GB2312" w:cs="仿宋_GB2312" w:eastAsia="仿宋_GB2312"/>
                      <w:sz w:val="21"/>
                    </w:rPr>
                    <w:t>涵盖</w:t>
                  </w:r>
                  <w:r>
                    <w:rPr>
                      <w:rFonts w:ascii="仿宋_GB2312" w:hAnsi="仿宋_GB2312" w:cs="仿宋_GB2312" w:eastAsia="仿宋_GB2312"/>
                      <w:sz w:val="21"/>
                    </w:rPr>
                    <w:t>30-</w:t>
                  </w:r>
                  <w:r>
                    <w:rPr>
                      <w:rFonts w:ascii="仿宋_GB2312" w:hAnsi="仿宋_GB2312" w:cs="仿宋_GB2312" w:eastAsia="仿宋_GB2312"/>
                      <w:sz w:val="21"/>
                    </w:rPr>
                    <w:t>1500m/z</w:t>
                  </w:r>
                  <w:r>
                    <w:rPr>
                      <w:rFonts w:ascii="仿宋_GB2312" w:hAnsi="仿宋_GB2312" w:cs="仿宋_GB2312" w:eastAsia="仿宋_GB2312"/>
                      <w:sz w:val="21"/>
                    </w:rPr>
                    <w:t>；质量数稳定性：≤</w:t>
                  </w:r>
                  <w:r>
                    <w:rPr>
                      <w:rFonts w:ascii="仿宋_GB2312" w:hAnsi="仿宋_GB2312" w:cs="仿宋_GB2312" w:eastAsia="仿宋_GB2312"/>
                      <w:sz w:val="21"/>
                    </w:rPr>
                    <w:t>0.1amu/24hr</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 xml:space="preserve"> </w:t>
                  </w:r>
                  <w:r>
                    <w:rPr>
                      <w:rFonts w:ascii="仿宋_GB2312" w:hAnsi="仿宋_GB2312" w:cs="仿宋_GB2312" w:eastAsia="仿宋_GB2312"/>
                      <w:sz w:val="21"/>
                    </w:rPr>
                    <w:t>正负离子切换时间：</w:t>
                  </w:r>
                  <w:r>
                    <w:rPr>
                      <w:rFonts w:ascii="仿宋_GB2312" w:hAnsi="仿宋_GB2312" w:cs="仿宋_GB2312" w:eastAsia="仿宋_GB2312"/>
                      <w:sz w:val="21"/>
                    </w:rPr>
                    <w:t>≤</w:t>
                  </w:r>
                  <w:r>
                    <w:rPr>
                      <w:rFonts w:ascii="仿宋_GB2312" w:hAnsi="仿宋_GB2312" w:cs="仿宋_GB2312" w:eastAsia="仿宋_GB2312"/>
                      <w:sz w:val="21"/>
                    </w:rPr>
                    <w:t>25ms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采集速率：</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个数据点</w:t>
                  </w:r>
                  <w:r>
                    <w:rPr>
                      <w:rFonts w:ascii="仿宋_GB2312" w:hAnsi="仿宋_GB2312" w:cs="仿宋_GB2312" w:eastAsia="仿宋_GB2312"/>
                      <w:sz w:val="21"/>
                    </w:rPr>
                    <w:t>/</w:t>
                  </w:r>
                  <w:r>
                    <w:rPr>
                      <w:rFonts w:ascii="仿宋_GB2312" w:hAnsi="仿宋_GB2312" w:cs="仿宋_GB2312" w:eastAsia="仿宋_GB2312"/>
                      <w:sz w:val="21"/>
                    </w:rPr>
                    <w:t>秒</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 xml:space="preserve"> </w:t>
                  </w:r>
                  <w:r>
                    <w:rPr>
                      <w:rFonts w:ascii="仿宋_GB2312" w:hAnsi="仿宋_GB2312" w:cs="仿宋_GB2312" w:eastAsia="仿宋_GB2312"/>
                      <w:sz w:val="21"/>
                    </w:rPr>
                    <w:t>扫描模式：全扫描模式（</w:t>
                  </w:r>
                  <w:r>
                    <w:rPr>
                      <w:rFonts w:ascii="仿宋_GB2312" w:hAnsi="仿宋_GB2312" w:cs="仿宋_GB2312" w:eastAsia="仿宋_GB2312"/>
                      <w:sz w:val="21"/>
                    </w:rPr>
                    <w:t>Full Scan</w:t>
                  </w:r>
                  <w:r>
                    <w:rPr>
                      <w:rFonts w:ascii="仿宋_GB2312" w:hAnsi="仿宋_GB2312" w:cs="仿宋_GB2312" w:eastAsia="仿宋_GB2312"/>
                      <w:sz w:val="21"/>
                    </w:rPr>
                    <w:t>）、选择离子扫描模式（</w:t>
                  </w:r>
                  <w:r>
                    <w:rPr>
                      <w:rFonts w:ascii="仿宋_GB2312" w:hAnsi="仿宋_GB2312" w:cs="仿宋_GB2312" w:eastAsia="仿宋_GB2312"/>
                      <w:sz w:val="21"/>
                    </w:rPr>
                    <w:t>SIR</w:t>
                  </w:r>
                  <w:r>
                    <w:rPr>
                      <w:rFonts w:ascii="仿宋_GB2312" w:hAnsi="仿宋_GB2312" w:cs="仿宋_GB2312" w:eastAsia="仿宋_GB2312"/>
                      <w:sz w:val="21"/>
                    </w:rPr>
                    <w:t>）、双重扫描模式（</w:t>
                  </w:r>
                  <w:r>
                    <w:rPr>
                      <w:rFonts w:ascii="仿宋_GB2312" w:hAnsi="仿宋_GB2312" w:cs="仿宋_GB2312" w:eastAsia="仿宋_GB2312"/>
                      <w:sz w:val="21"/>
                    </w:rPr>
                    <w:t>RADAR</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软件：</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种校正拟合定量计算方式；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种数据检索模式；</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可自定义样品信息和编辑计算公式实现特殊的计算：样品信息类型</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；数据类型≥</w:t>
                  </w:r>
                  <w:r>
                    <w:rPr>
                      <w:rFonts w:ascii="仿宋_GB2312" w:hAnsi="仿宋_GB2312" w:cs="仿宋_GB2312" w:eastAsia="仿宋_GB2312"/>
                      <w:sz w:val="21"/>
                    </w:rPr>
                    <w:t>5</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报告格式</w:t>
                  </w:r>
                  <w:r>
                    <w:rPr>
                      <w:rFonts w:ascii="仿宋_GB2312" w:hAnsi="仿宋_GB2312" w:cs="仿宋_GB2312" w:eastAsia="仿宋_GB2312"/>
                      <w:sz w:val="21"/>
                    </w:rPr>
                    <w:t>可</w:t>
                  </w:r>
                  <w:r>
                    <w:rPr>
                      <w:rFonts w:ascii="仿宋_GB2312" w:hAnsi="仿宋_GB2312" w:cs="仿宋_GB2312" w:eastAsia="仿宋_GB2312"/>
                      <w:sz w:val="21"/>
                    </w:rPr>
                    <w:t>编辑和排版：结果</w:t>
                  </w:r>
                  <w:r>
                    <w:rPr>
                      <w:rFonts w:ascii="仿宋_GB2312" w:hAnsi="仿宋_GB2312" w:cs="仿宋_GB2312" w:eastAsia="仿宋_GB2312"/>
                      <w:sz w:val="21"/>
                    </w:rPr>
                    <w:t>可生成</w:t>
                  </w:r>
                  <w:r>
                    <w:rPr>
                      <w:rFonts w:ascii="仿宋_GB2312" w:hAnsi="仿宋_GB2312" w:cs="仿宋_GB2312" w:eastAsia="仿宋_GB2312"/>
                      <w:sz w:val="21"/>
                    </w:rPr>
                    <w:t>单个报告和综合报告；</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配置</w:t>
                  </w:r>
                  <w:r>
                    <w:rPr>
                      <w:rFonts w:ascii="仿宋_GB2312" w:hAnsi="仿宋_GB2312" w:cs="仿宋_GB2312" w:eastAsia="仿宋_GB2312"/>
                      <w:sz w:val="21"/>
                    </w:rPr>
                    <w:t>要求</w:t>
                  </w:r>
                </w:p>
                <w:tbl>
                  <w:tblPr>
                    <w:tblBorders>
                      <w:top w:val="none" w:color="000000" w:sz="4"/>
                      <w:left w:val="none" w:color="000000" w:sz="4"/>
                      <w:bottom w:val="none" w:color="000000" w:sz="4"/>
                      <w:right w:val="none" w:color="000000" w:sz="4"/>
                      <w:insideH w:val="none"/>
                      <w:insideV w:val="none"/>
                    </w:tblBorders>
                  </w:tblPr>
                  <w:tblGrid>
                    <w:gridCol w:w="384"/>
                    <w:gridCol w:w="837"/>
                    <w:gridCol w:w="433"/>
                  </w:tblGrid>
                  <w:tr>
                    <w:tc>
                      <w:tcPr>
                        <w:tcW w:type="dxa" w:w="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产品名称</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配置清单</w:t>
                        </w:r>
                      </w:p>
                    </w:tc>
                    <w:tc>
                      <w:tcPr>
                        <w:tcW w:type="dxa" w:w="4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38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液相色谱</w:t>
                        </w:r>
                      </w:p>
                      <w:p>
                        <w:pPr>
                          <w:pStyle w:val="null3"/>
                          <w:jc w:val="center"/>
                        </w:pPr>
                        <w:r>
                          <w:rPr>
                            <w:rFonts w:ascii="仿宋_GB2312" w:hAnsi="仿宋_GB2312" w:cs="仿宋_GB2312" w:eastAsia="仿宋_GB2312"/>
                            <w:sz w:val="21"/>
                          </w:rPr>
                          <w:t>质谱联用仪</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四元梯度系统</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自动进样器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柱温箱</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紫外检测器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四极杆质谱</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软件</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PEEK</w:t>
                        </w:r>
                        <w:r>
                          <w:rPr>
                            <w:rFonts w:ascii="仿宋_GB2312" w:hAnsi="仿宋_GB2312" w:cs="仿宋_GB2312" w:eastAsia="仿宋_GB2312"/>
                            <w:sz w:val="21"/>
                          </w:rPr>
                          <w:t>接头</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2个</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C18</w:t>
                        </w:r>
                        <w:r>
                          <w:rPr>
                            <w:rFonts w:ascii="仿宋_GB2312" w:hAnsi="仿宋_GB2312" w:cs="仿宋_GB2312" w:eastAsia="仿宋_GB2312"/>
                            <w:sz w:val="21"/>
                          </w:rPr>
                          <w:t>色谱柱（</w:t>
                        </w:r>
                        <w:r>
                          <w:rPr>
                            <w:rFonts w:ascii="仿宋_GB2312" w:hAnsi="仿宋_GB2312" w:cs="仿宋_GB2312" w:eastAsia="仿宋_GB2312"/>
                            <w:sz w:val="21"/>
                          </w:rPr>
                          <w:t>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4.6*250mm</w:t>
                        </w:r>
                        <w:r>
                          <w:rPr>
                            <w:rFonts w:ascii="仿宋_GB2312" w:hAnsi="仿宋_GB2312" w:cs="仿宋_GB2312" w:eastAsia="仿宋_GB2312"/>
                            <w:sz w:val="21"/>
                          </w:rPr>
                          <w:t>）</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3根</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C18</w:t>
                        </w:r>
                        <w:r>
                          <w:rPr>
                            <w:rFonts w:ascii="仿宋_GB2312" w:hAnsi="仿宋_GB2312" w:cs="仿宋_GB2312" w:eastAsia="仿宋_GB2312"/>
                            <w:sz w:val="21"/>
                          </w:rPr>
                          <w:t>色谱柱（</w:t>
                        </w:r>
                        <w:r>
                          <w:rPr>
                            <w:rFonts w:ascii="仿宋_GB2312" w:hAnsi="仿宋_GB2312" w:cs="仿宋_GB2312" w:eastAsia="仿宋_GB2312"/>
                            <w:sz w:val="21"/>
                          </w:rPr>
                          <w:t>5</w:t>
                        </w:r>
                        <w:r>
                          <w:rPr>
                            <w:rFonts w:ascii="仿宋_GB2312" w:hAnsi="仿宋_GB2312" w:cs="仿宋_GB2312" w:eastAsia="仿宋_GB2312"/>
                            <w:sz w:val="21"/>
                          </w:rPr>
                          <w:t>μ</w:t>
                        </w:r>
                        <w:r>
                          <w:rPr>
                            <w:rFonts w:ascii="仿宋_GB2312" w:hAnsi="仿宋_GB2312" w:cs="仿宋_GB2312" w:eastAsia="仿宋_GB2312"/>
                            <w:sz w:val="21"/>
                          </w:rPr>
                          <w:t>m</w:t>
                        </w:r>
                        <w:r>
                          <w:rPr>
                            <w:rFonts w:ascii="仿宋_GB2312" w:hAnsi="仿宋_GB2312" w:cs="仿宋_GB2312" w:eastAsia="仿宋_GB2312"/>
                            <w:sz w:val="21"/>
                          </w:rPr>
                          <w:t>，</w:t>
                        </w:r>
                        <w:r>
                          <w:rPr>
                            <w:rFonts w:ascii="仿宋_GB2312" w:hAnsi="仿宋_GB2312" w:cs="仿宋_GB2312" w:eastAsia="仿宋_GB2312"/>
                            <w:sz w:val="21"/>
                          </w:rPr>
                          <w:t>4.6*150mm</w:t>
                        </w:r>
                        <w:r>
                          <w:rPr>
                            <w:rFonts w:ascii="仿宋_GB2312" w:hAnsi="仿宋_GB2312" w:cs="仿宋_GB2312" w:eastAsia="仿宋_GB2312"/>
                            <w:sz w:val="21"/>
                          </w:rPr>
                          <w:t>）</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2根</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样品瓶（</w:t>
                        </w:r>
                        <w:r>
                          <w:rPr>
                            <w:rFonts w:ascii="仿宋_GB2312" w:hAnsi="仿宋_GB2312" w:cs="仿宋_GB2312" w:eastAsia="仿宋_GB2312"/>
                            <w:sz w:val="21"/>
                          </w:rPr>
                          <w:t>2ml</w:t>
                        </w:r>
                        <w:r>
                          <w:rPr>
                            <w:rFonts w:ascii="仿宋_GB2312" w:hAnsi="仿宋_GB2312" w:cs="仿宋_GB2312" w:eastAsia="仿宋_GB2312"/>
                            <w:sz w:val="21"/>
                          </w:rPr>
                          <w:t>，玻璃材质）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100个</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信息处理设备（</w:t>
                        </w:r>
                        <w:r>
                          <w:rPr>
                            <w:rFonts w:ascii="仿宋_GB2312" w:hAnsi="仿宋_GB2312" w:cs="仿宋_GB2312" w:eastAsia="仿宋_GB2312"/>
                            <w:sz w:val="21"/>
                          </w:rPr>
                          <w:t>i7处理器，≥16G内存，≥1T硬盘，≥23英寸显示器）</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384"/>
                        <w:vMerge/>
                        <w:tcBorders>
                          <w:top w:val="none" w:color="000000" w:sz="4"/>
                          <w:left w:val="single" w:color="000000" w:sz="4"/>
                          <w:bottom w:val="single" w:color="000000" w:sz="4"/>
                          <w:right w:val="single" w:color="000000" w:sz="4"/>
                        </w:tcBorders>
                      </w:tcP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氮气发生器（流量</w:t>
                        </w:r>
                        <w:r>
                          <w:rPr>
                            <w:rFonts w:ascii="仿宋_GB2312" w:hAnsi="仿宋_GB2312" w:cs="仿宋_GB2312" w:eastAsia="仿宋_GB2312"/>
                            <w:sz w:val="21"/>
                          </w:rPr>
                          <w:t>≥</w:t>
                        </w:r>
                        <w:r>
                          <w:rPr>
                            <w:rFonts w:ascii="仿宋_GB2312" w:hAnsi="仿宋_GB2312" w:cs="仿宋_GB2312" w:eastAsia="仿宋_GB2312"/>
                            <w:sz w:val="21"/>
                          </w:rPr>
                          <w:t>35ml/min</w:t>
                        </w:r>
                        <w:r>
                          <w:rPr>
                            <w:rFonts w:ascii="仿宋_GB2312" w:hAnsi="仿宋_GB2312" w:cs="仿宋_GB2312" w:eastAsia="仿宋_GB2312"/>
                            <w:sz w:val="21"/>
                          </w:rPr>
                          <w:t>）</w:t>
                        </w:r>
                      </w:p>
                    </w:tc>
                    <w:tc>
                      <w:tcPr>
                        <w:tcW w:type="dxa" w:w="4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bl>
                <w:p>
                  <w:pPr>
                    <w:pStyle w:val="null3"/>
                    <w:jc w:val="center"/>
                  </w:pPr>
                </w:p>
              </w:tc>
              <w:tc>
                <w:tcPr>
                  <w:tcW w:type="dxa" w:w="209"/>
                  <w:tcBorders>
                    <w:top w:val="single" w:color="000000" w:sz="4"/>
                    <w:left w:val="single" w:color="000000" w:sz="4"/>
                    <w:bottom w:val="double" w:color="000000" w:sz="4"/>
                    <w:right w:val="doub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自合同签订后45个日历天供货安装调试完毕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其他，所有设备验收合格后一次付清，达到付款条件起30个工作日内，支付合同总金额的100.0%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通过检验的货物方可进行安装、调试、达到使用条件时由甲方负责组织验收；验收合格须交接项目实施的全部资料，并填写政府采购项目验收报告单。验收须以合同、招投标文件、澄清、及国家相应的标准、规范等为依据。保证技术指标先进、质量性能可靠，全面满足采购要求。符合国家有关规范要求，确保达到最佳使用状态。环保要求：符合国家安全环保标准、国家有关产品质量认证标准。没有国家标准的，采用该产品有关行业标准（取较高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质保期：自验收合格之日起3年，提供系统的安装培训等服务，项目完成后要确保设备的正常运行，能完全满足学校的需求； 在项目实施过程中及售后服务期内，供应商需承诺指定专人负责与用户保持长期的联系与服务。免费提供完整的配套产品资料，包括提供三年内的设备配套应用耗材、系统安装使用手册、系统功能模块说明书、用户使用手册、帮助文档等。供应商必须提供 7*24小时技术支持服务，出现故障报修后，通过以下常规技术服务方式，如电话支持、电子邮件支持、远程维护无法解决的问题，则必须在2小时内响应，及时派遣维护服务人员进行现场问题排查和解决。对于系统灾难性故障，立即安排维护服务人员到现场进行系统恢复，现场响应时间：7*24小时。供货不及时、出现残次品等问题出厂缺陷7天内退，15天换新，批量故障整机更换。保修期内售后服务产生的费用（包括材料）由中标人承担。 培训： 所有设备安装、调试开始前，中标单位应对采购方维修技术人员进行技术培训；在设备安装调试期间或以后，中标单位必须安排技术人员现场对采购方的维护技术人员进行操作应用及维护保养等方面更深入的技能培训，使他们具备操作和必要的调整、维护技能。培训所发生的一切费用由中标单位负责。</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2、投标保证金注意事项；(1)投标保证金须从投标人公户支付，如从个人户名或非投标人户名支付，将被拒绝，视为自动放弃投标权利(该个人是投标人的情形除外)；以保函形式交纳投标保证金的，投标人应在投标截止时间前将保函扫描成清晰的PDF文件，发送至邮箱guoxin_zb@163.com(邮件命名：项目编号)，并将保函原件单独递交至代理机构财务；投标人应在投标文件中附保函复印件。保函必须由具有开具投标保函资格的单位开具;若投标人违约，开具保函单位承担连带责任；(2)投标保证金的提交金额、时间不满足招标文件要求的，投标无效；(3)投标保证金以采购代理机构到账凭证为准，投标人无需更换交纳凭证，由采购代理机构统一提供；(4)未按指定账户提交的，我公司将退回，投标人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供应商需在项目电子化交易系统中按要求填写《投标函》完成承诺并进行电子签章。①、供应商须具备独立承担民事责任能力的法人、其他组织或自然人，提供营业执照或事业单位法人 证书；自然人参与的提供其身份证明；②、依法缴纳税收和社会保障资金的良好记录。依法缴纳税收的良好记录（提供截止至开标时间前12 个月内任一月份的缴费凭据,依法免税的单位应 提供相关证明料）；依法缴纳社会保障资金的良好记录（提供截止至开标时间前12个月内 任一月份的缴费凭据或社保机构开具的社会保 险参保缴费情况证明，依法不需要缴纳社会保 障资金的单位应提供相关证明材料）；③、供应商参加政府采购活动前3年内在经营活动中没有重大违法记录的书面声明；④、提供履行合同所必需的设备和专业技术能力的承诺；</w:t>
            </w:r>
          </w:p>
        </w:tc>
        <w:tc>
          <w:tcPr>
            <w:tcW w:type="dxa" w:w="1661"/>
          </w:tcPr>
          <w:p>
            <w:pPr>
              <w:pStyle w:val="null3"/>
            </w:pPr>
            <w:r>
              <w:rPr>
                <w:rFonts w:ascii="仿宋_GB2312" w:hAnsi="仿宋_GB2312" w:cs="仿宋_GB2312" w:eastAsia="仿宋_GB2312"/>
              </w:rPr>
              <w:t>投标函 供应商资格证明文件.pdf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供应商需在项目电子化交易系统中按要求上传相应证明文件并进行电子签章。供应商须提供2025 年度的财务报告；或其基本开户银行出具的资信证明；或投标担保函（以上三种形式的资料提供任何一种即可）；</w:t>
            </w:r>
          </w:p>
        </w:tc>
        <w:tc>
          <w:tcPr>
            <w:tcW w:type="dxa" w:w="1661"/>
          </w:tcPr>
          <w:p>
            <w:pPr>
              <w:pStyle w:val="null3"/>
            </w:pPr>
            <w:r>
              <w:rPr>
                <w:rFonts w:ascii="仿宋_GB2312" w:hAnsi="仿宋_GB2312" w:cs="仿宋_GB2312" w:eastAsia="仿宋_GB2312"/>
              </w:rPr>
              <w:t>供应商资格证明文件.pdf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供应商需在项目电子化交易系统中按要求填写《投标函》完成承诺并进行电子签章。提供控股管理关系说明：若与其他投标人存在单位负责人为同一人或者存在直接控股、管理关系的，则投标无效。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供应商资格证明文件.pdf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供应商应授权合法的人员参加投标全过程，其中法定代表人直接参加投标的，须出具法人身份证明。法定代表人授权代表参加投标的，须出具法定代表人授权书；</w:t>
            </w:r>
          </w:p>
        </w:tc>
        <w:tc>
          <w:tcPr>
            <w:tcW w:type="dxa" w:w="1661"/>
          </w:tcPr>
          <w:p>
            <w:pPr>
              <w:pStyle w:val="null3"/>
            </w:pPr>
            <w:r>
              <w:rPr>
                <w:rFonts w:ascii="仿宋_GB2312" w:hAnsi="仿宋_GB2312" w:cs="仿宋_GB2312" w:eastAsia="仿宋_GB2312"/>
              </w:rPr>
              <w:t>供应商资格证明文件.pdf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投标文件的签署、盖章、投标报价、投标有效期、交货期、付款方式</w:t>
            </w:r>
          </w:p>
        </w:tc>
        <w:tc>
          <w:tcPr>
            <w:tcW w:type="dxa" w:w="3322"/>
          </w:tcPr>
          <w:p>
            <w:pPr>
              <w:pStyle w:val="null3"/>
            </w:pPr>
            <w:r>
              <w:rPr>
                <w:rFonts w:ascii="仿宋_GB2312" w:hAnsi="仿宋_GB2312" w:cs="仿宋_GB2312" w:eastAsia="仿宋_GB2312"/>
              </w:rPr>
              <w:t>1、投标文件的签署、盖章是否按要求签署、盖章； 2、投标报价是否唯一；3、投标有效期是否满足要求；4、投标报价是否未超过采购预算；5、交货期是否满足要求；6、付款方式是否完全响应。</w:t>
            </w:r>
          </w:p>
        </w:tc>
        <w:tc>
          <w:tcPr>
            <w:tcW w:type="dxa" w:w="1661"/>
          </w:tcPr>
          <w:p>
            <w:pPr>
              <w:pStyle w:val="null3"/>
            </w:pPr>
            <w:r>
              <w:rPr>
                <w:rFonts w:ascii="仿宋_GB2312" w:hAnsi="仿宋_GB2312" w:cs="仿宋_GB2312" w:eastAsia="仿宋_GB2312"/>
              </w:rPr>
              <w:t>本国产品说明.docx 开标一览表 业绩.docx 商务条款偏离表.pdf 中小企业声明函 拒绝政府采购承诺书.pdf 供应商资格证明文件.pdf 中国境内生产的组件成本核算基本规则.docx 投标方案说明书.pdf 投标函 残疾人福利性单位声明函 技术条款偏离表.pdf 投标人认为有必要补充说明的事宜.docx 标的清单 关于符合本国产品标准的声明函 投标文件封面 监狱企业的证明文件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供应商提供所投产品主要技术指标，参数完全满足招标文件技术参数要求，得满分；一般技术参数一项不满足，扣0.5分；“▲ ”号项为重要技术参数，一项不满足扣3分，若有技术参数不满足，则所有不满足的扣分项累加，分数扣完为止。 评审标准：提供相关佐证材料（不限于测试报告、官网、功能截图、产品彩页等）。未提供不得分。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p>
            <w:pPr>
              <w:pStyle w:val="null3"/>
            </w:pPr>
            <w:r>
              <w:rPr>
                <w:rFonts w:ascii="仿宋_GB2312" w:hAnsi="仿宋_GB2312" w:cs="仿宋_GB2312" w:eastAsia="仿宋_GB2312"/>
              </w:rPr>
              <w:t>技术条款偏离表.pdf</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供应商需提供产品合法正规来源渠道证明文件：包括但不限于厂家授权、销售协议、代理协议等； 每提供一个计2分，最高计2分；未提供核心产品者不得分。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针对本项目提出具体的供货方案，方案内容包含①成品保护方案②包装及运输方案③供货中遇到的紧急情况等处理方案；每一项2分，满分为6分。评审标准：方案每项内容全面详细、阐述条例清晰完整得2分；方案每项内容基本详细、阐述条例较详尽得1分。方案每项内容简单、缺少关键点、阐述条例不清晰得0.5分。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根据供应商针对本项目的①质量保证措施②实施进度计划③应急保障措施④安装调试方案⑤管理制度和协调方案⑥项目验收方案⑦项目实施安全管理措施响应情况进行赋分； 每一项2分，满分为14分。 方案每项内容全面详细、阐述条例清晰完整得2分；方案每项内容基本详细、阐述条例较详尽得1分。方案每项内容简单、缺少关键点、阐述条例不清晰得0.5分。未提供不得分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供应商需提供以下售后服务内容：①售后服务机构地址，电话联系人②售后服务人员组织。每提供一项2.0分，满分4分。未提供不得分。 供应商针对本项目编制完善的服务承诺，内容至少包括：①供应商必须提供 7*24小时技术支持服务，出现故障报修后，通过以下常规技术服务方式，如电话支持、电子邮件支持、远程维护无法解决的问题，则必须在2小时内响应，及时派遣维护服务人员进行现场问题排查和解决。对于系统灾难性故障，立即安排维护服务人员到现场进行系统恢复，现场响应时间：7*24小时。②供货不及时、出现残次品等问题出厂缺陷7天内退，15天换新，批量故障整机更换。③承诺提供免费的现场实操培训，确保维修技术人员能熟练操作；④免费提供完整的配套产品资料，包括提供三年内的设备配套应用耗材、系统安装使用手册、系统功能模块说明书、用户使用手册、帮助文档等。每一项2.0分，满分8分。评审标准：以投标文件中加盖供应商公章的承诺函为准，格式自拟，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供应商提供自2023年1月1日以来至今类似项目业绩，每提供 1 份得2分，满分 6 分。 注：须提供中标通知书或合同（协议）复印件并加盖公章，以中标通知书或合同（协议）签订时间为准，不提供者不计分。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投标报价得分=（评标基准价/投标评审价）×价格权值×100 评标委员会认为供应商的报价明显低于其他通过符合性审查供应商的报价，有可能影响质量或者不能诚信履约的，应当要求其在评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分项报价表.pdf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中国境内生产的组件成本核算基本规则.docx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详见附件：供应商资格证明文件.pdf</w:t>
      </w:r>
    </w:p>
    <w:p>
      <w:pPr>
        <w:pStyle w:val="null3"/>
        <w:ind w:firstLine="960"/>
      </w:pPr>
      <w:r>
        <w:rPr>
          <w:rFonts w:ascii="仿宋_GB2312" w:hAnsi="仿宋_GB2312" w:cs="仿宋_GB2312" w:eastAsia="仿宋_GB2312"/>
        </w:rPr>
        <w:t>详见附件：商务条款偏离表.pdf</w:t>
      </w:r>
    </w:p>
    <w:p>
      <w:pPr>
        <w:pStyle w:val="null3"/>
        <w:ind w:firstLine="960"/>
      </w:pPr>
      <w:r>
        <w:rPr>
          <w:rFonts w:ascii="仿宋_GB2312" w:hAnsi="仿宋_GB2312" w:cs="仿宋_GB2312" w:eastAsia="仿宋_GB2312"/>
        </w:rPr>
        <w:t>详见附件：技术条款偏离表.pdf</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详见附件：拒绝政府采购承诺书.pdf</w:t>
      </w:r>
    </w:p>
    <w:p>
      <w:pPr>
        <w:pStyle w:val="null3"/>
        <w:ind w:firstLine="960"/>
      </w:pPr>
      <w:r>
        <w:rPr>
          <w:rFonts w:ascii="仿宋_GB2312" w:hAnsi="仿宋_GB2312" w:cs="仿宋_GB2312" w:eastAsia="仿宋_GB2312"/>
        </w:rPr>
        <w:t>详见附件：投标人认为有必要补充说明的事宜.docx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