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版本号：HRC-ZBDL-2026-0110120260817002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西电片区3号地块土壤污染治理风险评估项目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HRC-ZBDL-2026-01101</w:t>
      </w:r>
      <w:r>
        <w:br/>
      </w:r>
      <w:r>
        <w:br/>
      </w:r>
      <w:r>
        <w:br/>
      </w:r>
    </w:p>
    <w:p>
      <w:pPr>
        <w:pStyle w:val="null3"/>
        <w:jc w:val="center"/>
        <w:outlineLvl w:val="2"/>
      </w:pPr>
      <w:r>
        <w:rPr>
          <w:rFonts w:ascii="仿宋_GB2312" w:hAnsi="仿宋_GB2312" w:cs="仿宋_GB2312" w:eastAsia="仿宋_GB2312"/>
          <w:sz w:val="28"/>
          <w:b/>
        </w:rPr>
        <w:t>西安市生态环境局（本级）</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西安市生态环境局（本级）</w:t>
      </w:r>
      <w:r>
        <w:rPr>
          <w:rFonts w:ascii="仿宋_GB2312" w:hAnsi="仿宋_GB2312" w:cs="仿宋_GB2312" w:eastAsia="仿宋_GB2312"/>
        </w:rPr>
        <w:t>委托，拟对</w:t>
      </w:r>
      <w:r>
        <w:rPr>
          <w:rFonts w:ascii="仿宋_GB2312" w:hAnsi="仿宋_GB2312" w:cs="仿宋_GB2312" w:eastAsia="仿宋_GB2312"/>
        </w:rPr>
        <w:t>西电片区3号地块土壤污染治理风险评估项目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HRC-ZBDL-2026-01101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西电片区3号地块土壤污染治理风险评估项目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该地块（约58亩）开展详查工作，完成详细数据采集，进一步确定土壤及地下水污染物的空间分布状况、三维模型图及污染土方量，完成土壤污染风险评估报告编制（报告应包括风险管控和修复的目标），提交陕西省生态环境厅评审。由技术单位结合地块后期规划情况编制修复方案，明确修复范围和目标，技术路线和工艺参数，二次污染防治等内容，并及时上传全国土壤环境信息平台备案。</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具有独立承担民事责任能力的法人、其他组织或自然人，并出具合法有效的营业执照或事业单位法人证书等国家规定的相关证明，自然人参与的提供其身份证明，提供复印件并进行电子签章。</w:t>
      </w:r>
    </w:p>
    <w:p>
      <w:pPr>
        <w:pStyle w:val="null3"/>
      </w:pPr>
      <w:r>
        <w:rPr>
          <w:rFonts w:ascii="仿宋_GB2312" w:hAnsi="仿宋_GB2312" w:cs="仿宋_GB2312" w:eastAsia="仿宋_GB2312"/>
        </w:rPr>
        <w:t>2、法定代表人授权书/身份证明书：法定代表人直接参与磋商的，须出具法定代表人身份证明书及身份证扫描件；法定代表人授权代表参与磋商的，须出具法定代表人授权书及授权代表身份证扫描件。</w:t>
      </w:r>
    </w:p>
    <w:p>
      <w:pPr>
        <w:pStyle w:val="null3"/>
      </w:pPr>
      <w:r>
        <w:rPr>
          <w:rFonts w:ascii="仿宋_GB2312" w:hAnsi="仿宋_GB2312" w:cs="仿宋_GB2312" w:eastAsia="仿宋_GB2312"/>
        </w:rPr>
        <w:t>3、财务状况报告：提供2025年度经审计的财务状况报告，或其磋商截止时间前六个月内基本开户银行出具的资信证明，或信用担保机构出具的投标担保函（以上三种形式的资料提供任何一种即可）。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4、税收缴纳证明：提供至首次响应文件提交截止时间前一年内任意一个月依法缴纳税收的相关证明材料；如依法免税的，应提供相应文件证明其依法免税。</w:t>
      </w:r>
    </w:p>
    <w:p>
      <w:pPr>
        <w:pStyle w:val="null3"/>
      </w:pPr>
      <w:r>
        <w:rPr>
          <w:rFonts w:ascii="仿宋_GB2312" w:hAnsi="仿宋_GB2312" w:cs="仿宋_GB2312" w:eastAsia="仿宋_GB2312"/>
        </w:rPr>
        <w:t>5、社会保障资金缴纳证明：提供至首次响应文件提交截止时间前一年内任意一个月依法缴纳社会保障资金的相关证明材料；如依法不需要缴纳社会保障资金的，应提供相应文件证明其依法不需要缴纳社会保障资金。</w:t>
      </w:r>
    </w:p>
    <w:p>
      <w:pPr>
        <w:pStyle w:val="null3"/>
      </w:pPr>
      <w:r>
        <w:rPr>
          <w:rFonts w:ascii="仿宋_GB2312" w:hAnsi="仿宋_GB2312" w:cs="仿宋_GB2312" w:eastAsia="仿宋_GB2312"/>
        </w:rPr>
        <w:t>6、信用记录查询结果：供应商未被列入“信用中国”网站(www.creditchina.gov.cn)“失信被执行人或重大税收违法失信主体或政府采购严重违法失信行为记录名单”；不处于中国政府采购网(www.ccgp.gov.cn)“政府采购严重违法失信行为记录名单”中的禁止参加政府采购活动期间。（以采购人于投标（响应）截止时间当天在评审系统查询的结果为准，如相关失信记录已失效，供应商需提供相关证明资料）</w:t>
      </w:r>
    </w:p>
    <w:p>
      <w:pPr>
        <w:pStyle w:val="null3"/>
      </w:pPr>
      <w:r>
        <w:rPr>
          <w:rFonts w:ascii="仿宋_GB2312" w:hAnsi="仿宋_GB2312" w:cs="仿宋_GB2312" w:eastAsia="仿宋_GB2312"/>
        </w:rPr>
        <w:t>7、无重大违法记录声明：提供参加政府采购活动前三年内在经营活动中没有重大违法记录的书面声明</w:t>
      </w:r>
    </w:p>
    <w:p>
      <w:pPr>
        <w:pStyle w:val="null3"/>
      </w:pPr>
      <w:r>
        <w:rPr>
          <w:rFonts w:ascii="仿宋_GB2312" w:hAnsi="仿宋_GB2312" w:cs="仿宋_GB2312" w:eastAsia="仿宋_GB2312"/>
        </w:rPr>
        <w:t>8、专业技术能力的声明：提供具有履行本合同所必需的专业技术能力的声明。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西安市生态环境局（本级）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周工 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029-86787544 029-84110838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张静、朱媛媛、陈定彩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15029092401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代理服务费收费标准：1.按照国家计委颁发的《招标代理服务收费管理暂行办法》（计价格[2002]1980号）、国家发展和改革委员会颁发的《关于招标代理服务收费有关问题的通知》（发改办价格[2003] 857号）和《关于降低部分建设项目收费标准规范收费行为等有关问题的通知》(发改价格[2011]534号)的有关规定标准向中标供应商收取。 2.缴费时间:确定中标人后3日内，由中标人向招标代理机构一次付清招标代理服务费。 3.银行信息: 户 名:华睿诚项目管理有限公司 开户银行:西安银行股份有限公司小寨东路支行 账 号:816011580000101224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西安市生态环境局（本级）</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西安市生态环境局（本级）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西安市生态环境局（本级）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依照检测样品的国家标准。现行的国家标准或国家行政部门颁布的法律法规、规章制度等， 是项目验收的重要依据。对没有国家标准的， 可按照地方标准、卫生标准、质量标准和相关的行业标准、地方标准、企业标准、产品标签明⽰值或国家明文规定的限量值及国家指定的特定检验方法等进行检验。 采购文件未明确服务执行标准、规范的， 则按下列方法进行选择： □ 顺序执行： 国家标准→行业标准→地方标准→企业标准（有国家标准按国家标准执行， 没有国家标准按行业标准， 以此类推） ； □ 最高标准执行： 国家标准， 行业标准， 地方标准， 企业标准（那个标准高执行那个标准） ； ☑ 必须执行： 国家、行业强制性标准。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联系人：朱媛媛</w:t>
      </w:r>
    </w:p>
    <w:p>
      <w:pPr>
        <w:pStyle w:val="null3"/>
      </w:pPr>
      <w:r>
        <w:rPr>
          <w:rFonts w:ascii="仿宋_GB2312" w:hAnsi="仿宋_GB2312" w:cs="仿宋_GB2312" w:eastAsia="仿宋_GB2312"/>
        </w:rPr>
        <w:t>联系电话：15029092401</w:t>
      </w:r>
    </w:p>
    <w:p>
      <w:pPr>
        <w:pStyle w:val="null3"/>
      </w:pPr>
      <w:r>
        <w:rPr>
          <w:rFonts w:ascii="仿宋_GB2312" w:hAnsi="仿宋_GB2312" w:cs="仿宋_GB2312" w:eastAsia="仿宋_GB2312"/>
        </w:rPr>
        <w:t>地址：西安市曲江新区雁翔路3269号旺座曲江E座29层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该地块（约58亩）开展详查工作，完成详细数据采集，进一步确定土壤及地下水污染物的空间分布状况、三维模型图及污染土方量，完成土壤污染风险评估报告编制（报告应包括风险管控和修复的目标），提交陕西省生态环境厅评审。由技术单位结合地块后期规划情况编制修复方案，明确修复范围和目标，技术路线和工艺参数，二次污染防治等内容，并及时上传全国土壤环境信息平台备案。</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1,900,000.00</w:t>
      </w:r>
    </w:p>
    <w:p>
      <w:pPr>
        <w:pStyle w:val="null3"/>
      </w:pPr>
      <w:r>
        <w:rPr>
          <w:rFonts w:ascii="仿宋_GB2312" w:hAnsi="仿宋_GB2312" w:cs="仿宋_GB2312" w:eastAsia="仿宋_GB2312"/>
        </w:rPr>
        <w:t>采购包最高限价（元）: 1,900,000.00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1,900,000.00</w:t>
            </w:r>
          </w:p>
        </w:tc>
        <w:tc>
          <w:tcPr>
            <w:tcW w:type="dxa" w:w="755"/>
          </w:tcPr>
          <w:p>
            <w:pPr>
              <w:pStyle w:val="null3"/>
            </w:pPr>
            <w:r>
              <w:rPr>
                <w:rFonts w:ascii="仿宋_GB2312" w:hAnsi="仿宋_GB2312" w:cs="仿宋_GB2312" w:eastAsia="仿宋_GB2312"/>
              </w:rPr>
              <w:t>项目</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r>
              <w:rPr>
                <w:rFonts w:ascii="仿宋_GB2312" w:hAnsi="仿宋_GB2312" w:cs="仿宋_GB2312" w:eastAsia="仿宋_GB2312"/>
                <w:sz w:val="21"/>
                <w:b/>
              </w:rPr>
              <w:t xml:space="preserve"> </w:t>
            </w:r>
            <w:r>
              <w:rPr>
                <w:rFonts w:ascii="仿宋_GB2312" w:hAnsi="仿宋_GB2312" w:cs="仿宋_GB2312" w:eastAsia="仿宋_GB2312"/>
                <w:sz w:val="21"/>
              </w:rPr>
              <w:t xml:space="preserve">                                                            </w:t>
            </w:r>
          </w:p>
          <w:p>
            <w:pPr>
              <w:pStyle w:val="null3"/>
              <w:ind w:firstLine="420"/>
              <w:jc w:val="both"/>
            </w:pPr>
            <w:r>
              <w:rPr>
                <w:rFonts w:ascii="仿宋_GB2312" w:hAnsi="仿宋_GB2312" w:cs="仿宋_GB2312" w:eastAsia="仿宋_GB2312"/>
                <w:sz w:val="21"/>
              </w:rPr>
              <w:t>西电片区</w:t>
            </w:r>
            <w:r>
              <w:rPr>
                <w:rFonts w:ascii="仿宋_GB2312" w:hAnsi="仿宋_GB2312" w:cs="仿宋_GB2312" w:eastAsia="仿宋_GB2312"/>
                <w:sz w:val="21"/>
              </w:rPr>
              <w:t>3号地块土壤污染治理风险评估项目</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ind w:firstLine="420"/>
              <w:jc w:val="both"/>
            </w:pPr>
            <w:r>
              <w:rPr>
                <w:rFonts w:ascii="仿宋_GB2312" w:hAnsi="仿宋_GB2312" w:cs="仿宋_GB2312" w:eastAsia="仿宋_GB2312"/>
                <w:sz w:val="21"/>
              </w:rPr>
              <w:t>（一）服务区域：</w:t>
            </w:r>
            <w:r>
              <w:rPr>
                <w:rFonts w:ascii="仿宋_GB2312" w:hAnsi="仿宋_GB2312" w:cs="仿宋_GB2312" w:eastAsia="仿宋_GB2312"/>
                <w:sz w:val="21"/>
              </w:rPr>
              <w:t>西电片区</w:t>
            </w:r>
            <w:r>
              <w:rPr>
                <w:rFonts w:ascii="仿宋_GB2312" w:hAnsi="仿宋_GB2312" w:cs="仿宋_GB2312" w:eastAsia="仿宋_GB2312"/>
                <w:sz w:val="21"/>
              </w:rPr>
              <w:t>3号地块</w:t>
            </w:r>
          </w:p>
          <w:p>
            <w:pPr>
              <w:pStyle w:val="null3"/>
              <w:ind w:firstLine="420"/>
              <w:jc w:val="both"/>
            </w:pPr>
            <w:r>
              <w:rPr>
                <w:rFonts w:ascii="仿宋_GB2312" w:hAnsi="仿宋_GB2312" w:cs="仿宋_GB2312" w:eastAsia="仿宋_GB2312"/>
                <w:sz w:val="21"/>
              </w:rPr>
              <w:t>（二）服务人数：</w:t>
            </w:r>
            <w:r>
              <w:rPr>
                <w:rFonts w:ascii="仿宋_GB2312" w:hAnsi="仿宋_GB2312" w:cs="仿宋_GB2312" w:eastAsia="仿宋_GB2312"/>
                <w:sz w:val="21"/>
              </w:rPr>
              <w:t>20 人（暂估）；</w:t>
            </w:r>
          </w:p>
          <w:p>
            <w:pPr>
              <w:pStyle w:val="null3"/>
              <w:ind w:firstLine="420"/>
              <w:jc w:val="both"/>
            </w:pPr>
            <w:r>
              <w:rPr>
                <w:rFonts w:ascii="仿宋_GB2312" w:hAnsi="仿宋_GB2312" w:cs="仿宋_GB2312" w:eastAsia="仿宋_GB2312"/>
                <w:sz w:val="21"/>
              </w:rPr>
              <w:t>（三）工作内容：</w:t>
            </w:r>
            <w:r>
              <w:rPr>
                <w:rFonts w:ascii="仿宋_GB2312" w:hAnsi="仿宋_GB2312" w:cs="仿宋_GB2312" w:eastAsia="仿宋_GB2312"/>
                <w:sz w:val="21"/>
              </w:rPr>
              <w:t>对该地块（约</w:t>
            </w:r>
            <w:r>
              <w:rPr>
                <w:rFonts w:ascii="仿宋_GB2312" w:hAnsi="仿宋_GB2312" w:cs="仿宋_GB2312" w:eastAsia="仿宋_GB2312"/>
                <w:sz w:val="21"/>
              </w:rPr>
              <w:t>58亩）开展详查工作，完成详细数据采集，进一步确定土壤及地下水污染物的空间分布状况、三维模型图及污染土方量，完成土壤污染风险评估报告编制（报告应包括风险管控和修复的目标），提交陕西省生态环境厅评审。由技术单位结合地块后期规划情况编制修复方案，明确修复范围和目标，技术路线和工艺参数，二次污染防治等内容，并及时上传全国土壤环境信息平台备案</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（四）服务期限：</w:t>
            </w:r>
            <w:r>
              <w:rPr>
                <w:rFonts w:ascii="仿宋_GB2312" w:hAnsi="仿宋_GB2312" w:cs="仿宋_GB2312" w:eastAsia="仿宋_GB2312"/>
                <w:sz w:val="21"/>
              </w:rPr>
              <w:t>自</w:t>
            </w:r>
            <w:r>
              <w:rPr>
                <w:rFonts w:ascii="仿宋_GB2312" w:hAnsi="仿宋_GB2312" w:cs="仿宋_GB2312" w:eastAsia="仿宋_GB2312"/>
                <w:sz w:val="21"/>
              </w:rPr>
              <w:t>合同签订</w:t>
            </w:r>
            <w:r>
              <w:rPr>
                <w:rFonts w:ascii="仿宋_GB2312" w:hAnsi="仿宋_GB2312" w:cs="仿宋_GB2312" w:eastAsia="仿宋_GB2312"/>
                <w:sz w:val="21"/>
              </w:rPr>
              <w:t>之日起，</w:t>
            </w:r>
            <w:r>
              <w:rPr>
                <w:rFonts w:ascii="仿宋_GB2312" w:hAnsi="仿宋_GB2312" w:cs="仿宋_GB2312" w:eastAsia="仿宋_GB2312"/>
                <w:sz w:val="21"/>
              </w:rPr>
              <w:t>2026年9月15日之前</w:t>
            </w:r>
            <w:r>
              <w:rPr>
                <w:rFonts w:ascii="仿宋_GB2312" w:hAnsi="仿宋_GB2312" w:cs="仿宋_GB2312" w:eastAsia="仿宋_GB2312"/>
                <w:sz w:val="21"/>
              </w:rPr>
              <w:t>完成地块土壤污染详细调查报告、风险评估报告、修复方案制定并通过专家评审。</w:t>
            </w:r>
          </w:p>
          <w:p>
            <w:pPr>
              <w:pStyle w:val="null3"/>
              <w:jc w:val="both"/>
            </w:pPr>
            <w:r>
              <w:rPr>
                <w:rFonts w:ascii="仿宋_GB2312" w:hAnsi="仿宋_GB2312" w:cs="仿宋_GB2312" w:eastAsia="仿宋_GB2312"/>
                <w:sz w:val="21"/>
                <w:b/>
              </w:rPr>
              <w:t>二、服务要求（如对人员配置、专业设备、服务标准等）</w:t>
            </w:r>
            <w:r>
              <w:rPr>
                <w:rFonts w:ascii="仿宋_GB2312" w:hAnsi="仿宋_GB2312" w:cs="仿宋_GB2312" w:eastAsia="仿宋_GB2312"/>
                <w:sz w:val="21"/>
                <w:b/>
              </w:rPr>
              <w:t xml:space="preserve">    </w:t>
            </w:r>
            <w:r>
              <w:rPr>
                <w:rFonts w:ascii="仿宋_GB2312" w:hAnsi="仿宋_GB2312" w:cs="仿宋_GB2312" w:eastAsia="仿宋_GB2312"/>
                <w:sz w:val="21"/>
              </w:rPr>
              <w:t xml:space="preserve">                                   </w:t>
            </w:r>
          </w:p>
          <w:p>
            <w:pPr>
              <w:pStyle w:val="null3"/>
              <w:ind w:firstLine="420"/>
              <w:jc w:val="both"/>
            </w:pPr>
            <w:r>
              <w:rPr>
                <w:rFonts w:ascii="仿宋_GB2312" w:hAnsi="仿宋_GB2312" w:cs="仿宋_GB2312" w:eastAsia="仿宋_GB2312"/>
                <w:sz w:val="21"/>
              </w:rPr>
              <w:t>1、人员配置要求：投标人须配备具备土壤地下水调查、风险评估相关专业技术人员，项目负责人具备相关项目从业经验，全程负责本项目实施、对接、答疑及成果修改，确保项目顺利推进。</w:t>
            </w:r>
          </w:p>
          <w:p>
            <w:pPr>
              <w:pStyle w:val="null3"/>
              <w:ind w:firstLine="420"/>
              <w:jc w:val="both"/>
            </w:pPr>
            <w:r>
              <w:rPr>
                <w:rFonts w:ascii="仿宋_GB2312" w:hAnsi="仿宋_GB2312" w:cs="仿宋_GB2312" w:eastAsia="仿宋_GB2312"/>
                <w:sz w:val="21"/>
              </w:rPr>
              <w:t>2、设备配置要求：投标人须配备满足本项目现场踏勘、点位布设、样品采集、现场监测所需的专业工具、采样设备、安全防护设备，保障现场作业规范、安全、高效。</w:t>
            </w:r>
          </w:p>
          <w:p>
            <w:pPr>
              <w:pStyle w:val="null3"/>
              <w:ind w:firstLine="420"/>
              <w:jc w:val="both"/>
            </w:pPr>
            <w:r>
              <w:rPr>
                <w:rFonts w:ascii="仿宋_GB2312" w:hAnsi="仿宋_GB2312" w:cs="仿宋_GB2312" w:eastAsia="仿宋_GB2312"/>
                <w:sz w:val="21"/>
              </w:rPr>
              <w:t>3、服务标准要求：全程严格遵守行业规范及采购人管理要求，响应及时、服务专业，积极配合采购人及主管部门检查、问询、整改工作。</w:t>
            </w:r>
          </w:p>
          <w:p>
            <w:pPr>
              <w:pStyle w:val="null3"/>
              <w:ind w:firstLine="420"/>
              <w:jc w:val="both"/>
            </w:pPr>
            <w:r>
              <w:rPr>
                <w:rFonts w:ascii="仿宋_GB2312" w:hAnsi="仿宋_GB2312" w:cs="仿宋_GB2312" w:eastAsia="仿宋_GB2312"/>
                <w:sz w:val="21"/>
              </w:rPr>
              <w:t>4、成果服务要求：全程包含现场踏勘、采样送检、数据分析、报告编制、专家评审、成果修改、资料归档等全部服务内容，直至所有成果通过专家评审并满足主管部门使用要求。</w:t>
            </w:r>
          </w:p>
          <w:p>
            <w:pPr>
              <w:pStyle w:val="null3"/>
              <w:ind w:firstLine="420"/>
              <w:jc w:val="both"/>
            </w:pPr>
            <w:r>
              <w:rPr>
                <w:rFonts w:ascii="仿宋_GB2312" w:hAnsi="仿宋_GB2312" w:cs="仿宋_GB2312" w:eastAsia="仿宋_GB2312"/>
                <w:sz w:val="21"/>
              </w:rPr>
              <w:t>5、质保服务要求：项目交付后针对成果资料提供长期答疑、资料补充、修改完善等配套服务，确保成果可用于项目审批、监管、整治评估等工作。</w:t>
            </w:r>
          </w:p>
          <w:p>
            <w:pPr>
              <w:pStyle w:val="null3"/>
              <w:spacing w:before="315"/>
              <w:ind w:left="420"/>
              <w:jc w:val="both"/>
            </w:pPr>
            <w:r>
              <w:rPr>
                <w:rFonts w:ascii="仿宋_GB2312" w:hAnsi="仿宋_GB2312" w:cs="仿宋_GB2312" w:eastAsia="仿宋_GB2312"/>
                <w:sz w:val="21"/>
                <w:b/>
              </w:rPr>
              <w:t>三、技术要求（如有，一般适合于技术服务项目）</w:t>
            </w:r>
          </w:p>
          <w:p>
            <w:pPr>
              <w:pStyle w:val="null3"/>
              <w:ind w:firstLine="420"/>
              <w:jc w:val="both"/>
            </w:pPr>
            <w:r>
              <w:rPr>
                <w:rFonts w:ascii="仿宋_GB2312" w:hAnsi="仿宋_GB2312" w:cs="仿宋_GB2312" w:eastAsia="仿宋_GB2312"/>
                <w:sz w:val="21"/>
              </w:rPr>
              <w:t>1、总体技术要求：本项目需在初步调查基础上开展地块土壤、地下水详细调查及风险评估工作，所有工作内容须严格按照国家、省、市现行《建设用地土壤污染状况调查技术导则》《建设用地土壤污染风险评估技术导则》等相关规范、标准执行，成果真实、数据可靠、流程合规。</w:t>
            </w:r>
          </w:p>
          <w:p>
            <w:pPr>
              <w:pStyle w:val="null3"/>
              <w:ind w:firstLine="420"/>
              <w:jc w:val="both"/>
            </w:pPr>
            <w:r>
              <w:rPr>
                <w:rFonts w:ascii="仿宋_GB2312" w:hAnsi="仿宋_GB2312" w:cs="仿宋_GB2312" w:eastAsia="仿宋_GB2312"/>
                <w:sz w:val="21"/>
              </w:rPr>
              <w:t>2、调查技术要求：需查清地块水文地质条件、地下水补径排及流场情况；查明地块土壤、地下水污染现状，分析超标原因，精准圈定污染物超标范围及空间分布；选取典型点位开展污染溯源分析，建立</w:t>
            </w:r>
            <w:r>
              <w:rPr>
                <w:rFonts w:ascii="仿宋_GB2312" w:hAnsi="仿宋_GB2312" w:cs="仿宋_GB2312" w:eastAsia="仿宋_GB2312"/>
                <w:sz w:val="21"/>
              </w:rPr>
              <w:t>场地</w:t>
            </w:r>
            <w:r>
              <w:rPr>
                <w:rFonts w:ascii="仿宋_GB2312" w:hAnsi="仿宋_GB2312" w:cs="仿宋_GB2312" w:eastAsia="仿宋_GB2312"/>
                <w:sz w:val="21"/>
              </w:rPr>
              <w:t>土壤污染概念模型。</w:t>
            </w:r>
          </w:p>
          <w:p>
            <w:pPr>
              <w:pStyle w:val="null3"/>
              <w:ind w:firstLine="420"/>
              <w:jc w:val="both"/>
            </w:pPr>
            <w:r>
              <w:rPr>
                <w:rFonts w:ascii="仿宋_GB2312" w:hAnsi="仿宋_GB2312" w:cs="仿宋_GB2312" w:eastAsia="仿宋_GB2312"/>
                <w:sz w:val="21"/>
              </w:rPr>
              <w:t>3、监测分析技术要求：按规范完成土壤、地下水、环境空气点位布设、现场采样及实验室检测，落实全过程质量控制，编制完整项目质控报告，确保检测数据真实有效、可溯源。</w:t>
            </w:r>
          </w:p>
          <w:p>
            <w:pPr>
              <w:pStyle w:val="null3"/>
              <w:ind w:firstLine="420"/>
              <w:jc w:val="both"/>
            </w:pPr>
            <w:r>
              <w:rPr>
                <w:rFonts w:ascii="仿宋_GB2312" w:hAnsi="仿宋_GB2312" w:cs="仿宋_GB2312" w:eastAsia="仿宋_GB2312"/>
                <w:sz w:val="21"/>
              </w:rPr>
              <w:t>4、风险评估技术要求：全面分析地块污染物暴露途径，科学评估人体健康风险，判定敏感目标风险可接受程度，结合评估结果提出科学、可落地的风险管控、治理修复建议，编制专项风险管控</w:t>
            </w:r>
            <w:r>
              <w:rPr>
                <w:rFonts w:ascii="仿宋_GB2312" w:hAnsi="仿宋_GB2312" w:cs="仿宋_GB2312" w:eastAsia="仿宋_GB2312"/>
                <w:sz w:val="21"/>
              </w:rPr>
              <w:t>及修复</w:t>
            </w:r>
            <w:r>
              <w:rPr>
                <w:rFonts w:ascii="仿宋_GB2312" w:hAnsi="仿宋_GB2312" w:cs="仿宋_GB2312" w:eastAsia="仿宋_GB2312"/>
                <w:sz w:val="21"/>
              </w:rPr>
              <w:t>方案。</w:t>
            </w:r>
          </w:p>
          <w:p>
            <w:pPr>
              <w:pStyle w:val="null3"/>
              <w:ind w:firstLine="420"/>
              <w:jc w:val="both"/>
            </w:pPr>
            <w:r>
              <w:rPr>
                <w:rFonts w:ascii="仿宋_GB2312" w:hAnsi="仿宋_GB2312" w:cs="仿宋_GB2312" w:eastAsia="仿宋_GB2312"/>
                <w:sz w:val="21"/>
              </w:rPr>
              <w:t>5、成果技术深度要求：最终形成详细调查报告、风险评估报告、修复方案等全套成果。</w:t>
            </w:r>
          </w:p>
          <w:p>
            <w:pPr>
              <w:pStyle w:val="null3"/>
              <w:spacing w:before="315"/>
              <w:ind w:left="420"/>
              <w:jc w:val="both"/>
            </w:pPr>
            <w:r>
              <w:rPr>
                <w:rFonts w:ascii="仿宋_GB2312" w:hAnsi="仿宋_GB2312" w:cs="仿宋_GB2312" w:eastAsia="仿宋_GB2312"/>
                <w:sz w:val="21"/>
                <w:b/>
              </w:rPr>
              <w:t>四</w:t>
            </w:r>
            <w:r>
              <w:rPr>
                <w:rFonts w:ascii="仿宋_GB2312" w:hAnsi="仿宋_GB2312" w:cs="仿宋_GB2312" w:eastAsia="仿宋_GB2312"/>
                <w:sz w:val="21"/>
                <w:b/>
              </w:rPr>
              <w:t>、</w:t>
            </w:r>
            <w:r>
              <w:rPr>
                <w:rFonts w:ascii="仿宋_GB2312" w:hAnsi="仿宋_GB2312" w:cs="仿宋_GB2312" w:eastAsia="仿宋_GB2312"/>
                <w:sz w:val="21"/>
                <w:b/>
              </w:rPr>
              <w:t>商务要求（如服务期限、款项结算等）</w:t>
            </w:r>
          </w:p>
          <w:p>
            <w:pPr>
              <w:pStyle w:val="null3"/>
              <w:ind w:firstLine="420"/>
              <w:jc w:val="both"/>
            </w:pPr>
            <w:r>
              <w:rPr>
                <w:rFonts w:ascii="仿宋_GB2312" w:hAnsi="仿宋_GB2312" w:cs="仿宋_GB2312" w:eastAsia="仿宋_GB2312"/>
                <w:sz w:val="21"/>
              </w:rPr>
              <w:t>（一）服务期限</w:t>
            </w:r>
          </w:p>
          <w:p>
            <w:pPr>
              <w:pStyle w:val="null3"/>
              <w:ind w:firstLine="420"/>
              <w:jc w:val="both"/>
            </w:pPr>
            <w:r>
              <w:rPr>
                <w:rFonts w:ascii="仿宋_GB2312" w:hAnsi="仿宋_GB2312" w:cs="仿宋_GB2312" w:eastAsia="仿宋_GB2312"/>
                <w:sz w:val="21"/>
              </w:rPr>
              <w:t>自合同签订之日起，</w:t>
            </w:r>
            <w:r>
              <w:rPr>
                <w:rFonts w:ascii="仿宋_GB2312" w:hAnsi="仿宋_GB2312" w:cs="仿宋_GB2312" w:eastAsia="仿宋_GB2312"/>
                <w:sz w:val="21"/>
              </w:rPr>
              <w:t>2026年9月15日之前完成地块土壤污染详细调查报告、风险评估报告、修复方案制定并通过专家评审。</w:t>
            </w:r>
          </w:p>
          <w:p>
            <w:pPr>
              <w:pStyle w:val="null3"/>
              <w:ind w:firstLine="420"/>
              <w:jc w:val="both"/>
            </w:pPr>
            <w:r>
              <w:rPr>
                <w:rFonts w:ascii="仿宋_GB2312" w:hAnsi="仿宋_GB2312" w:cs="仿宋_GB2312" w:eastAsia="仿宋_GB2312"/>
                <w:sz w:val="21"/>
              </w:rPr>
              <w:t>（二）款项结算</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项目按期整体完成且验收合格后，采购人财政资金具备支付条件后一次性支付合同价款的</w:t>
            </w:r>
            <w:r>
              <w:rPr>
                <w:rFonts w:ascii="仿宋_GB2312" w:hAnsi="仿宋_GB2312" w:cs="仿宋_GB2312" w:eastAsia="仿宋_GB2312"/>
                <w:sz w:val="21"/>
              </w:rPr>
              <w:t>100%。</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供应商</w:t>
            </w:r>
            <w:r>
              <w:rPr>
                <w:rFonts w:ascii="仿宋_GB2312" w:hAnsi="仿宋_GB2312" w:cs="仿宋_GB2312" w:eastAsia="仿宋_GB2312"/>
                <w:sz w:val="21"/>
              </w:rPr>
              <w:t>应于采购人付款前向采购人开具等额发票。因</w:t>
            </w:r>
            <w:r>
              <w:rPr>
                <w:rFonts w:ascii="仿宋_GB2312" w:hAnsi="仿宋_GB2312" w:cs="仿宋_GB2312" w:eastAsia="仿宋_GB2312"/>
                <w:sz w:val="21"/>
              </w:rPr>
              <w:t>供应商</w:t>
            </w:r>
            <w:r>
              <w:rPr>
                <w:rFonts w:ascii="仿宋_GB2312" w:hAnsi="仿宋_GB2312" w:cs="仿宋_GB2312" w:eastAsia="仿宋_GB2312"/>
                <w:sz w:val="21"/>
              </w:rPr>
              <w:t>迟延开票，采购人有权拒不付款且不承担任何责任。</w:t>
            </w:r>
          </w:p>
          <w:p>
            <w:pPr>
              <w:pStyle w:val="null3"/>
              <w:numPr>
                <w:ilvl w:val="0"/>
                <w:numId w:val="1"/>
              </w:numPr>
              <w:spacing w:before="315"/>
              <w:jc w:val="both"/>
            </w:pPr>
            <w:r>
              <w:rPr>
                <w:rFonts w:ascii="仿宋_GB2312" w:hAnsi="仿宋_GB2312" w:cs="仿宋_GB2312" w:eastAsia="仿宋_GB2312"/>
                <w:sz w:val="21"/>
                <w:b/>
              </w:rPr>
              <w:t>其他（如有要求，请写明）</w:t>
            </w:r>
          </w:p>
          <w:p>
            <w:pPr>
              <w:pStyle w:val="null3"/>
              <w:ind w:firstLine="420"/>
              <w:jc w:val="both"/>
            </w:pPr>
            <w:r>
              <w:rPr>
                <w:rFonts w:ascii="仿宋_GB2312" w:hAnsi="仿宋_GB2312" w:cs="仿宋_GB2312" w:eastAsia="仿宋_GB2312"/>
                <w:sz w:val="21"/>
              </w:rPr>
              <w:t>最高限价清单说明：</w:t>
            </w:r>
          </w:p>
          <w:p>
            <w:pPr>
              <w:pStyle w:val="null3"/>
              <w:ind w:firstLine="420"/>
              <w:jc w:val="both"/>
            </w:pPr>
            <w:r>
              <w:rPr>
                <w:rFonts w:ascii="仿宋_GB2312" w:hAnsi="仿宋_GB2312" w:cs="仿宋_GB2312" w:eastAsia="仿宋_GB2312"/>
                <w:sz w:val="21"/>
              </w:rPr>
              <w:t>序号</w:t>
            </w:r>
            <w:r>
              <w:rPr>
                <w:rFonts w:ascii="仿宋_GB2312" w:hAnsi="仿宋_GB2312" w:cs="仿宋_GB2312" w:eastAsia="仿宋_GB2312"/>
                <w:sz w:val="21"/>
              </w:rPr>
              <w:t>1、4、5、6项为总价包干项目，投标总价不得超过对应单项最高限价，超出按无效标处理；序号2、3项投标综合单价不得高于限价单价，超出按无效标处理。</w:t>
            </w:r>
          </w:p>
          <w:p>
            <w:pPr>
              <w:pStyle w:val="null3"/>
              <w:ind w:firstLine="420"/>
              <w:jc w:val="both"/>
            </w:pPr>
            <w:r>
              <w:rPr>
                <w:rFonts w:ascii="仿宋_GB2312" w:hAnsi="仿宋_GB2312" w:cs="仿宋_GB2312" w:eastAsia="仿宋_GB2312"/>
                <w:sz w:val="21"/>
              </w:rPr>
              <w:t>报价包含人工、交通、设备、采样、检测、报告编制、专家评审、会务、资料归档、税费、企业管理费、利润等完成该项服务全部工作内容所需一切费用，采购人无需额外支付其他费用。</w:t>
            </w:r>
          </w:p>
          <w:tbl>
            <w:tblPr>
              <w:tblInd w:type="dxa" w:w="135"/>
              <w:tblBorders>
                <w:top w:val="none" w:color="000000" w:sz="4"/>
                <w:left w:val="none" w:color="000000" w:sz="4"/>
                <w:bottom w:val="none" w:color="000000" w:sz="4"/>
                <w:right w:val="none" w:color="000000" w:sz="4"/>
                <w:insideH w:val="none"/>
                <w:insideV w:val="none"/>
              </w:tblBorders>
            </w:tblPr>
            <w:tblGrid>
              <w:gridCol w:w="193"/>
              <w:gridCol w:w="443"/>
              <w:gridCol w:w="219"/>
              <w:gridCol w:w="305"/>
              <w:gridCol w:w="378"/>
              <w:gridCol w:w="998"/>
            </w:tblGrid>
            <w:tr>
              <w:tc>
                <w:tcPr>
                  <w:tcW w:type="dxa" w:w="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4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服务内容</w:t>
                  </w:r>
                </w:p>
              </w:tc>
              <w:tc>
                <w:tcPr>
                  <w:tcW w:type="dxa" w:w="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计量单位</w:t>
                  </w:r>
                </w:p>
              </w:tc>
              <w:tc>
                <w:tcPr>
                  <w:tcW w:type="dxa" w:w="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综合单价（元）</w:t>
                  </w:r>
                </w:p>
              </w:tc>
              <w:tc>
                <w:tcPr>
                  <w:tcW w:type="dxa" w:w="3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单项最高限价（元）</w:t>
                  </w:r>
                </w:p>
              </w:tc>
              <w:tc>
                <w:tcPr>
                  <w:tcW w:type="dxa" w:w="9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备注</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详细采样调查方案编制及评审</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50000</w:t>
                  </w:r>
                </w:p>
              </w:tc>
              <w:tc>
                <w:tcPr>
                  <w:tcW w:type="dxa" w:w="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总价包干报价，报价不得超过限价；含资料收集、现场踏勘、布点分析、方案编制、内部校核以及专家评审等全部工作</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土壤样品采集及实验室分析</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r>
                    <w:rPr>
                      <w:rFonts w:ascii="仿宋_GB2312" w:hAnsi="仿宋_GB2312" w:cs="仿宋_GB2312" w:eastAsia="仿宋_GB2312"/>
                      <w:sz w:val="22"/>
                    </w:rPr>
                    <w:t>/</w:t>
                  </w:r>
                  <w:r>
                    <w:rPr>
                      <w:rFonts w:ascii="仿宋_GB2312" w:hAnsi="仿宋_GB2312" w:cs="仿宋_GB2312" w:eastAsia="仿宋_GB2312"/>
                      <w:sz w:val="22"/>
                    </w:rPr>
                    <w:t>样品</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2500</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3</w:t>
                  </w:r>
                  <w:r>
                    <w:rPr>
                      <w:rFonts w:ascii="仿宋_GB2312" w:hAnsi="仿宋_GB2312" w:cs="仿宋_GB2312" w:eastAsia="仿宋_GB2312"/>
                      <w:sz w:val="22"/>
                    </w:rPr>
                    <w:t>50000</w:t>
                  </w:r>
                </w:p>
              </w:tc>
              <w:tc>
                <w:tcPr>
                  <w:tcW w:type="dxa" w:w="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供</w:t>
                  </w:r>
                  <w:r>
                    <w:rPr>
                      <w:rFonts w:ascii="仿宋_GB2312" w:hAnsi="仿宋_GB2312" w:cs="仿宋_GB2312" w:eastAsia="仿宋_GB2312"/>
                      <w:sz w:val="22"/>
                    </w:rPr>
                    <w:t>应商填报综合单价</w:t>
                  </w:r>
                  <w:r>
                    <w:rPr>
                      <w:rFonts w:ascii="仿宋_GB2312" w:hAnsi="仿宋_GB2312" w:cs="仿宋_GB2312" w:eastAsia="仿宋_GB2312"/>
                      <w:sz w:val="22"/>
                    </w:rPr>
                    <w:t>≤2500元/</w:t>
                  </w:r>
                  <w:r>
                    <w:rPr>
                      <w:rFonts w:ascii="仿宋_GB2312" w:hAnsi="仿宋_GB2312" w:cs="仿宋_GB2312" w:eastAsia="仿宋_GB2312"/>
                      <w:sz w:val="22"/>
                    </w:rPr>
                    <w:t>样品</w:t>
                  </w:r>
                  <w:r>
                    <w:rPr>
                      <w:rFonts w:ascii="仿宋_GB2312" w:hAnsi="仿宋_GB2312" w:cs="仿宋_GB2312" w:eastAsia="仿宋_GB2312"/>
                      <w:sz w:val="22"/>
                    </w:rPr>
                    <w:t>，</w:t>
                  </w:r>
                  <w:r>
                    <w:rPr>
                      <w:rFonts w:ascii="仿宋_GB2312" w:hAnsi="仿宋_GB2312" w:cs="仿宋_GB2312" w:eastAsia="仿宋_GB2312"/>
                      <w:sz w:val="22"/>
                    </w:rPr>
                    <w:t>总</w:t>
                  </w:r>
                  <w:r>
                    <w:rPr>
                      <w:rFonts w:ascii="仿宋_GB2312" w:hAnsi="仿宋_GB2312" w:cs="仿宋_GB2312" w:eastAsia="仿宋_GB2312"/>
                      <w:sz w:val="22"/>
                    </w:rPr>
                    <w:t>报价不得超过</w:t>
                  </w:r>
                  <w:r>
                    <w:rPr>
                      <w:rFonts w:ascii="仿宋_GB2312" w:hAnsi="仿宋_GB2312" w:cs="仿宋_GB2312" w:eastAsia="仿宋_GB2312"/>
                      <w:sz w:val="22"/>
                    </w:rPr>
                    <w:t>单项最高</w:t>
                  </w:r>
                  <w:r>
                    <w:rPr>
                      <w:rFonts w:ascii="仿宋_GB2312" w:hAnsi="仿宋_GB2312" w:cs="仿宋_GB2312" w:eastAsia="仿宋_GB2312"/>
                      <w:sz w:val="22"/>
                    </w:rPr>
                    <w:t>限价</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地下水样品采集及实验室分析</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r>
                    <w:rPr>
                      <w:rFonts w:ascii="仿宋_GB2312" w:hAnsi="仿宋_GB2312" w:cs="仿宋_GB2312" w:eastAsia="仿宋_GB2312"/>
                      <w:sz w:val="22"/>
                    </w:rPr>
                    <w:t>/点位</w:t>
                  </w:r>
                  <w:r>
                    <w:rPr>
                      <w:rFonts w:ascii="仿宋_GB2312" w:hAnsi="仿宋_GB2312" w:cs="仿宋_GB2312" w:eastAsia="仿宋_GB2312"/>
                      <w:sz w:val="22"/>
                    </w:rPr>
                    <w:t>(样品)</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14000</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100000</w:t>
                  </w:r>
                </w:p>
              </w:tc>
              <w:tc>
                <w:tcPr>
                  <w:tcW w:type="dxa" w:w="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供应商填报综合单价</w:t>
                  </w:r>
                  <w:r>
                    <w:rPr>
                      <w:rFonts w:ascii="仿宋_GB2312" w:hAnsi="仿宋_GB2312" w:cs="仿宋_GB2312" w:eastAsia="仿宋_GB2312"/>
                      <w:sz w:val="22"/>
                    </w:rPr>
                    <w:t>≤14000元/点位</w:t>
                  </w:r>
                  <w:r>
                    <w:rPr>
                      <w:rFonts w:ascii="仿宋_GB2312" w:hAnsi="仿宋_GB2312" w:cs="仿宋_GB2312" w:eastAsia="仿宋_GB2312"/>
                      <w:sz w:val="22"/>
                    </w:rPr>
                    <w:t>(样品)</w:t>
                  </w:r>
                  <w:r>
                    <w:rPr>
                      <w:rFonts w:ascii="仿宋_GB2312" w:hAnsi="仿宋_GB2312" w:cs="仿宋_GB2312" w:eastAsia="仿宋_GB2312"/>
                      <w:sz w:val="22"/>
                    </w:rPr>
                    <w:t>，总</w:t>
                  </w:r>
                  <w:r>
                    <w:rPr>
                      <w:rFonts w:ascii="仿宋_GB2312" w:hAnsi="仿宋_GB2312" w:cs="仿宋_GB2312" w:eastAsia="仿宋_GB2312"/>
                      <w:sz w:val="22"/>
                    </w:rPr>
                    <w:t>报价不得超过</w:t>
                  </w:r>
                  <w:r>
                    <w:rPr>
                      <w:rFonts w:ascii="仿宋_GB2312" w:hAnsi="仿宋_GB2312" w:cs="仿宋_GB2312" w:eastAsia="仿宋_GB2312"/>
                      <w:sz w:val="22"/>
                    </w:rPr>
                    <w:t>单项最高</w:t>
                  </w:r>
                  <w:r>
                    <w:rPr>
                      <w:rFonts w:ascii="仿宋_GB2312" w:hAnsi="仿宋_GB2312" w:cs="仿宋_GB2312" w:eastAsia="仿宋_GB2312"/>
                      <w:sz w:val="22"/>
                    </w:rPr>
                    <w:t>限价</w:t>
                  </w:r>
                  <w:r>
                    <w:rPr>
                      <w:rFonts w:ascii="仿宋_GB2312" w:hAnsi="仿宋_GB2312" w:cs="仿宋_GB2312" w:eastAsia="仿宋_GB2312"/>
                      <w:sz w:val="21"/>
                    </w:rPr>
                    <w:t xml:space="preserve"> </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空气环境质量监测</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10000</w:t>
                  </w:r>
                </w:p>
              </w:tc>
              <w:tc>
                <w:tcPr>
                  <w:tcW w:type="dxa" w:w="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总价包干报价，报价不得超限价，含挥发性、半挥发性有机物现场监测全费用</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详细调查报告编制及评审</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90000</w:t>
                  </w:r>
                </w:p>
              </w:tc>
              <w:tc>
                <w:tcPr>
                  <w:tcW w:type="dxa" w:w="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总价包干报价，报价不得超限价，含数据汇总、撰稿、校核修改、成果整编以及专家评审等全部工作</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风险评估报告、修复方案编制及专家评审</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300000</w:t>
                  </w:r>
                </w:p>
              </w:tc>
              <w:tc>
                <w:tcPr>
                  <w:tcW w:type="dxa" w:w="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总价包干报价，报价不得超限价，成交后总价固定不变，含有污染概况、危害识别、暴露评估、毒性评估、风险管控值与修复方案编制、专家评审等全部工作</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合计</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项目总限价</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13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1900000</w:t>
                  </w:r>
                  <w:r>
                    <w:rPr>
                      <w:rFonts w:ascii="仿宋_GB2312" w:hAnsi="仿宋_GB2312" w:cs="仿宋_GB2312" w:eastAsia="仿宋_GB2312"/>
                      <w:sz w:val="22"/>
                    </w:rPr>
                    <w:t>元</w:t>
                  </w:r>
                </w:p>
              </w:tc>
            </w:tr>
          </w:tbl>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满足完成本项目所必须的人员配置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满足完成本项目所必须的设施设备要求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因采购人系行政单位，所有的付款均需财政部门审批，本合同履行期间，非因采购人故意拖延付款申请流程造成的逾期付款的，承包方对此予以谅解不得追究采购人的逾期付款责任。</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自合同签订之日起，2026年9月15日之前完成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时将本项目各项成果提交采购人，并进行成果的相关技术修改，至通过专家评审。在服务期限内，依据上述所有列明的全部内容，并在上述服务周期列出的完成时限前半个月内，提交项目成果文件，出具经专家评审通过的土壤详细调查方案、污染详细调查报告、风险评估报告、修复方案为最终验收依据，由甲方组织专家以验收会的形式对项目成果进行验收。2、服务商提供的服务最终验收达不到磋商文件要求和磋商响应文件承诺及国家或行业标准，或在使用中发现采购人不能容忍的缺陷等，将视为验收不合格，服务商应在采购人要求的时间内无条件完善或要求赔付采购人损失。 3、若发现服务商有弄虚作假的，及在项目实施阶段故意或随意夸大服务，本项目合同解除，服务商赔偿采购人相应的损失。 4、验收标准：按磋商文件、磋商响应文件等服务指标进行逐项验收，各项指标均应符合验收标准及要求。 5、验收合格后，填写验收单，双方盖章、签字生效。 6、验收依据： （1）合同文本、合同附件、竞争性磋商文件、竞争性磋商响应文件。 （2）国家和行业制定的相应的标准和规范。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进度款，项目按期整体完成且验收合格后，采购人财政资金具备支付条件后一次性支付，达到付款条件起15个工作日内，支付合同总金额的100.0%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违约责任按照《中华人民共和国民法典》相关规定执行。供应商未按合同约定履约、服务质量不达标、逾期交付的，采购人有权终止合同、不予支付项目款项，并将其违约行为上报政府采购监管部门，依法追究其赔偿及行政责任。履约过程中发生争议，双方优先友好协商解决；争议期间，无争议条款继续履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3.4.1磋商报价说明： 1、本项目报价包含总价包干及单价据实结算两种方式。所有报价均为全费用报价，成交价已包含人工、交通、设备、采样、检测、报告编制、专家评审、会务、资料归档、税费、企业管理费、利润等完成本项目全部工作内容所需的一切费用，采购人无需额外支付其他任何费用，漏项、缺项风险由供应商自行承担。2. 磋商文件要求及项目实施必然发生的全部费用，未单独列明的，均视为已包含在分项报价及总报价内。3. 报价参照相关行业收费标准执行。4. 所有报价包含国家现行全部税费。5. 各分项报价不得超出对应单项最高限价，超出单项最高限价按无效响应处理。6. 供应商总报价不得超出项目总最高限价190万元，超出总最高限价限价按无效响应处理。 3.4.2成交供应商的磋商有效期自动延长至合同终止为止。 3.4.3合格供应商少于3家的处理：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 2.评审过程中，除符合第1条条款规定情形外，若出现合格供应商少于3家时，采购人应依法重新组织采购活动。 3.4.4本项目需要落实的政府采购政策：（1）《国务院办公厅关于建立政府强制采购节能产品制度的通知》（国办发〔2007〕51号）；（2）《财政部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印发节能产品政府采购品目清单的通知》（财库〔2019〕19号）；（6）《关于印发环境标志产品政府采购品目清单的通知》（财库〔2019〕18号）；（7）《关于运用政府采购政策支持乡村产业振兴的通知》（财库〔2021〕19号）；（8）《政府采购促进中小企业发展管理办法》（财库〔2020〕46号）；（9）《关于进一步加大政府采购支持中小企业力度的通知》（财库〔2022〕19号；（10）《陕西省中小企业政府采购信用融资办法》（陕财办采〔2018〕23号）；（11）《陕西省财政厅关于加快推进我省中小企业政府采购信用融资工作的通知》（陕财办采〔2020〕15号）；（12）《关于进一步加强政府绿色采购有关问题的通知》陕财办采〔2021〕29号；（13）《陕西省财政厅、中国人民银行西安分行关于深入推进政府采购信用融资业务的通知》（陕财办采〔2023〕5号）；（14）其他需要落实的政府采购政策。 3.4.5参与本项目采购的供应商应通过陕西省政府采购综合管理平台的项目电子化交易系统在线实施响应、磋商、报价等操作，磋商响应时无需供应商现场提供纸质响应文件，但在中标（成交）后中标（成交）供应商在领取中标（成交）通知书时需提供纸质响应文件正本壹套、副本壹套、电子版（U 盘）贰个，纸质响应文件应通过专用制作软件直接打印，确保与项目电子化交易系统中的电子响应文件保持一致，不允许修改和补充。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状况报告，或其磋商截止时间前六个月内基本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具有独立承担民事责任能力的法人、其他组织或自然人，并出具合法有效的营业执照或事业单位法人证书等国家规定的相关证明，自然人参与的提供其身份证明，提供复印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法定代表人授权书/身份证明书</w:t>
            </w:r>
          </w:p>
        </w:tc>
        <w:tc>
          <w:tcPr>
            <w:tcW w:type="dxa" w:w="3322"/>
          </w:tcPr>
          <w:p>
            <w:pPr>
              <w:pStyle w:val="null3"/>
            </w:pPr>
            <w:r>
              <w:rPr>
                <w:rFonts w:ascii="仿宋_GB2312" w:hAnsi="仿宋_GB2312" w:cs="仿宋_GB2312" w:eastAsia="仿宋_GB2312"/>
              </w:rPr>
              <w:t>法定代表人直接参与磋商的，须出具法定代表人身份证明书及身份证扫描件；法定代表人授权代表参与磋商的，须出具法定代表人授权书及授权代表身份证扫描件。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提供2025年度经审计的财务状况报告，或其磋商截止时间前六个月内基本开户银行出具的资信证明，或信用担保机构出具的投标担保函（以上三种形式的资料提供任何一种即可）。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提供至首次响应文件提交截止时间前一年内任意一个月依法缴纳税收的相关证明材料；如依法免税的，应提供相应文件证明其依法免税。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提供至首次响应文件提交截止时间前一年内任意一个月依法缴纳社会保障资金的相关证明材料；如依法不需要缴纳社会保障资金的，应提供相应文件证明其依法不需要缴纳社会保障资金。</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信用记录查询结果</w:t>
            </w:r>
          </w:p>
        </w:tc>
        <w:tc>
          <w:tcPr>
            <w:tcW w:type="dxa" w:w="3322"/>
          </w:tcPr>
          <w:p>
            <w:pPr>
              <w:pStyle w:val="null3"/>
            </w:pPr>
            <w:r>
              <w:rPr>
                <w:rFonts w:ascii="仿宋_GB2312" w:hAnsi="仿宋_GB2312" w:cs="仿宋_GB2312" w:eastAsia="仿宋_GB2312"/>
              </w:rPr>
              <w:t>供应商未被列入“信用中国”网站(www.creditchina.gov.cn)“失信被执行人或重大税收违法失信主体或政府采购严重违法失信行为记录名单”；不处于中国政府采购网(www.ccgp.gov.cn)“政府采购严重违法失信行为记录名单”中的禁止参加政府采购活动期间。（以采购人于投标（响应）截止时间当天在评审系统查询的结果为准，如相关失信记录已失效，供应商需提供相关证明资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提供具有履行本合同所必需的专业技术能力的声明。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响应文件封面 技术方案.docx 供应商应提交的相关资格证明材料.docx 中小企业声明函 残疾人福利性单位声明函 商务应答表 服务内容及服务要求应答表 标的清单 报价表 响应函 监狱企业的证明文件 联合体协议书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响应文件封面 技术方案.docx 供应商应提交的相关资格证明材料.docx 中小企业声明函 残疾人福利性单位声明函 商务应答表 服务内容及服务要求应答表 标的清单 报价表 响应函 联合体协议书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完全理解接受招标文件商务条款，并签署商务应答表。</w:t>
            </w:r>
          </w:p>
        </w:tc>
        <w:tc>
          <w:tcPr>
            <w:tcW w:type="dxa" w:w="1661"/>
          </w:tcPr>
          <w:p>
            <w:pPr>
              <w:pStyle w:val="null3"/>
            </w:pPr>
            <w:r>
              <w:rPr>
                <w:rFonts w:ascii="仿宋_GB2312" w:hAnsi="仿宋_GB2312" w:cs="仿宋_GB2312" w:eastAsia="仿宋_GB2312"/>
              </w:rPr>
              <w:t>响应文件封面 技术方案.docx 供应商应提交的相关资格证明材料.docx 中小企业声明函 残疾人福利性单位声明函 商务应答表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响应文件封面 技术方案.docx 供应商应提交的相关资格证明材料.docx 中小企业声明函 残疾人福利性单位声明函 商务应答表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服务能力与履约保障</w:t>
            </w:r>
          </w:p>
        </w:tc>
        <w:tc>
          <w:tcPr>
            <w:tcW w:type="dxa" w:w="2492"/>
          </w:tcPr>
          <w:p>
            <w:pPr>
              <w:pStyle w:val="null3"/>
            </w:pPr>
            <w:r>
              <w:rPr>
                <w:rFonts w:ascii="仿宋_GB2312" w:hAnsi="仿宋_GB2312" w:cs="仿宋_GB2312" w:eastAsia="仿宋_GB2312"/>
              </w:rPr>
              <w:t>1.具备有效的检验检测机构资质认定（CMA）证书，且其《检验检测机构资质认定能力附表》中包含土壤、地下水监测参数，得3分；同时具备CNAS实验室认可证书（认可范围含土壤、地下水）的，额外加2分（本项最高5分）。 2.具备中国环境保护产业协会或省级生态环境保护产业协会颁发的环境服务能力评价（监测类）证书，得2分。 3.具备ISO9001质量管理、ISO14001环境管理、ISO45001职业健康安全管理三体系认证，每提供1个证书得1分，最高得3分； 备注：所有证书需在有效期内，提供加盖公章复印件；非本单位自有、过期、材料不全均不计对应分值。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近5年（以合同签订时间为准）承担过土壤污染调查、地下水调查及风险评估等类似服务项目，每提供一项有效业绩得5分，本项满分15分，资料不全不计分。（土壤污染调查、地下水调查及风险评估等属于同一项目的不重复记分）。 备注：①业绩为合同形式：提供合同首页、服务工作内容页、签字盖章页（合同中不能体现工作内容，供应商应另行提供业主证明、验收证明等文件予以证明）； ②业绩为非合同形式：提供相关正式文件，如管理部门任务下发文件、证明文件等；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1. 项目负责人 项目负责人须为本单位在职员工（提供投标截止日前三个月内任意一个月社保缴纳证明），具备环境、水文地质、地下水监测、分析化学等与本项目相关专业背景（提供学历证），且具有上述相关专业高级工程师及以上职称（提供职称证）： （1）近五年以项目负责人身份，主持完成3个及以上同类型项目，项目规模、服务内容与本项目相当，得4分； （2）近五年以项目负责人身份，主持完成1-2个同类型项目，得2分； （3）无同类项目负责人业绩，得0分。 注：以上相关证明材料均需加盖投标人公章，未提供证明材料不得分。 2. 团队主要技术人员（除项目负责人外） 团队主要技术人员须为本单位在职员工（提供投标截止日前三个月内任意一个月社保缴纳证明），具备环境、水文地质、地下水监测、分析化学等与本项目相关专业背景（提供学历证），具有上述相关专业中级工程师及以上职称（提供职称证），每提供一名满足条件的人员得1.5分，本项最高得6分。 注：以上相关证明材料均需加盖公章，未提供证明材料不得分。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质量控制专项方案</w:t>
            </w:r>
          </w:p>
        </w:tc>
        <w:tc>
          <w:tcPr>
            <w:tcW w:type="dxa" w:w="2492"/>
          </w:tcPr>
          <w:p>
            <w:pPr>
              <w:pStyle w:val="null3"/>
            </w:pPr>
            <w:r>
              <w:rPr>
                <w:rFonts w:ascii="仿宋_GB2312" w:hAnsi="仿宋_GB2312" w:cs="仿宋_GB2312" w:eastAsia="仿宋_GB2312"/>
              </w:rPr>
              <w:t>评审包含以下8项内容： 资料搜集、现场踏勘及人员访谈、详查调查方案编制及评审、现场采样及实验室分析、报告编制及评审、人体健康风险评估、污染概念模型更新、风险评估报告编制。评审标准：方案内容专门针对本项目编制，切合本项目实际情况及实施要求，内容与要点相符、每个要点均有展开详细的阐述且能够适用于本项目的得10分；评审内容有缺陷（缺陷是指：内容粗略、逻辑混乱、描述过于简单、与项目特点不匹配、凭空编造、逻辑漏洞、出现常识性错误、存在不可能实现的夸大情形）评审内容每项出现以上任一情形扣0.5分；方案缺漏项或只有标题没有实质性内容的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安全管理措施</w:t>
            </w:r>
          </w:p>
        </w:tc>
        <w:tc>
          <w:tcPr>
            <w:tcW w:type="dxa" w:w="2492"/>
          </w:tcPr>
          <w:p>
            <w:pPr>
              <w:pStyle w:val="null3"/>
            </w:pPr>
            <w:r>
              <w:rPr>
                <w:rFonts w:ascii="仿宋_GB2312" w:hAnsi="仿宋_GB2312" w:cs="仿宋_GB2312" w:eastAsia="仿宋_GB2312"/>
              </w:rPr>
              <w:t>评审内容①安全教育；②安全检查及整改措施；③安全防护措施； 评审标准：方案内容专门针对本项目编制，切合本项目实际情况及实施要求，内容与要点相符、每个要点均有展开详细的阐述且能够适用于本项目的得6分；评审内容有缺陷（缺陷是指：内容粗略、逻辑混乱、描述过于简单、与项目特点不匹配、凭空编造、逻辑漏洞、出现常识性错误、存在不可能实现的夸大情形）评审内容每项出现以上任一情形扣1分；方案缺漏项或只有标题没有实质性内容的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评审内容①保密管理制度；②具体工作保密措施；③保密承诺等。 评审标准：方案内容专门针对本项目编制，切合本项目实际情况及实施要求，内容与要点相符、每个要点均有展开详细的阐述且能够适用于本项目的得6分；评审内容有缺陷（缺陷是指：内容粗略、逻辑混乱、描述过于简单、与项目特点不匹配、凭空编造、逻辑漏洞、出现常识性错误、存在不可能实现的夸大情形）评审内容每项出现以上任一情形扣1分；方案缺漏项或只有标题没有实质性内容的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项目重难点分析及应对措施</w:t>
            </w:r>
          </w:p>
        </w:tc>
        <w:tc>
          <w:tcPr>
            <w:tcW w:type="dxa" w:w="2492"/>
          </w:tcPr>
          <w:p>
            <w:pPr>
              <w:pStyle w:val="null3"/>
            </w:pPr>
            <w:r>
              <w:rPr>
                <w:rFonts w:ascii="仿宋_GB2312" w:hAnsi="仿宋_GB2312" w:cs="仿宋_GB2312" w:eastAsia="仿宋_GB2312"/>
              </w:rPr>
              <w:t>评审内容①重点、难点分析；②关于重难点的应对措施等。 评审标准：方案内容专门针对本项目编制，切合本项目实际情况及实施要求，内容与要点相符、每个要点均有展开详细的阐述且能够适用于本项目的得6分；评审内容有缺陷（缺陷是指：内容粗略、逻辑混乱、描述过于简单、与项目特点不匹配、凭空编造、逻辑漏洞、出现常识性错误、存在不可能实现的夸大情形）评审内容每项出现以上任一情形扣1分；方案缺漏项或只有标题没有实质性内容的扣3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评审内容①项目实施进度目标分析；②进度计划及关键节点；③进度保障措施等。 评审标准：方案内容专门针对本项目编制，切合本项目实际情况及实施要求，内容与要点相符、每个要点均有展开详细的阐述且能够适用于本项目的得6分；评审内容有缺陷（缺陷是指：内容粗略、逻辑混乱、描述过于简单、与项目特点不匹配、凭空编造、逻辑漏洞、出现常识性错误、存在不可能实现的夸大情形）评审内容每项出现以上任一情形扣1分；方案缺漏项或只有标题没有实质性内容的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突发应急保障措施</w:t>
            </w:r>
          </w:p>
        </w:tc>
        <w:tc>
          <w:tcPr>
            <w:tcW w:type="dxa" w:w="2492"/>
          </w:tcPr>
          <w:p>
            <w:pPr>
              <w:pStyle w:val="null3"/>
            </w:pPr>
            <w:r>
              <w:rPr>
                <w:rFonts w:ascii="仿宋_GB2312" w:hAnsi="仿宋_GB2312" w:cs="仿宋_GB2312" w:eastAsia="仿宋_GB2312"/>
              </w:rPr>
              <w:t>评审内容①应急组织机构及常识宣传；②应急响应流程；③应急保障措施等。 评审标准：方案内容专门针对本项目编制，切合本项目实际情况及实施要求，内容与要点相符、每个要点均有展开详细的阐述且能够适用于本项目的得6分；评审内容有缺陷（缺陷是指：内容粗略、逻辑混乱、描述过于简单、与项目特点不匹配、凭空编造、逻辑漏洞、出现常识性错误、存在不可能实现的夸大情形）评审内容每项出现以上任一情形扣1分；方案缺漏项或只有标题没有实质性内容的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1.经初审合格的响应文件，其最终报价为有效投标报价。 2.有效最低投标报价为基准价得25分。 3.按（评标基准价/有效投标报价）×25的公式计算其得分。 4.磋商报价不完整的，不进入评标标准价的计算，本项得0分。 5.经评审小组一致认定，供应商的磋商报价低于公认市场成本且无证明材料，或超过采购预算,其响应将被拒绝。6、符合招标文件规定的小微企业、监狱企业、残疾人福利企业优惠条件的投标人，价格给予10%的扣除，用扣除后的价格参与评审。</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联合体协议书</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符合招标文件规定的小微企业、监狱企业、残疾人福利企业优惠条件的投标人，价格给予10%的扣除，用扣除后的价格参与评审。</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6.00%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联合体协议书</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详见附件：联合体协议书</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详见附件：西电片区DK5地块土壤污染治理风险评估项目技术服务合同.docx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