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版本号：LC-ZC-2026-00920260617001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灞桥区电子政务外网租赁项目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LC-ZC-2026-009</w:t>
      </w:r>
      <w:r>
        <w:br/>
      </w:r>
      <w:r>
        <w:br/>
      </w:r>
      <w:r>
        <w:br/>
      </w:r>
    </w:p>
    <w:p>
      <w:pPr>
        <w:pStyle w:val="null3"/>
        <w:jc w:val="center"/>
        <w:outlineLvl w:val="2"/>
      </w:pPr>
      <w:r>
        <w:rPr>
          <w:rFonts w:ascii="仿宋_GB2312" w:hAnsi="仿宋_GB2312" w:cs="仿宋_GB2312" w:eastAsia="仿宋_GB2312"/>
          <w:sz w:val="28"/>
          <w:b/>
        </w:rPr>
        <w:t>西安市灞桥区行政审批服务局</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西安市灞桥区行政审批服务局</w:t>
      </w:r>
      <w:r>
        <w:rPr>
          <w:rFonts w:ascii="仿宋_GB2312" w:hAnsi="仿宋_GB2312" w:cs="仿宋_GB2312" w:eastAsia="仿宋_GB2312"/>
        </w:rPr>
        <w:t>委托，拟对</w:t>
      </w:r>
      <w:r>
        <w:rPr>
          <w:rFonts w:ascii="仿宋_GB2312" w:hAnsi="仿宋_GB2312" w:cs="仿宋_GB2312" w:eastAsia="仿宋_GB2312"/>
        </w:rPr>
        <w:t>灞桥区电子政务外网租赁项目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灞桥区电子政务外网租赁项目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本项目服务内容主要包括灞桥区政府机关院内互联网、WiFi互联网及部分院外单位接入线路租赁。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西安市灞桥区席王街道长乐东路69号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刘建敏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029-83629026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代理服务费收费标准：以中标金额为基数，参照国家计委颁发的计价格〔2002〕1980号和发改办价格〔2003〕857号文件的有关规定计算下浮8%，向成交供应商收取。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西安市灞桥区行政审批服务局</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满足采购人需求及相关行业要求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本项目服务内容主要包括灞桥区政府机关院内互联网、WiFi互联网及部分院外单位接入线路租赁。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灞桥区电子政务外网租赁项目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标的名称：灞桥区电子政务外网租赁项目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一、服务内容</w:t>
            </w:r>
          </w:p>
          <w:p>
            <w:pPr>
              <w:pStyle w:val="null3"/>
              <w:ind w:firstLine="422"/>
              <w:jc w:val="both"/>
            </w:pPr>
            <w:r>
              <w:rPr>
                <w:rFonts w:ascii="仿宋_GB2312" w:hAnsi="仿宋_GB2312" w:cs="仿宋_GB2312" w:eastAsia="仿宋_GB2312"/>
                <w:sz w:val="18"/>
                <w:b/>
              </w:rPr>
              <w:t>◆</w:t>
            </w:r>
            <w:r>
              <w:rPr>
                <w:rFonts w:ascii="仿宋_GB2312" w:hAnsi="仿宋_GB2312" w:cs="仿宋_GB2312" w:eastAsia="仿宋_GB2312"/>
                <w:sz w:val="18"/>
                <w:b/>
              </w:rPr>
              <w:t>（一）专线版</w:t>
            </w:r>
          </w:p>
          <w:p>
            <w:pPr>
              <w:pStyle w:val="null3"/>
              <w:ind w:firstLine="420"/>
              <w:jc w:val="both"/>
            </w:pPr>
            <w:r>
              <w:rPr>
                <w:rFonts w:ascii="仿宋_GB2312" w:hAnsi="仿宋_GB2312" w:cs="仿宋_GB2312" w:eastAsia="仿宋_GB2312"/>
                <w:sz w:val="18"/>
              </w:rPr>
              <w:t>1、提供1条为带宽不低于1000M专用数据传输光纤，（含4组公网IP），用于灞桥区政府机房互联网接入。</w:t>
            </w:r>
          </w:p>
          <w:p>
            <w:pPr>
              <w:pStyle w:val="null3"/>
              <w:ind w:firstLine="420"/>
              <w:jc w:val="both"/>
            </w:pPr>
            <w:r>
              <w:rPr>
                <w:rFonts w:ascii="仿宋_GB2312" w:hAnsi="仿宋_GB2312" w:cs="仿宋_GB2312" w:eastAsia="仿宋_GB2312"/>
                <w:sz w:val="18"/>
              </w:rPr>
              <w:t>2、提供1条为带宽不低于300M专用数据传输光纤，（含2组公网IP），用于灞桥区政府无线wifi网络接入。</w:t>
            </w:r>
          </w:p>
          <w:p>
            <w:pPr>
              <w:pStyle w:val="null3"/>
              <w:ind w:firstLine="420"/>
              <w:jc w:val="both"/>
            </w:pPr>
            <w:r>
              <w:rPr>
                <w:rFonts w:ascii="仿宋_GB2312" w:hAnsi="仿宋_GB2312" w:cs="仿宋_GB2312" w:eastAsia="仿宋_GB2312"/>
                <w:sz w:val="18"/>
              </w:rPr>
              <w:t>3、提供灞桥区政府到院外57家单位各一条电子政务外网线路，用于电子政务外网数据传输，同时预留5条线路作为备用，备用线路位置待定，故要求供应商具有西安市灞桥区行政区划全境布设线路的能力。备用线路若开通按月计费，若不开通不产生费用。线路类型包括裸光纤、数字电路（线路带宽不低于20M）等方式。</w:t>
            </w:r>
          </w:p>
          <w:p>
            <w:pPr>
              <w:pStyle w:val="null3"/>
              <w:ind w:firstLine="422"/>
              <w:jc w:val="both"/>
            </w:pPr>
            <w:r>
              <w:rPr>
                <w:rFonts w:ascii="仿宋_GB2312" w:hAnsi="仿宋_GB2312" w:cs="仿宋_GB2312" w:eastAsia="仿宋_GB2312"/>
                <w:sz w:val="18"/>
                <w:b/>
              </w:rPr>
              <w:t>◆</w:t>
            </w:r>
            <w:r>
              <w:rPr>
                <w:rFonts w:ascii="仿宋_GB2312" w:hAnsi="仿宋_GB2312" w:cs="仿宋_GB2312" w:eastAsia="仿宋_GB2312"/>
                <w:sz w:val="18"/>
                <w:b/>
              </w:rPr>
              <w:t>（二）所有线路起点均为灞桥区政府中心机房，线路需求及走向如下表：</w:t>
            </w:r>
          </w:p>
          <w:tbl>
            <w:tblPr>
              <w:tblBorders>
                <w:top w:val="none" w:color="000000" w:sz="4"/>
                <w:left w:val="none" w:color="000000" w:sz="4"/>
                <w:bottom w:val="none" w:color="000000" w:sz="4"/>
                <w:right w:val="none" w:color="000000" w:sz="4"/>
                <w:insideH w:val="none"/>
                <w:insideV w:val="none"/>
              </w:tblBorders>
            </w:tblPr>
            <w:tblGrid>
              <w:gridCol w:w="195"/>
              <w:gridCol w:w="823"/>
              <w:gridCol w:w="1530"/>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乙端名称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乙端地址</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灞桥区疫情指挥部</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纺渭路柳韵巷泰尔发现新坐标潮漫酒店633房间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灞桥区城建开发有限公司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纺一路9号4楼404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灞桥区行政审批服务局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纺北路路北公交站灞桥区市民中心市民中心1层</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灞桥区人社局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新医路87号西二楼主控机房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灞桥区交通运输局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纺一路135号办公楼5楼机房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灞桥区卫生健康局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纺一路151号卫计局四楼机房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灞桥区工业总公司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纺一路135号交通局院西楼303室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自然资源和规划局灞桥分局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纺一路108号四楼404室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生态环境灞桥分局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新医路87号办公楼306室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灞桥区红旗街道办事处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穆将王街1号办公楼1楼楼梯间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西安市灞桥投资控股集团有限公司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纺织城纺西街419号灞河国资3楼302号</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灞桥区教育局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纺东街419号区委党校西楼南侧301号房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原灞桥区中小企业促进局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纺正街556号西安银行三楼楼道北侧</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党校南一楼</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纺东街419号党校南一楼</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公安灞桥分局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纺一路23号分局办公楼304房间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灞桥区住建局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纺一路43号</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原灞桥区质量技术监督局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纺新街园丁小区西门1号楼东单元5层503</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灞桥区残疾人联合会</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纺北路园丁小区1号楼1号楼1层102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灞桥区席王街道办事处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席王路与柳虹路交叉口席王街道门房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灞桥区财政局党校会议室</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纺东街419号党校中楼5楼会议室（二）</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灞桥区浐灞办</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世博中路吕段加油站对面征地拆迁指挥部二楼201室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灞桥区民政局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长乐东路1633号民政局4楼404室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灞桥区洪庆街道办事处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田洪正街668号主楼205</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灞桥区现代纺织产业园</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灞柳二路纺园三路599号管理办办公楼1层机房111号</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灞桥区农业农村局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纺一路109号局办公楼二楼机房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原灞桥区乡村振兴局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灞河西路3208号综合科办公室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灞桥区秦保执法局智慧秦岭平台</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田洪正街新村社区4楼405室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灞桥区灞桥街道办事处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东城大道5919号 院内东二楼201室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灞桥区商贸总公司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纺正街409号2楼西侧党政办公室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灞桥区物资总公司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纺东街419号党校北四楼东一房间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灞桥区狄寨街道办事处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狄寨正街中段服务大厅二楼会议室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灞桥区气象局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席王街办龙湾村北气象局三楼306室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灞桥区基投总公司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纺建路2号二层西南角第一间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灞桥区工商业联合会</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纺东街409号党校南楼304室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灞桥区白鹿原管委会</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狄寨街道夏寨村东一楼男更衣室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灞桥区十里铺街道办事处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十里铺街道十里铺正街办公楼二楼204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灞桥区灞河新区管委会</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柳雪路9号总部经济大楼经济大楼1号楼109室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灞桥区供销联社</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长乐东路8号办公楼二楼打字室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灞桥区公共法律服务中心</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祥云路699号公共法律服务中心法律服务中心1层西侧机房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灞桥区市场监管局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纺一路419号机关办公楼二楼机房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灞桥区税务局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纺一路39号机关大楼201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纺织城开发公司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柳韵路泰尔新坐标（柳韵巷与纺渭路交叉口往西约100米）办公楼29楼2905室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灞桥区人民法院</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灞桥区纺一路668号法院后3楼8305室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席王街道办事处司法所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灞桥区席王街道办事处旁司法所三楼</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灞桥区纺织城街道办事处</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纺织城正街臻园阳光17号楼3楼301室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灞桥区人民检察院</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灞桥区灞柳二路699号办公室301室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灞桥区委社会工作部网格中心</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纺新街与纺三路交叉路口西北角两层独栋</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灞桥区红十字会</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西北电建四公司办公楼东隔壁招待所</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白鹿原现代农旅投资集团</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狄寨街道夏寨村白鹿原管委会内一楼大厅</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灞桥区信访局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灞桥区纺织城街道新欧洲小区</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灞桥东城投资集团有限公司</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西安市灞桥区纺正街262号万兴广场五楼</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灞桥区市政建设开发集团</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纺织产业园华佰利办公楼3层316室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灞桥区消防救援局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灞桥区洪庆街道纺织产业园纺园二路369号</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交警灞桥大队</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交警大队警务大厅六楼指挥中心</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灞桥区秦创原创新促进中心</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纺渭路泰尔发现新坐标写字楼25楼南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灞桥区秦保执法局</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席王街道灞河西路3208号灞桥区林业站2楼203室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灞桥区人民武装部</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纺一路武装部办公楼2层218室</w:t>
                  </w:r>
                </w:p>
              </w:tc>
            </w:tr>
          </w:tbl>
          <w:p>
            <w:pPr>
              <w:pStyle w:val="null3"/>
              <w:ind w:firstLine="464"/>
              <w:jc w:val="both"/>
            </w:pPr>
            <w:r>
              <w:rPr>
                <w:rFonts w:ascii="仿宋_GB2312" w:hAnsi="仿宋_GB2312" w:cs="仿宋_GB2312" w:eastAsia="仿宋_GB2312"/>
                <w:sz w:val="18"/>
                <w:b/>
              </w:rPr>
              <w:t>二、服务要求</w:t>
            </w:r>
          </w:p>
          <w:p>
            <w:pPr>
              <w:pStyle w:val="null3"/>
              <w:ind w:firstLine="480"/>
              <w:jc w:val="both"/>
            </w:pPr>
            <w:r>
              <w:rPr>
                <w:rFonts w:ascii="仿宋_GB2312" w:hAnsi="仿宋_GB2312" w:cs="仿宋_GB2312" w:eastAsia="仿宋_GB2312"/>
                <w:sz w:val="18"/>
                <w:b/>
              </w:rPr>
              <w:t>◆</w:t>
            </w:r>
            <w:r>
              <w:rPr>
                <w:rFonts w:ascii="仿宋_GB2312" w:hAnsi="仿宋_GB2312" w:cs="仿宋_GB2312" w:eastAsia="仿宋_GB2312"/>
                <w:sz w:val="18"/>
              </w:rPr>
              <w:t>1、供应商应提供7×24小时热线电话或其他平台，受理线路故障报修和各项业务；安排一名客户经理提供各项业务咨询和业务办理服务；安排一名技术支持经理提供线路技术咨询和技术支持。</w:t>
            </w:r>
          </w:p>
          <w:p>
            <w:pPr>
              <w:pStyle w:val="null3"/>
              <w:ind w:firstLine="480"/>
              <w:jc w:val="both"/>
            </w:pPr>
            <w:r>
              <w:rPr>
                <w:rFonts w:ascii="仿宋_GB2312" w:hAnsi="仿宋_GB2312" w:cs="仿宋_GB2312" w:eastAsia="仿宋_GB2312"/>
                <w:sz w:val="18"/>
                <w:b/>
              </w:rPr>
              <w:t>◆</w:t>
            </w:r>
            <w:r>
              <w:rPr>
                <w:rFonts w:ascii="仿宋_GB2312" w:hAnsi="仿宋_GB2312" w:cs="仿宋_GB2312" w:eastAsia="仿宋_GB2312"/>
                <w:sz w:val="18"/>
              </w:rPr>
              <w:t>2、供应商必须做到线路故障受理7×24小时响应，8小时内到达现场，原则上12小时内恢复通讯线路，重大施工48小时内恢复通讯线路。</w:t>
            </w:r>
          </w:p>
          <w:p>
            <w:pPr>
              <w:pStyle w:val="null3"/>
              <w:ind w:firstLine="480"/>
              <w:jc w:val="both"/>
            </w:pPr>
            <w:r>
              <w:rPr>
                <w:rFonts w:ascii="仿宋_GB2312" w:hAnsi="仿宋_GB2312" w:cs="仿宋_GB2312" w:eastAsia="仿宋_GB2312"/>
                <w:sz w:val="18"/>
                <w:b/>
              </w:rPr>
              <w:t>◆</w:t>
            </w:r>
            <w:r>
              <w:rPr>
                <w:rFonts w:ascii="仿宋_GB2312" w:hAnsi="仿宋_GB2312" w:cs="仿宋_GB2312" w:eastAsia="仿宋_GB2312"/>
                <w:sz w:val="18"/>
              </w:rPr>
              <w:t>3、供应商能够在采购人提供完整迁移（线路乙端或B端）和新装所需资料后，一周（或五个工作日）内完成线路铺设、设备安装调试，测试通过，可以进行数据通信。在服务期内，因业务需求导致线路点位迁移或线路带宽扩容，乙方需要配合甲方在规定时限内完成相应工作，并保证既定线路正常通信，属于既有57条线路内发生点位迁移或带宽扩容的费用由乙方承担，新增点位开通费用由甲方承担。</w:t>
            </w:r>
          </w:p>
          <w:p>
            <w:pPr>
              <w:pStyle w:val="null3"/>
              <w:ind w:firstLine="480"/>
              <w:jc w:val="both"/>
            </w:pPr>
            <w:r>
              <w:rPr>
                <w:rFonts w:ascii="仿宋_GB2312" w:hAnsi="仿宋_GB2312" w:cs="仿宋_GB2312" w:eastAsia="仿宋_GB2312"/>
                <w:sz w:val="18"/>
                <w:b/>
              </w:rPr>
              <w:t>◆</w:t>
            </w:r>
            <w:r>
              <w:rPr>
                <w:rFonts w:ascii="仿宋_GB2312" w:hAnsi="仿宋_GB2312" w:cs="仿宋_GB2312" w:eastAsia="仿宋_GB2312"/>
                <w:sz w:val="18"/>
              </w:rPr>
              <w:t>4、供应商负责对所提供的网络设备进行安装和调试。</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自合同签订之日起一年（合同生效后30日内完成线路的开通调试等工作）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满足采购人需求及相关行业要求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进度款，从线路调通之日起算三个月内，经甲方验收合格后，达到付款条件起30个工作日内，支付合同总金额的50.0%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进度款，运行正常6个月后，达到付款条件起30个工作日内，支付合同总金额的50.0%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⼀、违约责任：按《⺠法典》中的相关条款执⾏。 ⼆、争议的解决：双⽅应⾸先通过友好协商解决，如果协商不成，任何⼀⽅可向采购⼈所在地有管辖权的⼈⺠法院提起诉讼。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发展改革委生态环境部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履约验收2.1采购人自行验收。2.2是否委托采购代理机构组织履约验收：否。3、本项目所属行业为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4、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5、事业单位参与投标时，可不提供财务状况报告、社会保障资金和税收缴纳证明；依法免税或不需要缴纳社会保障资金的供应商，应提供相应证明文件，证明其依法免税或不需要缴纳社会保障资金。6、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2024年度或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2026年1月1日至今已缴纳的至少一个月的纳税证明或完税证明，纳税证明或完税证明上应有代收机构或税务机关的公章或业务专用章；其他组织和自然人提供自2026年1月1日以来至少一个月缴纳税收的凭据；依法免税的单位应提供相关证明材料。③提供2026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供应商需在项目电子化交易系统中按要求填写《响应函》完成承诺并进行电子签章，且按照资格证明文件中的格式，提供清晰、完整、有效的相关证明材料并签署承诺书。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分项报价表.docx 偏离表.docx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供应商按要求填写技术要求偏离表，完全响应竞争性磋商文件第三章“磋商项目技术、服务、商务及其他要求”中“◆”项参数（6项）得满分 30分，负偏离每项扣5分。 说明：以偏离表为准，技术要求偏离表空白视为完全响应无偏离，得30分。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总体服务方案一</w:t>
            </w:r>
          </w:p>
        </w:tc>
        <w:tc>
          <w:tcPr>
            <w:tcW w:type="dxa" w:w="2492"/>
          </w:tcPr>
          <w:p>
            <w:pPr>
              <w:pStyle w:val="null3"/>
            </w:pPr>
            <w:r>
              <w:rPr>
                <w:rFonts w:ascii="仿宋_GB2312" w:hAnsi="仿宋_GB2312" w:cs="仿宋_GB2312" w:eastAsia="仿宋_GB2312"/>
              </w:rPr>
              <w:t>供应商能针对本项目提出总体服务方案，至少包含：①技术方案②工期进度、测试及上线计划③人员组织结构及调度④服务质量保证措施⑤项目培训方案得5分，否则不得分且总体服务方案二不得分。 说明：该项为客观分（只看标题），以供应商在评审要素（主观分）索引表中有响应且索引能对应上以上标题为准，五个标题齐全得5分，标题不全或者未提供得0分且总体服务方案二得0分。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总体服务方案二</w:t>
            </w:r>
          </w:p>
        </w:tc>
        <w:tc>
          <w:tcPr>
            <w:tcW w:type="dxa" w:w="2492"/>
          </w:tcPr>
          <w:p>
            <w:pPr>
              <w:pStyle w:val="null3"/>
            </w:pPr>
            <w:r>
              <w:rPr>
                <w:rFonts w:ascii="仿宋_GB2312" w:hAnsi="仿宋_GB2312" w:cs="仿宋_GB2312" w:eastAsia="仿宋_GB2312"/>
              </w:rPr>
              <w:t>一、评审内容：①技术方案②工期进度、测试及上线计划③人员组织结构及调度④服务质量保证措施⑤项目培训方案。 二、评审标准： 1、完整性：方案内容须全面详细，完整无缺漏； 2、合理性：方案内容切合本项目实际情况，实施步骤清晰、合理。 三、赋分依据（满分20分） ①技术方案：每完全满足一个评审标准得2分，满分4分； ②工期进度、测试及上线计划：每完全满足一个评审标准得2分，满分4分； ③人员组织结构及调度：每完全满足一个评审标准得2分，满分4分； ④服务质量保证措施：每完全满足一个评审标准得2分，满分4分； ⑤项目培训方案：每完全满足一个评审标准得2分，满分4分。 注：评审专家应书面说明扣分理由（参考话术：如评审内容①技术方案不满足评审标准1，未详细展开描述、方案不全面，扣2分；如评审内容②工期进度、测试及上线计划不满足评审标准2，缺乏针对性、可实施性不足，扣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故障响应及售后服务方案一</w:t>
            </w:r>
          </w:p>
        </w:tc>
        <w:tc>
          <w:tcPr>
            <w:tcW w:type="dxa" w:w="2492"/>
          </w:tcPr>
          <w:p>
            <w:pPr>
              <w:pStyle w:val="null3"/>
            </w:pPr>
            <w:r>
              <w:rPr>
                <w:rFonts w:ascii="仿宋_GB2312" w:hAnsi="仿宋_GB2312" w:cs="仿宋_GB2312" w:eastAsia="仿宋_GB2312"/>
              </w:rPr>
              <w:t>供应商能针对本项目提出故障响应及售后服务方案，至少包含：①故障识别和报告机制②应急预案③售后服务整体安排计划④售后服务团队人员安排计划⑤客户反馈机制得5分，否则不得分且故障响应及售后服务方案二不得分。 说明：该项为客观分（只看标题），以供应商在评审要素（主观分）索引表中有响应且索引能对应上以上标题为准，五个标题齐全得5分，标题不全或者未提供得0分且故障响应及售后服务方案二得0分。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故障响应及售后服务方案二</w:t>
            </w:r>
          </w:p>
        </w:tc>
        <w:tc>
          <w:tcPr>
            <w:tcW w:type="dxa" w:w="2492"/>
          </w:tcPr>
          <w:p>
            <w:pPr>
              <w:pStyle w:val="null3"/>
            </w:pPr>
            <w:r>
              <w:rPr>
                <w:rFonts w:ascii="仿宋_GB2312" w:hAnsi="仿宋_GB2312" w:cs="仿宋_GB2312" w:eastAsia="仿宋_GB2312"/>
              </w:rPr>
              <w:t>一、评审内容：①故障识别和报告机制②应急预案③售后服务整体安排计划④售后服务团队人员安排计划⑤客户反馈机制。 二、评审标准： 1、完整性：方案内容须全面详细，完整无缺漏； 2、合理性：方案内容切合本项目实际情况，实施步骤清晰、合理。 三、赋分依据（满分20分） ①故障识别和报告机制：每完全满足一个评审标准得2分，满分4分； ②应急预案：每完全满足一个评审标准得2分，满分4分； ③售后服务整体安排计划：每完全满足一个评审标准得2分，满分4分； ④售后服务团队人员安排计划：每完全满足一个评审标准得2分，满分4分； ⑤客户反馈机制：每完全满足一个评审标准得2分，满分4分。 注：评审专家应书面说明扣分理由。</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提供2022年1月1日至今类似项目业绩（以合同签订日期为准），每份合格业绩计2分，满分8分。 说明：须提供完整合同业绩扫描件并加盖供应商公章，否则不得分。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供应商（或所属集团公司）具有有效期内的《基础电信业务经营许可证》、《增值电信业务经营许可证》，每提供1个得1分，最高得2分。 说明：提供扫描件并加盖公章，否则不得分。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详见附件：合同草案主要条款（灞桥区电子政务外网租赁项目）.docx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