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6F7F09">
      <w:pPr>
        <w:spacing w:after="120"/>
        <w:jc w:val="center"/>
        <w:rPr>
          <w:rFonts w:hint="eastAsia"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  <w:lang w:val="en-US" w:eastAsia="zh-CN"/>
        </w:rPr>
        <w:t>技术要求偏离表</w:t>
      </w:r>
      <w:r>
        <w:rPr>
          <w:rFonts w:hint="eastAsia" w:ascii="宋体" w:hAnsi="宋体" w:eastAsia="宋体" w:cs="宋体"/>
          <w:szCs w:val="24"/>
        </w:rPr>
        <w:t xml:space="preserve"> </w:t>
      </w:r>
    </w:p>
    <w:p w14:paraId="17AAD853">
      <w:pPr>
        <w:spacing w:after="120"/>
        <w:rPr>
          <w:rFonts w:hint="eastAsia" w:ascii="宋体" w:hAnsi="宋体" w:eastAsia="宋体" w:cs="宋体"/>
          <w:szCs w:val="24"/>
          <w:lang w:eastAsia="zh-CN"/>
        </w:rPr>
      </w:pPr>
      <w:r>
        <w:rPr>
          <w:rFonts w:hint="eastAsia" w:ascii="宋体" w:hAnsi="宋体" w:eastAsia="宋体" w:cs="宋体"/>
          <w:szCs w:val="24"/>
        </w:rPr>
        <w:t xml:space="preserve"> 项目名称：</w:t>
      </w:r>
      <w:r>
        <w:rPr>
          <w:rFonts w:hint="eastAsia" w:ascii="宋体" w:hAnsi="宋体" w:cs="宋体"/>
          <w:szCs w:val="24"/>
          <w:lang w:eastAsia="zh-CN"/>
        </w:rPr>
        <w:t>灞桥区电子政务外网租赁项目</w:t>
      </w:r>
    </w:p>
    <w:p w14:paraId="6FDD82D1">
      <w:pPr>
        <w:spacing w:after="120"/>
        <w:ind w:firstLine="105" w:firstLineChars="50"/>
        <w:rPr>
          <w:rFonts w:hint="eastAsia" w:ascii="宋体" w:hAnsi="宋体" w:eastAsia="宋体" w:cs="宋体"/>
          <w:szCs w:val="24"/>
        </w:rPr>
      </w:pPr>
      <w:r>
        <w:rPr>
          <w:rFonts w:hint="eastAsia" w:ascii="宋体" w:hAnsi="宋体" w:eastAsia="宋体" w:cs="宋体"/>
          <w:szCs w:val="24"/>
        </w:rPr>
        <w:t>项目编号：</w:t>
      </w:r>
      <w:bookmarkStart w:id="0" w:name="_GoBack"/>
      <w:bookmarkEnd w:id="0"/>
      <w:r>
        <w:rPr>
          <w:rFonts w:hint="eastAsia" w:ascii="宋体" w:hAnsi="宋体" w:cs="宋体"/>
          <w:szCs w:val="24"/>
          <w:lang w:eastAsia="zh-CN"/>
        </w:rPr>
        <w:t>LC-ZC-2026-009</w:t>
      </w:r>
      <w:r>
        <w:rPr>
          <w:rFonts w:hint="eastAsia" w:ascii="宋体" w:hAnsi="宋体" w:eastAsia="宋体" w:cs="宋体"/>
          <w:szCs w:val="24"/>
        </w:rPr>
        <w:t xml:space="preserve">                            </w:t>
      </w:r>
    </w:p>
    <w:tbl>
      <w:tblPr>
        <w:tblStyle w:val="7"/>
        <w:tblW w:w="0" w:type="auto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147"/>
        <w:gridCol w:w="2519"/>
        <w:gridCol w:w="2566"/>
        <w:gridCol w:w="1290"/>
        <w:gridCol w:w="1333"/>
      </w:tblGrid>
      <w:tr w14:paraId="5CFAFF0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0" w:hRule="atLeast"/>
          <w:jc w:val="center"/>
        </w:trPr>
        <w:tc>
          <w:tcPr>
            <w:tcW w:w="1147" w:type="dxa"/>
            <w:tcBorders>
              <w:tl2br w:val="nil"/>
              <w:tr2bl w:val="nil"/>
            </w:tcBorders>
            <w:noWrap w:val="0"/>
            <w:vAlign w:val="center"/>
          </w:tcPr>
          <w:p w14:paraId="10E7C6DE">
            <w:pPr>
              <w:spacing w:before="163" w:beforeLines="5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序号</w:t>
            </w:r>
          </w:p>
        </w:tc>
        <w:tc>
          <w:tcPr>
            <w:tcW w:w="2519" w:type="dxa"/>
            <w:tcBorders>
              <w:tl2br w:val="nil"/>
              <w:tr2bl w:val="nil"/>
            </w:tcBorders>
            <w:noWrap w:val="0"/>
            <w:vAlign w:val="center"/>
          </w:tcPr>
          <w:p w14:paraId="51CAD0A7">
            <w:pPr>
              <w:spacing w:before="163" w:beforeLines="5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磋商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文件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技术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要求 </w:t>
            </w:r>
          </w:p>
        </w:tc>
        <w:tc>
          <w:tcPr>
            <w:tcW w:w="2566" w:type="dxa"/>
            <w:tcBorders>
              <w:tl2br w:val="nil"/>
              <w:tr2bl w:val="nil"/>
            </w:tcBorders>
            <w:noWrap w:val="0"/>
            <w:vAlign w:val="center"/>
          </w:tcPr>
          <w:p w14:paraId="50E4DB9F">
            <w:pPr>
              <w:spacing w:before="163" w:beforeLines="5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磋商响应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文件</w:t>
            </w:r>
          </w:p>
          <w:p w14:paraId="0AE41515">
            <w:pPr>
              <w:spacing w:before="163" w:beforeLines="5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技术响应</w:t>
            </w:r>
          </w:p>
        </w:tc>
        <w:tc>
          <w:tcPr>
            <w:tcW w:w="1290" w:type="dxa"/>
            <w:tcBorders>
              <w:tl2br w:val="nil"/>
              <w:tr2bl w:val="nil"/>
            </w:tcBorders>
            <w:noWrap w:val="0"/>
            <w:vAlign w:val="center"/>
          </w:tcPr>
          <w:p w14:paraId="503F817E">
            <w:pPr>
              <w:spacing w:before="163" w:beforeLines="5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偏离</w:t>
            </w:r>
          </w:p>
        </w:tc>
        <w:tc>
          <w:tcPr>
            <w:tcW w:w="1333" w:type="dxa"/>
            <w:tcBorders>
              <w:tl2br w:val="nil"/>
              <w:tr2bl w:val="nil"/>
            </w:tcBorders>
            <w:noWrap w:val="0"/>
            <w:vAlign w:val="center"/>
          </w:tcPr>
          <w:p w14:paraId="2BB7905F">
            <w:pPr>
              <w:spacing w:before="163" w:beforeLines="50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说明</w:t>
            </w:r>
          </w:p>
        </w:tc>
      </w:tr>
      <w:tr w14:paraId="204C980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0" w:hRule="atLeast"/>
          <w:jc w:val="center"/>
        </w:trPr>
        <w:tc>
          <w:tcPr>
            <w:tcW w:w="1147" w:type="dxa"/>
            <w:tcBorders>
              <w:tl2br w:val="nil"/>
              <w:tr2bl w:val="nil"/>
            </w:tcBorders>
            <w:noWrap w:val="0"/>
            <w:vAlign w:val="top"/>
          </w:tcPr>
          <w:p w14:paraId="417511F6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519" w:type="dxa"/>
            <w:tcBorders>
              <w:tl2br w:val="nil"/>
              <w:tr2bl w:val="nil"/>
            </w:tcBorders>
            <w:noWrap w:val="0"/>
            <w:vAlign w:val="top"/>
          </w:tcPr>
          <w:p w14:paraId="04C26A5A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566" w:type="dxa"/>
            <w:tcBorders>
              <w:tl2br w:val="nil"/>
              <w:tr2bl w:val="nil"/>
            </w:tcBorders>
            <w:noWrap w:val="0"/>
            <w:vAlign w:val="top"/>
          </w:tcPr>
          <w:p w14:paraId="5057C221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90" w:type="dxa"/>
            <w:tcBorders>
              <w:tl2br w:val="nil"/>
              <w:tr2bl w:val="nil"/>
            </w:tcBorders>
            <w:noWrap w:val="0"/>
            <w:vAlign w:val="top"/>
          </w:tcPr>
          <w:p w14:paraId="09101CF3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33" w:type="dxa"/>
            <w:tcBorders>
              <w:tl2br w:val="nil"/>
              <w:tr2bl w:val="nil"/>
            </w:tcBorders>
            <w:noWrap w:val="0"/>
            <w:vAlign w:val="top"/>
          </w:tcPr>
          <w:p w14:paraId="67F8867C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5ED3833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0" w:hRule="atLeast"/>
          <w:jc w:val="center"/>
        </w:trPr>
        <w:tc>
          <w:tcPr>
            <w:tcW w:w="1147" w:type="dxa"/>
            <w:tcBorders>
              <w:tl2br w:val="nil"/>
              <w:tr2bl w:val="nil"/>
            </w:tcBorders>
            <w:noWrap w:val="0"/>
            <w:vAlign w:val="top"/>
          </w:tcPr>
          <w:p w14:paraId="2BC61C8F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519" w:type="dxa"/>
            <w:tcBorders>
              <w:tl2br w:val="nil"/>
              <w:tr2bl w:val="nil"/>
            </w:tcBorders>
            <w:noWrap w:val="0"/>
            <w:vAlign w:val="top"/>
          </w:tcPr>
          <w:p w14:paraId="6DF31B6F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566" w:type="dxa"/>
            <w:tcBorders>
              <w:tl2br w:val="nil"/>
              <w:tr2bl w:val="nil"/>
            </w:tcBorders>
            <w:noWrap w:val="0"/>
            <w:vAlign w:val="top"/>
          </w:tcPr>
          <w:p w14:paraId="049A2BD4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90" w:type="dxa"/>
            <w:tcBorders>
              <w:tl2br w:val="nil"/>
              <w:tr2bl w:val="nil"/>
            </w:tcBorders>
            <w:noWrap w:val="0"/>
            <w:vAlign w:val="top"/>
          </w:tcPr>
          <w:p w14:paraId="0278A8AA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33" w:type="dxa"/>
            <w:tcBorders>
              <w:tl2br w:val="nil"/>
              <w:tr2bl w:val="nil"/>
            </w:tcBorders>
            <w:noWrap w:val="0"/>
            <w:vAlign w:val="top"/>
          </w:tcPr>
          <w:p w14:paraId="4777F54D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36399F3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0" w:hRule="atLeast"/>
          <w:jc w:val="center"/>
        </w:trPr>
        <w:tc>
          <w:tcPr>
            <w:tcW w:w="1147" w:type="dxa"/>
            <w:tcBorders>
              <w:tl2br w:val="nil"/>
              <w:tr2bl w:val="nil"/>
            </w:tcBorders>
            <w:noWrap w:val="0"/>
            <w:vAlign w:val="top"/>
          </w:tcPr>
          <w:p w14:paraId="14E21083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519" w:type="dxa"/>
            <w:tcBorders>
              <w:tl2br w:val="nil"/>
              <w:tr2bl w:val="nil"/>
            </w:tcBorders>
            <w:noWrap w:val="0"/>
            <w:vAlign w:val="top"/>
          </w:tcPr>
          <w:p w14:paraId="4A58E210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566" w:type="dxa"/>
            <w:tcBorders>
              <w:tl2br w:val="nil"/>
              <w:tr2bl w:val="nil"/>
            </w:tcBorders>
            <w:noWrap w:val="0"/>
            <w:vAlign w:val="top"/>
          </w:tcPr>
          <w:p w14:paraId="582737F6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90" w:type="dxa"/>
            <w:tcBorders>
              <w:tl2br w:val="nil"/>
              <w:tr2bl w:val="nil"/>
            </w:tcBorders>
            <w:noWrap w:val="0"/>
            <w:vAlign w:val="top"/>
          </w:tcPr>
          <w:p w14:paraId="4A72EBCA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33" w:type="dxa"/>
            <w:tcBorders>
              <w:tl2br w:val="nil"/>
              <w:tr2bl w:val="nil"/>
            </w:tcBorders>
            <w:noWrap w:val="0"/>
            <w:vAlign w:val="top"/>
          </w:tcPr>
          <w:p w14:paraId="63B2E3F3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1D076ED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0" w:hRule="atLeast"/>
          <w:jc w:val="center"/>
        </w:trPr>
        <w:tc>
          <w:tcPr>
            <w:tcW w:w="1147" w:type="dxa"/>
            <w:tcBorders>
              <w:tl2br w:val="nil"/>
              <w:tr2bl w:val="nil"/>
            </w:tcBorders>
            <w:noWrap w:val="0"/>
            <w:vAlign w:val="top"/>
          </w:tcPr>
          <w:p w14:paraId="49EA5978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519" w:type="dxa"/>
            <w:tcBorders>
              <w:tl2br w:val="nil"/>
              <w:tr2bl w:val="nil"/>
            </w:tcBorders>
            <w:noWrap w:val="0"/>
            <w:vAlign w:val="top"/>
          </w:tcPr>
          <w:p w14:paraId="163B7C7E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566" w:type="dxa"/>
            <w:tcBorders>
              <w:tl2br w:val="nil"/>
              <w:tr2bl w:val="nil"/>
            </w:tcBorders>
            <w:noWrap w:val="0"/>
            <w:vAlign w:val="top"/>
          </w:tcPr>
          <w:p w14:paraId="3E26A11C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90" w:type="dxa"/>
            <w:tcBorders>
              <w:tl2br w:val="nil"/>
              <w:tr2bl w:val="nil"/>
            </w:tcBorders>
            <w:noWrap w:val="0"/>
            <w:vAlign w:val="top"/>
          </w:tcPr>
          <w:p w14:paraId="4E90D31A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33" w:type="dxa"/>
            <w:tcBorders>
              <w:tl2br w:val="nil"/>
              <w:tr2bl w:val="nil"/>
            </w:tcBorders>
            <w:noWrap w:val="0"/>
            <w:vAlign w:val="top"/>
          </w:tcPr>
          <w:p w14:paraId="1850B18A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6D61133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0" w:hRule="atLeast"/>
          <w:jc w:val="center"/>
        </w:trPr>
        <w:tc>
          <w:tcPr>
            <w:tcW w:w="1147" w:type="dxa"/>
            <w:tcBorders>
              <w:tl2br w:val="nil"/>
              <w:tr2bl w:val="nil"/>
            </w:tcBorders>
            <w:noWrap w:val="0"/>
            <w:vAlign w:val="top"/>
          </w:tcPr>
          <w:p w14:paraId="6B4E0FF1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519" w:type="dxa"/>
            <w:tcBorders>
              <w:tl2br w:val="nil"/>
              <w:tr2bl w:val="nil"/>
            </w:tcBorders>
            <w:noWrap w:val="0"/>
            <w:vAlign w:val="top"/>
          </w:tcPr>
          <w:p w14:paraId="0B0152A6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566" w:type="dxa"/>
            <w:tcBorders>
              <w:tl2br w:val="nil"/>
              <w:tr2bl w:val="nil"/>
            </w:tcBorders>
            <w:noWrap w:val="0"/>
            <w:vAlign w:val="top"/>
          </w:tcPr>
          <w:p w14:paraId="233B8483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90" w:type="dxa"/>
            <w:tcBorders>
              <w:tl2br w:val="nil"/>
              <w:tr2bl w:val="nil"/>
            </w:tcBorders>
            <w:noWrap w:val="0"/>
            <w:vAlign w:val="top"/>
          </w:tcPr>
          <w:p w14:paraId="3C52C92D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33" w:type="dxa"/>
            <w:tcBorders>
              <w:tl2br w:val="nil"/>
              <w:tr2bl w:val="nil"/>
            </w:tcBorders>
            <w:noWrap w:val="0"/>
            <w:vAlign w:val="top"/>
          </w:tcPr>
          <w:p w14:paraId="27CF8C05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</w:tbl>
    <w:p w14:paraId="2ADCC48A">
      <w:pPr>
        <w:rPr>
          <w:rFonts w:hint="eastAsia" w:ascii="宋体" w:hAnsi="宋体" w:eastAsia="宋体" w:cs="宋体"/>
          <w:sz w:val="21"/>
          <w:szCs w:val="21"/>
        </w:rPr>
      </w:pPr>
    </w:p>
    <w:p w14:paraId="05F30829">
      <w:pPr>
        <w:rPr>
          <w:rFonts w:hint="eastAsia" w:ascii="宋体" w:hAnsi="宋体" w:eastAsia="宋体" w:cs="宋体"/>
          <w:sz w:val="21"/>
          <w:szCs w:val="21"/>
        </w:rPr>
      </w:pPr>
    </w:p>
    <w:p w14:paraId="0D992CC8">
      <w:pPr>
        <w:spacing w:line="560" w:lineRule="exact"/>
        <w:ind w:firstLine="480" w:firstLineChars="200"/>
        <w:jc w:val="both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：（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全称并加盖公章）</w:t>
      </w:r>
    </w:p>
    <w:p w14:paraId="11ED9A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日  期：    年  月  日</w:t>
      </w:r>
    </w:p>
    <w:p w14:paraId="7FDF3601">
      <w:pPr>
        <w:rPr>
          <w:rFonts w:hint="eastAsia" w:ascii="宋体" w:hAnsi="宋体" w:eastAsia="宋体" w:cs="宋体"/>
          <w:sz w:val="21"/>
          <w:szCs w:val="21"/>
        </w:rPr>
      </w:pPr>
    </w:p>
    <w:p w14:paraId="44C0F7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360" w:lineRule="auto"/>
        <w:ind w:firstLine="210" w:firstLineChars="100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说明：</w:t>
      </w:r>
    </w:p>
    <w:p w14:paraId="4954C0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360" w:lineRule="auto"/>
        <w:ind w:firstLine="210" w:firstLineChars="100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1、本表只填写磋商响应文件中与磋商文件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技术要求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有偏离（包括正偏离和负偏离）的内容，磋商响应文件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中技术响应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与磋商文件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中技术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要求完全一致的，不用在此表中逐一列出，此表空白视为完全响应，无偏离。</w:t>
      </w:r>
    </w:p>
    <w:p w14:paraId="4B82F4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360" w:lineRule="auto"/>
        <w:ind w:firstLine="210" w:firstLineChars="100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2、技术指标有偏离部分，须在“偏离”列填写正偏离或负偏离。在“说明”列填写正偏离或负偏离原因，并标注其在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响应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文件的具体页码。</w:t>
      </w:r>
    </w:p>
    <w:p w14:paraId="256D72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360" w:lineRule="auto"/>
        <w:ind w:firstLine="210" w:firstLineChars="100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3、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供应商必须据实填写，不得虚假填写，否则将取消其磋商或成交资格</w:t>
      </w:r>
      <w:r>
        <w:rPr>
          <w:rFonts w:hint="eastAsia" w:ascii="宋体" w:hAnsi="宋体" w:eastAsia="宋体" w:cs="宋体"/>
          <w:highlight w:val="none"/>
        </w:rPr>
        <w:t>，并按有关规定处罚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。</w:t>
      </w:r>
    </w:p>
    <w:p w14:paraId="76246F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360" w:lineRule="auto"/>
        <w:ind w:firstLine="210" w:firstLineChars="100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4、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技术要求详见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磋商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文件“第三章 磋商项目技术、服务、商务及其他要求”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3.2 服务内容及服务要求。</w:t>
      </w:r>
    </w:p>
    <w:p w14:paraId="680A03BD">
      <w:pPr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br w:type="page"/>
      </w:r>
    </w:p>
    <w:p w14:paraId="76F9335C">
      <w:pPr>
        <w:spacing w:after="120"/>
        <w:jc w:val="center"/>
        <w:rPr>
          <w:rFonts w:hint="eastAsia" w:ascii="宋体" w:hAnsi="宋体" w:eastAsia="宋体" w:cs="宋体"/>
          <w:szCs w:val="24"/>
        </w:rPr>
      </w:pPr>
      <w:r>
        <w:rPr>
          <w:rFonts w:hint="eastAsia" w:ascii="宋体" w:hAnsi="宋体" w:eastAsia="宋体" w:cs="宋体"/>
          <w:b/>
          <w:sz w:val="28"/>
          <w:szCs w:val="28"/>
          <w:lang w:val="en-US" w:eastAsia="zh-CN"/>
        </w:rPr>
        <w:t>商务要求偏离表</w:t>
      </w:r>
      <w:r>
        <w:rPr>
          <w:rFonts w:hint="eastAsia" w:ascii="宋体" w:hAnsi="宋体" w:eastAsia="宋体" w:cs="宋体"/>
          <w:szCs w:val="24"/>
        </w:rPr>
        <w:t xml:space="preserve"> </w:t>
      </w:r>
    </w:p>
    <w:p w14:paraId="04DCB5B8">
      <w:pPr>
        <w:spacing w:after="120"/>
        <w:rPr>
          <w:rFonts w:hint="eastAsia" w:ascii="宋体" w:hAnsi="宋体" w:eastAsia="宋体" w:cs="宋体"/>
          <w:szCs w:val="24"/>
          <w:lang w:eastAsia="zh-CN"/>
        </w:rPr>
      </w:pPr>
      <w:r>
        <w:rPr>
          <w:rFonts w:hint="eastAsia" w:ascii="宋体" w:hAnsi="宋体" w:eastAsia="宋体" w:cs="宋体"/>
          <w:szCs w:val="24"/>
        </w:rPr>
        <w:t>项目名称：</w:t>
      </w:r>
      <w:r>
        <w:rPr>
          <w:rFonts w:hint="eastAsia" w:ascii="宋体" w:hAnsi="宋体" w:cs="宋体"/>
          <w:szCs w:val="24"/>
          <w:lang w:eastAsia="zh-CN"/>
        </w:rPr>
        <w:t>灞桥区电子政务外网租赁项目</w:t>
      </w:r>
    </w:p>
    <w:p w14:paraId="3F1660D7">
      <w:pPr>
        <w:spacing w:after="120"/>
        <w:rPr>
          <w:rFonts w:hint="eastAsia" w:ascii="宋体" w:hAnsi="宋体" w:eastAsia="宋体" w:cs="宋体"/>
          <w:szCs w:val="24"/>
        </w:rPr>
      </w:pPr>
      <w:r>
        <w:rPr>
          <w:rFonts w:hint="eastAsia" w:ascii="宋体" w:hAnsi="宋体" w:eastAsia="宋体" w:cs="宋体"/>
          <w:szCs w:val="24"/>
        </w:rPr>
        <w:t>项目编号：</w:t>
      </w:r>
      <w:r>
        <w:rPr>
          <w:rFonts w:hint="eastAsia" w:ascii="宋体" w:hAnsi="宋体" w:cs="宋体"/>
          <w:szCs w:val="24"/>
          <w:lang w:eastAsia="zh-CN"/>
        </w:rPr>
        <w:t>LC-ZC-2026-009</w:t>
      </w:r>
      <w:r>
        <w:rPr>
          <w:rFonts w:hint="eastAsia" w:ascii="宋体" w:hAnsi="宋体" w:eastAsia="宋体" w:cs="宋体"/>
          <w:szCs w:val="24"/>
        </w:rPr>
        <w:t xml:space="preserve">     </w:t>
      </w:r>
    </w:p>
    <w:tbl>
      <w:tblPr>
        <w:tblStyle w:val="7"/>
        <w:tblW w:w="818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2"/>
        <w:gridCol w:w="2551"/>
        <w:gridCol w:w="2551"/>
        <w:gridCol w:w="1260"/>
        <w:gridCol w:w="944"/>
      </w:tblGrid>
      <w:tr w14:paraId="593BBB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454C32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right="0"/>
              <w:jc w:val="center"/>
              <w:rPr>
                <w:rFonts w:hint="eastAsia" w:ascii="宋体" w:hAnsi="宋体" w:eastAsia="宋体" w:cs="宋体"/>
                <w:lang w:val="en-US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序号</w:t>
            </w: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A4B908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right="0"/>
              <w:jc w:val="center"/>
              <w:rPr>
                <w:rFonts w:hint="eastAsia" w:ascii="宋体" w:hAnsi="宋体" w:eastAsia="宋体" w:cs="宋体"/>
                <w:lang w:val="en-US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磋商文件商务要求</w:t>
            </w: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E825EF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right="0"/>
              <w:jc w:val="center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磋商响应文件</w:t>
            </w:r>
          </w:p>
          <w:p w14:paraId="28716D1D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right="0"/>
              <w:jc w:val="center"/>
              <w:rPr>
                <w:rFonts w:hint="eastAsia" w:ascii="宋体" w:hAnsi="宋体" w:eastAsia="宋体" w:cs="宋体"/>
                <w:lang w:val="en-US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商务响应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2DEEDB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right="0"/>
              <w:jc w:val="center"/>
              <w:rPr>
                <w:rFonts w:hint="eastAsia" w:ascii="宋体" w:hAnsi="宋体" w:eastAsia="宋体" w:cs="宋体"/>
                <w:lang w:val="en-US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偏离</w:t>
            </w: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85F42E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right="0"/>
              <w:jc w:val="center"/>
              <w:rPr>
                <w:rFonts w:hint="eastAsia" w:ascii="宋体" w:hAnsi="宋体" w:eastAsia="宋体" w:cs="宋体"/>
                <w:lang w:val="en-US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说明</w:t>
            </w:r>
          </w:p>
        </w:tc>
      </w:tr>
      <w:tr w14:paraId="671FE5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0C0D39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lang w:val="en-US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7D976F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lang w:val="en-US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08049E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lang w:val="en-US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A16772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lang w:val="en-US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A13244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lang w:val="en-US"/>
              </w:rPr>
            </w:pPr>
          </w:p>
        </w:tc>
      </w:tr>
      <w:tr w14:paraId="0A9F88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9F3899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lang w:val="en-US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4F44A4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lang w:val="en-US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DD2D2F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lang w:val="en-US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45682D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lang w:val="en-US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C4A58A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lang w:val="en-US"/>
              </w:rPr>
            </w:pPr>
          </w:p>
        </w:tc>
      </w:tr>
      <w:tr w14:paraId="1803B6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E5CE94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lang w:val="en-US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9CE576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lang w:val="en-US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628D54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lang w:val="en-US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BA766A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lang w:val="en-US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A8848C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lang w:val="en-US"/>
              </w:rPr>
            </w:pPr>
          </w:p>
        </w:tc>
      </w:tr>
      <w:tr w14:paraId="15514B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CAE2BA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lang w:val="en-US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76691A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lang w:val="en-US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F35BF2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lang w:val="en-US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4C8A16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lang w:val="en-US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B47B0B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lang w:val="en-US"/>
              </w:rPr>
            </w:pPr>
          </w:p>
        </w:tc>
      </w:tr>
      <w:tr w14:paraId="13CA12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2F8486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lang w:val="en-US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A256D9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lang w:val="en-US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43B4DD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lang w:val="en-US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287564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lang w:val="en-US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A8064A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lang w:val="en-US"/>
              </w:rPr>
            </w:pPr>
          </w:p>
        </w:tc>
      </w:tr>
      <w:tr w14:paraId="1FD225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A64BFA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lang w:val="en-US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71140C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lang w:val="en-US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60FCDB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lang w:val="en-US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E13B35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lang w:val="en-US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F29F3E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lang w:val="en-US"/>
              </w:rPr>
            </w:pPr>
          </w:p>
        </w:tc>
      </w:tr>
      <w:tr w14:paraId="281FF6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820282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lang w:val="en-US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7D0DD3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lang w:val="en-US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D3A2BF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lang w:val="en-US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E0D348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lang w:val="en-US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B04CCC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lang w:val="en-US"/>
              </w:rPr>
            </w:pPr>
          </w:p>
        </w:tc>
      </w:tr>
    </w:tbl>
    <w:p w14:paraId="7785950A">
      <w:pPr>
        <w:spacing w:line="560" w:lineRule="exact"/>
        <w:ind w:firstLine="480" w:firstLineChars="200"/>
        <w:jc w:val="both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：（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全称并加盖公章）</w:t>
      </w:r>
    </w:p>
    <w:p w14:paraId="5CEE16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日  期：    年  月  日</w:t>
      </w:r>
    </w:p>
    <w:p w14:paraId="21925C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360" w:lineRule="auto"/>
        <w:ind w:firstLine="210" w:firstLineChars="100"/>
        <w:rPr>
          <w:rFonts w:hint="eastAsia" w:ascii="宋体" w:hAnsi="宋体" w:eastAsia="宋体" w:cs="宋体"/>
          <w:sz w:val="21"/>
          <w:szCs w:val="21"/>
          <w:lang w:val="en-US" w:eastAsia="zh-CN"/>
        </w:rPr>
      </w:pPr>
    </w:p>
    <w:p w14:paraId="3B2E50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360" w:lineRule="auto"/>
        <w:ind w:firstLine="210" w:firstLineChars="100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说明：</w:t>
      </w:r>
    </w:p>
    <w:p w14:paraId="57DDB5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360" w:lineRule="auto"/>
        <w:ind w:firstLine="210" w:firstLineChars="100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、本表只填写磋商响应文件中与磋商文件商务要求有偏离的内容，商务要求不允许有负偏离。磋商响应文件中商务响应与磋商文件中商务要求完全一致的，不用在此表中逐一列出，此表空白视为完全响应，无偏离。</w:t>
      </w:r>
    </w:p>
    <w:p w14:paraId="5F3591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360" w:lineRule="auto"/>
        <w:ind w:firstLine="210" w:firstLineChars="100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2、供应商必须据实填写，不得虚假响应，否则将取消其磋商或成交资格，并按有关规定处罚。</w:t>
      </w:r>
    </w:p>
    <w:p w14:paraId="08C3A3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360" w:lineRule="auto"/>
        <w:ind w:firstLine="210" w:firstLineChars="100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3、商务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要求详见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磋商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文件“第三章 磋商项目技术、服务、商务及其他要求”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3.3 商务要求及“第八章 拟签订采购合同文本”。</w:t>
      </w:r>
    </w:p>
    <w:p w14:paraId="08C59DE6">
      <w:pPr>
        <w:pStyle w:val="2"/>
        <w:rPr>
          <w:rFonts w:hint="eastAsia" w:ascii="宋体" w:hAnsi="宋体" w:eastAsia="宋体" w:cs="宋体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8"/>
    <w:multiLevelType w:val="singleLevel"/>
    <w:tmpl w:val="00000008"/>
    <w:lvl w:ilvl="0" w:tentative="0">
      <w:start w:val="1"/>
      <w:numFmt w:val="upperLetter"/>
      <w:pStyle w:val="4"/>
      <w:lvlText w:val="%1、"/>
      <w:lvlJc w:val="left"/>
      <w:pPr>
        <w:tabs>
          <w:tab w:val="left" w:pos="960"/>
        </w:tabs>
        <w:ind w:left="3264" w:hanging="324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c3ODQ1MzE1OGZjNzcwNzc3YmIwNjMxNjMwODEyNjcifQ=="/>
  </w:docVars>
  <w:rsids>
    <w:rsidRoot w:val="00000000"/>
    <w:rsid w:val="067F1859"/>
    <w:rsid w:val="107A6169"/>
    <w:rsid w:val="126D5E2C"/>
    <w:rsid w:val="12B04A66"/>
    <w:rsid w:val="14EF3F6B"/>
    <w:rsid w:val="17596B8C"/>
    <w:rsid w:val="2D057CA7"/>
    <w:rsid w:val="3AC32CD9"/>
    <w:rsid w:val="4B6B3C71"/>
    <w:rsid w:val="500805BC"/>
    <w:rsid w:val="51B77F92"/>
    <w:rsid w:val="62BF138D"/>
    <w:rsid w:val="64762C85"/>
    <w:rsid w:val="65B152E8"/>
    <w:rsid w:val="66FD6EBD"/>
    <w:rsid w:val="6ED95B99"/>
    <w:rsid w:val="6F55769C"/>
    <w:rsid w:val="725D30F2"/>
    <w:rsid w:val="72A42CAB"/>
    <w:rsid w:val="7C672B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ing 2"/>
    <w:basedOn w:val="1"/>
    <w:next w:val="1"/>
    <w:qFormat/>
    <w:uiPriority w:val="0"/>
    <w:pPr>
      <w:keepNext/>
      <w:numPr>
        <w:ilvl w:val="0"/>
        <w:numId w:val="1"/>
      </w:numPr>
      <w:jc w:val="center"/>
      <w:outlineLvl w:val="1"/>
    </w:pPr>
    <w:rPr>
      <w:rFonts w:ascii="黑体" w:eastAsia="黑体"/>
      <w:color w:val="000000"/>
      <w:sz w:val="28"/>
      <w:szCs w:val="20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3"/>
    <w:qFormat/>
    <w:uiPriority w:val="0"/>
    <w:pPr>
      <w:ind w:firstLine="420"/>
    </w:pPr>
    <w:rPr>
      <w:szCs w:val="20"/>
    </w:rPr>
  </w:style>
  <w:style w:type="paragraph" w:styleId="3">
    <w:name w:val="toc 4"/>
    <w:basedOn w:val="1"/>
    <w:next w:val="1"/>
    <w:unhideWhenUsed/>
    <w:qFormat/>
    <w:uiPriority w:val="39"/>
    <w:pPr>
      <w:ind w:left="1260" w:leftChars="600"/>
    </w:pPr>
  </w:style>
  <w:style w:type="paragraph" w:styleId="5">
    <w:name w:val="Body Text"/>
    <w:basedOn w:val="1"/>
    <w:next w:val="1"/>
    <w:qFormat/>
    <w:uiPriority w:val="99"/>
    <w:pPr>
      <w:ind w:right="-84" w:rightChars="-40"/>
      <w:jc w:val="left"/>
    </w:pPr>
    <w:rPr>
      <w:rFonts w:eastAsia="仿宋"/>
    </w:rPr>
  </w:style>
  <w:style w:type="paragraph" w:styleId="6">
    <w:name w:val="Normal (Web)"/>
    <w:basedOn w:val="1"/>
    <w:qFormat/>
    <w:uiPriority w:val="99"/>
    <w:pPr>
      <w:widowControl/>
      <w:spacing w:before="100" w:beforeLines="0" w:beforeAutospacing="1" w:after="100" w:afterLines="0" w:afterAutospacing="1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601</Words>
  <Characters>631</Characters>
  <Lines>0</Lines>
  <Paragraphs>0</Paragraphs>
  <TotalTime>0</TotalTime>
  <ScaleCrop>false</ScaleCrop>
  <LinksUpToDate>false</LinksUpToDate>
  <CharactersWithSpaces>693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2024-02-06T09:45:00Z</dcterms:created>
  <dc:creator>Administrator</dc:creator>
  <cp:lastModifiedBy>Jorva</cp:lastModifiedBy>
  <dcterms:modified xsi:type="dcterms:W3CDTF">2026-05-12T07:58:22Z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6BB5DCC0E3D74EA9BB8457A4917A9BE5_12</vt:lpwstr>
  </property>
  <property fmtid="{D5CDD505-2E9C-101B-9397-08002B2CF9AE}" pid="4" name="KSOTemplateDocerSaveRecord">
    <vt:lpwstr>eyJoZGlkIjoiYzc3ODQ1MzE1OGZjNzcwNzc3YmIwNjMxNjMwODEyNjciLCJ1c2VySWQiOiI2NDA5NzM0MDYifQ==</vt:lpwstr>
  </property>
</Properties>
</file>