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19F2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32"/>
          <w:szCs w:val="32"/>
          <w:highlight w:val="none"/>
          <w:lang w:val="en-US" w:eastAsia="zh-CN"/>
        </w:rPr>
      </w:pPr>
      <w:bookmarkStart w:id="0" w:name="_Toc9328"/>
      <w:bookmarkStart w:id="1" w:name="_Toc533704933"/>
      <w:bookmarkStart w:id="2" w:name="_Toc351203480"/>
      <w:bookmarkStart w:id="3" w:name="_Toc475451547"/>
      <w:r>
        <w:rPr>
          <w:rFonts w:hint="eastAsia" w:ascii="宋体" w:hAnsi="宋体" w:cs="宋体"/>
          <w:b/>
          <w:bCs/>
          <w:color w:val="auto"/>
          <w:spacing w:val="-4"/>
          <w:sz w:val="32"/>
          <w:szCs w:val="32"/>
          <w:highlight w:val="none"/>
          <w:lang w:val="en-US" w:eastAsia="zh-CN"/>
        </w:rPr>
        <w:t>合同草案主要条款</w:t>
      </w:r>
    </w:p>
    <w:p w14:paraId="726ED53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val="0"/>
          <w:bCs w:val="0"/>
          <w:color w:val="auto"/>
          <w:spacing w:val="-4"/>
          <w:sz w:val="28"/>
          <w:szCs w:val="28"/>
          <w:highlight w:val="none"/>
          <w:lang w:val="zh-CN" w:eastAsia="zh-CN"/>
        </w:rPr>
      </w:pPr>
      <w:r>
        <w:rPr>
          <w:rFonts w:hint="eastAsia" w:ascii="宋体" w:hAnsi="宋体" w:cs="宋体"/>
          <w:b w:val="0"/>
          <w:bCs w:val="0"/>
          <w:color w:val="auto"/>
          <w:spacing w:val="-4"/>
          <w:sz w:val="28"/>
          <w:szCs w:val="28"/>
          <w:highlight w:val="none"/>
          <w:lang w:val="en-US" w:eastAsia="zh-CN"/>
        </w:rPr>
        <w:t>（本合同草案仅供参考，具体以采购人要求为准）</w:t>
      </w:r>
    </w:p>
    <w:p w14:paraId="64BCAC08">
      <w:pPr>
        <w:keepNext w:val="0"/>
        <w:keepLines w:val="0"/>
        <w:pageBreakBefore w:val="0"/>
        <w:widowControl w:val="0"/>
        <w:kinsoku/>
        <w:wordWrap/>
        <w:overflowPunct/>
        <w:topLinePunct w:val="0"/>
        <w:autoSpaceDE/>
        <w:autoSpaceDN/>
        <w:bidi w:val="0"/>
        <w:snapToGrid/>
        <w:spacing w:line="360" w:lineRule="auto"/>
        <w:textAlignment w:val="auto"/>
        <w:rPr>
          <w:rFonts w:hint="default"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一、服务内容及要求</w:t>
      </w:r>
    </w:p>
    <w:bookmarkEnd w:id="0"/>
    <w:bookmarkEnd w:id="1"/>
    <w:bookmarkEnd w:id="2"/>
    <w:p w14:paraId="734155F3">
      <w:pPr>
        <w:keepNext w:val="0"/>
        <w:keepLines w:val="0"/>
        <w:pageBreakBefore w:val="0"/>
        <w:widowControl w:val="0"/>
        <w:kinsoku/>
        <w:wordWrap/>
        <w:overflowPunct/>
        <w:topLinePunct w:val="0"/>
        <w:autoSpaceDE/>
        <w:autoSpaceDN/>
        <w:bidi w:val="0"/>
        <w:adjustRightInd w:val="0"/>
        <w:snapToGrid/>
        <w:spacing w:line="360" w:lineRule="auto"/>
        <w:ind w:firstLine="466" w:firstLineChars="200"/>
        <w:textAlignment w:val="auto"/>
        <w:rPr>
          <w:rFonts w:hint="eastAsia" w:ascii="宋体" w:hAnsi="宋体" w:cs="宋体"/>
          <w:b/>
          <w:bCs/>
          <w:color w:val="auto"/>
          <w:spacing w:val="-4"/>
          <w:sz w:val="24"/>
          <w:szCs w:val="24"/>
          <w:highlight w:val="none"/>
          <w:lang w:val="zh-CN"/>
        </w:rPr>
      </w:pPr>
      <w:r>
        <w:rPr>
          <w:rFonts w:hint="eastAsia" w:ascii="宋体" w:hAnsi="宋体" w:cs="宋体"/>
          <w:b/>
          <w:bCs/>
          <w:color w:val="auto"/>
          <w:spacing w:val="-4"/>
          <w:sz w:val="24"/>
          <w:szCs w:val="24"/>
          <w:highlight w:val="none"/>
          <w:lang w:val="zh-CN" w:eastAsia="zh-CN"/>
        </w:rPr>
        <w:t>（</w:t>
      </w:r>
      <w:r>
        <w:rPr>
          <w:rFonts w:hint="eastAsia" w:ascii="宋体" w:hAnsi="宋体" w:cs="宋体"/>
          <w:b/>
          <w:bCs/>
          <w:color w:val="auto"/>
          <w:spacing w:val="-4"/>
          <w:sz w:val="24"/>
          <w:szCs w:val="24"/>
          <w:highlight w:val="none"/>
          <w:lang w:val="en-US" w:eastAsia="zh-CN"/>
        </w:rPr>
        <w:t>一</w:t>
      </w:r>
      <w:r>
        <w:rPr>
          <w:rFonts w:hint="eastAsia" w:ascii="宋体" w:hAnsi="宋体" w:cs="宋体"/>
          <w:b/>
          <w:bCs/>
          <w:color w:val="auto"/>
          <w:spacing w:val="-4"/>
          <w:sz w:val="24"/>
          <w:szCs w:val="24"/>
          <w:highlight w:val="none"/>
          <w:lang w:val="zh-CN" w:eastAsia="zh-CN"/>
        </w:rPr>
        <w:t>）</w:t>
      </w:r>
      <w:r>
        <w:rPr>
          <w:rFonts w:hint="eastAsia" w:ascii="宋体" w:hAnsi="宋体" w:cs="宋体"/>
          <w:b/>
          <w:bCs/>
          <w:color w:val="auto"/>
          <w:spacing w:val="-4"/>
          <w:sz w:val="24"/>
          <w:szCs w:val="24"/>
          <w:highlight w:val="none"/>
          <w:lang w:val="en-US" w:eastAsia="zh-CN"/>
        </w:rPr>
        <w:t>专线</w:t>
      </w:r>
      <w:r>
        <w:rPr>
          <w:rFonts w:hint="eastAsia" w:ascii="宋体" w:hAnsi="宋体" w:cs="宋体"/>
          <w:b/>
          <w:bCs/>
          <w:color w:val="auto"/>
          <w:spacing w:val="-4"/>
          <w:sz w:val="24"/>
          <w:szCs w:val="24"/>
          <w:highlight w:val="none"/>
          <w:lang w:val="zh-CN"/>
        </w:rPr>
        <w:t>版</w:t>
      </w:r>
    </w:p>
    <w:p w14:paraId="3B0D756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eastAsia="zh-CN"/>
        </w:rPr>
      </w:pPr>
      <w:r>
        <w:rPr>
          <w:rFonts w:hint="eastAsia" w:ascii="宋体" w:hAnsi="宋体" w:cs="宋体"/>
          <w:color w:val="auto"/>
          <w:spacing w:val="-4"/>
          <w:sz w:val="24"/>
          <w:szCs w:val="24"/>
          <w:highlight w:val="none"/>
          <w:lang w:val="zh-CN"/>
        </w:rPr>
        <w:t>1、提供1条为带宽</w:t>
      </w:r>
      <w:r>
        <w:rPr>
          <w:rFonts w:hint="eastAsia" w:ascii="宋体" w:hAnsi="宋体" w:cs="宋体"/>
          <w:color w:val="auto"/>
          <w:spacing w:val="-4"/>
          <w:sz w:val="24"/>
          <w:szCs w:val="24"/>
          <w:highlight w:val="none"/>
          <w:lang w:val="zh-CN" w:eastAsia="zh-CN"/>
        </w:rPr>
        <w:t>不低于</w:t>
      </w:r>
      <w:r>
        <w:rPr>
          <w:rFonts w:hint="eastAsia" w:ascii="宋体" w:hAnsi="宋体" w:cs="宋体"/>
          <w:color w:val="auto"/>
          <w:spacing w:val="-4"/>
          <w:sz w:val="24"/>
          <w:szCs w:val="24"/>
          <w:highlight w:val="none"/>
          <w:lang w:val="zh-CN"/>
        </w:rPr>
        <w:t>1000M专用数据传输光纤，（含</w:t>
      </w:r>
      <w:r>
        <w:rPr>
          <w:rFonts w:hint="eastAsia" w:ascii="宋体" w:hAnsi="宋体" w:cs="宋体"/>
          <w:color w:val="auto"/>
          <w:spacing w:val="-4"/>
          <w:sz w:val="24"/>
          <w:szCs w:val="24"/>
          <w:highlight w:val="none"/>
          <w:lang w:val="en-US" w:eastAsia="zh-CN"/>
        </w:rPr>
        <w:t>4</w:t>
      </w:r>
      <w:r>
        <w:rPr>
          <w:rFonts w:hint="eastAsia" w:ascii="宋体" w:hAnsi="宋体" w:cs="宋体"/>
          <w:color w:val="auto"/>
          <w:spacing w:val="-4"/>
          <w:sz w:val="24"/>
          <w:szCs w:val="24"/>
          <w:highlight w:val="none"/>
          <w:lang w:val="zh-CN"/>
        </w:rPr>
        <w:t>组公网IP），用于灞桥区政府机房互联网接入</w:t>
      </w:r>
      <w:r>
        <w:rPr>
          <w:rFonts w:hint="eastAsia" w:ascii="宋体" w:hAnsi="宋体" w:cs="宋体"/>
          <w:color w:val="auto"/>
          <w:spacing w:val="-4"/>
          <w:sz w:val="24"/>
          <w:szCs w:val="24"/>
          <w:highlight w:val="none"/>
          <w:lang w:val="zh-CN" w:eastAsia="zh-CN"/>
        </w:rPr>
        <w:t>。</w:t>
      </w:r>
    </w:p>
    <w:p w14:paraId="3FFD2454">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2、提供1条为带宽</w:t>
      </w:r>
      <w:r>
        <w:rPr>
          <w:rFonts w:hint="eastAsia" w:ascii="宋体" w:hAnsi="宋体" w:cs="宋体"/>
          <w:color w:val="auto"/>
          <w:spacing w:val="-4"/>
          <w:sz w:val="24"/>
          <w:szCs w:val="24"/>
          <w:highlight w:val="none"/>
          <w:lang w:val="zh-CN" w:eastAsia="zh-CN"/>
        </w:rPr>
        <w:t>不低于</w:t>
      </w:r>
      <w:r>
        <w:rPr>
          <w:rFonts w:hint="eastAsia" w:ascii="宋体" w:hAnsi="宋体" w:cs="宋体"/>
          <w:color w:val="auto"/>
          <w:spacing w:val="-4"/>
          <w:sz w:val="24"/>
          <w:szCs w:val="24"/>
          <w:highlight w:val="none"/>
          <w:lang w:val="zh-CN"/>
        </w:rPr>
        <w:t>300M专用数据传输光纤，（含</w:t>
      </w: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lang w:val="zh-CN"/>
        </w:rPr>
        <w:t>组公网IP），用于灞桥区政府无线wifi网络接入。</w:t>
      </w:r>
    </w:p>
    <w:p w14:paraId="50869BE8">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zh-CN"/>
        </w:rPr>
        <w:t>3、提供灞桥区政府到院外57家单位各一条电子政务外网线路，用于电子政务外网数据传输，同时预留5条线路作为备用，备用线路位置待定，故要求乙方具有西安市灞桥区行政区划全境布设线路的能力。备用线路若开通按月计费，若不开通不产生费用。线路类型包括裸光纤、数字电路（线路带宽不低于20M）等方式。</w:t>
      </w:r>
    </w:p>
    <w:p w14:paraId="134EB0A0">
      <w:pPr>
        <w:keepNext w:val="0"/>
        <w:keepLines w:val="0"/>
        <w:pageBreakBefore w:val="0"/>
        <w:widowControl w:val="0"/>
        <w:kinsoku/>
        <w:wordWrap/>
        <w:overflowPunct/>
        <w:topLinePunct w:val="0"/>
        <w:autoSpaceDE/>
        <w:autoSpaceDN/>
        <w:bidi w:val="0"/>
        <w:adjustRightInd w:val="0"/>
        <w:snapToGrid/>
        <w:spacing w:line="360" w:lineRule="auto"/>
        <w:ind w:firstLine="466" w:firstLineChars="200"/>
        <w:textAlignment w:val="auto"/>
        <w:rPr>
          <w:rFonts w:hint="eastAsia" w:ascii="宋体" w:hAnsi="宋体" w:cs="宋体"/>
          <w:b/>
          <w:bCs/>
          <w:color w:val="auto"/>
          <w:spacing w:val="-4"/>
          <w:sz w:val="24"/>
          <w:szCs w:val="24"/>
          <w:highlight w:val="none"/>
          <w:lang w:val="zh-CN"/>
        </w:rPr>
      </w:pPr>
      <w:r>
        <w:rPr>
          <w:rFonts w:hint="eastAsia" w:ascii="宋体" w:hAnsi="宋体" w:cs="宋体"/>
          <w:b/>
          <w:bCs/>
          <w:color w:val="auto"/>
          <w:spacing w:val="-4"/>
          <w:sz w:val="24"/>
          <w:szCs w:val="24"/>
          <w:highlight w:val="none"/>
          <w:lang w:val="zh-CN" w:eastAsia="zh-CN"/>
        </w:rPr>
        <w:t>（</w:t>
      </w:r>
      <w:r>
        <w:rPr>
          <w:rFonts w:hint="eastAsia" w:ascii="宋体" w:hAnsi="宋体" w:cs="宋体"/>
          <w:b/>
          <w:bCs/>
          <w:color w:val="auto"/>
          <w:spacing w:val="-4"/>
          <w:sz w:val="24"/>
          <w:szCs w:val="24"/>
          <w:highlight w:val="none"/>
          <w:lang w:val="en-US" w:eastAsia="zh-CN"/>
        </w:rPr>
        <w:t>二</w:t>
      </w:r>
      <w:r>
        <w:rPr>
          <w:rFonts w:hint="eastAsia" w:ascii="宋体" w:hAnsi="宋体" w:cs="宋体"/>
          <w:b/>
          <w:bCs/>
          <w:color w:val="auto"/>
          <w:spacing w:val="-4"/>
          <w:sz w:val="24"/>
          <w:szCs w:val="24"/>
          <w:highlight w:val="none"/>
          <w:lang w:val="zh-CN" w:eastAsia="zh-CN"/>
        </w:rPr>
        <w:t>）</w:t>
      </w:r>
      <w:r>
        <w:rPr>
          <w:rFonts w:hint="eastAsia" w:ascii="宋体" w:hAnsi="宋体" w:cs="宋体"/>
          <w:b/>
          <w:bCs/>
          <w:color w:val="auto"/>
          <w:spacing w:val="-4"/>
          <w:sz w:val="24"/>
          <w:szCs w:val="24"/>
          <w:highlight w:val="none"/>
          <w:lang w:val="zh-CN"/>
        </w:rPr>
        <w:t>所有线路起点均为灞桥区政府中心机房，线路需求及走向如下表：</w:t>
      </w:r>
    </w:p>
    <w:tbl>
      <w:tblPr>
        <w:tblStyle w:val="17"/>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33"/>
        <w:gridCol w:w="2490"/>
        <w:gridCol w:w="5901"/>
      </w:tblGrid>
      <w:tr w14:paraId="3438B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6FBE4B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0" w:type="auto"/>
            <w:shd w:val="clear" w:color="auto" w:fill="auto"/>
            <w:noWrap/>
            <w:vAlign w:val="center"/>
          </w:tcPr>
          <w:p w14:paraId="2DB648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乙端名称</w:t>
            </w:r>
          </w:p>
        </w:tc>
        <w:tc>
          <w:tcPr>
            <w:tcW w:w="0" w:type="auto"/>
            <w:shd w:val="clear" w:color="auto" w:fill="auto"/>
            <w:noWrap/>
            <w:vAlign w:val="center"/>
          </w:tcPr>
          <w:p w14:paraId="617B84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乙端地址</w:t>
            </w:r>
          </w:p>
        </w:tc>
      </w:tr>
      <w:tr w14:paraId="51BD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52658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515" w:type="dxa"/>
            <w:shd w:val="clear" w:color="auto" w:fill="auto"/>
            <w:noWrap/>
            <w:vAlign w:val="center"/>
          </w:tcPr>
          <w:p w14:paraId="2997A849">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灞桥区疫情指挥部</w:t>
            </w:r>
          </w:p>
        </w:tc>
        <w:tc>
          <w:tcPr>
            <w:tcW w:w="5963" w:type="dxa"/>
            <w:shd w:val="clear" w:color="auto" w:fill="auto"/>
            <w:noWrap/>
            <w:vAlign w:val="center"/>
          </w:tcPr>
          <w:p w14:paraId="700EC4E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纺渭路柳韵巷泰尔发现新坐标潮漫酒店633房间</w:t>
            </w:r>
          </w:p>
        </w:tc>
      </w:tr>
      <w:tr w14:paraId="10F1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45B970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515" w:type="dxa"/>
            <w:shd w:val="clear" w:color="auto" w:fill="auto"/>
            <w:noWrap/>
            <w:vAlign w:val="center"/>
          </w:tcPr>
          <w:p w14:paraId="71113B8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灞桥区城建开发有限公司</w:t>
            </w:r>
          </w:p>
        </w:tc>
        <w:tc>
          <w:tcPr>
            <w:tcW w:w="5963" w:type="dxa"/>
            <w:shd w:val="clear" w:color="auto" w:fill="auto"/>
            <w:noWrap/>
            <w:vAlign w:val="center"/>
          </w:tcPr>
          <w:p w14:paraId="738C35B3">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纺一路9号4楼404</w:t>
            </w:r>
          </w:p>
        </w:tc>
      </w:tr>
      <w:tr w14:paraId="469C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17084E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515" w:type="dxa"/>
            <w:shd w:val="clear" w:color="auto" w:fill="auto"/>
            <w:noWrap/>
            <w:vAlign w:val="center"/>
          </w:tcPr>
          <w:p w14:paraId="2E71DF68">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灞桥区行政审批服务局</w:t>
            </w:r>
          </w:p>
        </w:tc>
        <w:tc>
          <w:tcPr>
            <w:tcW w:w="5963" w:type="dxa"/>
            <w:shd w:val="clear" w:color="auto" w:fill="auto"/>
            <w:noWrap/>
            <w:vAlign w:val="center"/>
          </w:tcPr>
          <w:p w14:paraId="0136983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纺北路路北公交站灞桥区市民中心市民中心1层</w:t>
            </w:r>
          </w:p>
        </w:tc>
      </w:tr>
      <w:tr w14:paraId="2D34F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A6C7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515" w:type="dxa"/>
            <w:shd w:val="clear" w:color="auto" w:fill="auto"/>
            <w:noWrap/>
            <w:vAlign w:val="center"/>
          </w:tcPr>
          <w:p w14:paraId="513EDD86">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灞桥区人社局</w:t>
            </w:r>
          </w:p>
        </w:tc>
        <w:tc>
          <w:tcPr>
            <w:tcW w:w="5963" w:type="dxa"/>
            <w:shd w:val="clear" w:color="auto" w:fill="auto"/>
            <w:noWrap/>
            <w:vAlign w:val="center"/>
          </w:tcPr>
          <w:p w14:paraId="3BE9E86B">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新医路87号西二楼主控机房</w:t>
            </w:r>
          </w:p>
        </w:tc>
      </w:tr>
      <w:tr w14:paraId="27FC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B10DF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515" w:type="dxa"/>
            <w:shd w:val="clear" w:color="auto" w:fill="auto"/>
            <w:noWrap/>
            <w:vAlign w:val="center"/>
          </w:tcPr>
          <w:p w14:paraId="2388EEB5">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灞桥区交通运输局</w:t>
            </w:r>
          </w:p>
        </w:tc>
        <w:tc>
          <w:tcPr>
            <w:tcW w:w="5963" w:type="dxa"/>
            <w:shd w:val="clear" w:color="auto" w:fill="auto"/>
            <w:noWrap/>
            <w:vAlign w:val="center"/>
          </w:tcPr>
          <w:p w14:paraId="3257EEF0">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纺一路135号办公楼5楼机房</w:t>
            </w:r>
          </w:p>
        </w:tc>
      </w:tr>
      <w:tr w14:paraId="0FD4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7A4D3F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515" w:type="dxa"/>
            <w:shd w:val="clear" w:color="auto" w:fill="auto"/>
            <w:noWrap/>
            <w:vAlign w:val="center"/>
          </w:tcPr>
          <w:p w14:paraId="4D45724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灞桥区卫生健康局</w:t>
            </w:r>
          </w:p>
        </w:tc>
        <w:tc>
          <w:tcPr>
            <w:tcW w:w="5963" w:type="dxa"/>
            <w:shd w:val="clear" w:color="auto" w:fill="auto"/>
            <w:noWrap/>
            <w:vAlign w:val="center"/>
          </w:tcPr>
          <w:p w14:paraId="5AB4A442">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纺一路151号卫计局四楼机房</w:t>
            </w:r>
          </w:p>
        </w:tc>
      </w:tr>
      <w:tr w14:paraId="4AEA8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63CB6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515" w:type="dxa"/>
            <w:shd w:val="clear" w:color="auto" w:fill="auto"/>
            <w:noWrap/>
            <w:vAlign w:val="center"/>
          </w:tcPr>
          <w:p w14:paraId="2694A16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灞桥区工业总公司</w:t>
            </w:r>
          </w:p>
        </w:tc>
        <w:tc>
          <w:tcPr>
            <w:tcW w:w="5963" w:type="dxa"/>
            <w:shd w:val="clear" w:color="auto" w:fill="auto"/>
            <w:noWrap/>
            <w:vAlign w:val="center"/>
          </w:tcPr>
          <w:p w14:paraId="58465374">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纺一路135号交通局院西楼303室</w:t>
            </w:r>
          </w:p>
        </w:tc>
      </w:tr>
      <w:tr w14:paraId="371D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208D1D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515" w:type="dxa"/>
            <w:shd w:val="clear" w:color="auto" w:fill="auto"/>
            <w:noWrap/>
            <w:vAlign w:val="center"/>
          </w:tcPr>
          <w:p w14:paraId="258DE8C1">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自然资源和规划局灞桥分局</w:t>
            </w:r>
          </w:p>
        </w:tc>
        <w:tc>
          <w:tcPr>
            <w:tcW w:w="5963" w:type="dxa"/>
            <w:shd w:val="clear" w:color="auto" w:fill="auto"/>
            <w:noWrap/>
            <w:vAlign w:val="center"/>
          </w:tcPr>
          <w:p w14:paraId="3A4B5D34">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纺一路108号四楼404室</w:t>
            </w:r>
          </w:p>
        </w:tc>
      </w:tr>
      <w:tr w14:paraId="6402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43DBC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515" w:type="dxa"/>
            <w:shd w:val="clear" w:color="auto" w:fill="auto"/>
            <w:noWrap/>
            <w:vAlign w:val="center"/>
          </w:tcPr>
          <w:p w14:paraId="1F578ABB">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生态环境灞桥分局</w:t>
            </w:r>
          </w:p>
        </w:tc>
        <w:tc>
          <w:tcPr>
            <w:tcW w:w="5963" w:type="dxa"/>
            <w:shd w:val="clear" w:color="auto" w:fill="auto"/>
            <w:noWrap/>
            <w:vAlign w:val="center"/>
          </w:tcPr>
          <w:p w14:paraId="72788E75">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新医路87号办公楼306室</w:t>
            </w:r>
          </w:p>
        </w:tc>
      </w:tr>
      <w:tr w14:paraId="7339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BB2B4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515" w:type="dxa"/>
            <w:shd w:val="clear" w:color="auto" w:fill="auto"/>
            <w:noWrap/>
            <w:vAlign w:val="center"/>
          </w:tcPr>
          <w:p w14:paraId="146E6875">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灞桥区红旗街道办事处</w:t>
            </w:r>
          </w:p>
        </w:tc>
        <w:tc>
          <w:tcPr>
            <w:tcW w:w="5963" w:type="dxa"/>
            <w:shd w:val="clear" w:color="auto" w:fill="auto"/>
            <w:noWrap/>
            <w:vAlign w:val="center"/>
          </w:tcPr>
          <w:p w14:paraId="2F45D811">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穆将王街1号办公楼1楼楼梯间</w:t>
            </w:r>
          </w:p>
        </w:tc>
      </w:tr>
      <w:tr w14:paraId="6D6A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CF7DF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515" w:type="dxa"/>
            <w:shd w:val="clear" w:color="auto" w:fill="auto"/>
            <w:noWrap/>
            <w:vAlign w:val="center"/>
          </w:tcPr>
          <w:p w14:paraId="6676A333">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西安市灞桥投资控股集团有限公司</w:t>
            </w:r>
          </w:p>
        </w:tc>
        <w:tc>
          <w:tcPr>
            <w:tcW w:w="5963" w:type="dxa"/>
            <w:shd w:val="clear" w:color="auto" w:fill="auto"/>
            <w:noWrap/>
            <w:vAlign w:val="center"/>
          </w:tcPr>
          <w:p w14:paraId="0CF6FAC2">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纺织城纺西街419号灞河国资3楼302号</w:t>
            </w:r>
          </w:p>
        </w:tc>
      </w:tr>
      <w:tr w14:paraId="4421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ECC5C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515" w:type="dxa"/>
            <w:shd w:val="clear" w:color="auto" w:fill="auto"/>
            <w:noWrap/>
            <w:vAlign w:val="center"/>
          </w:tcPr>
          <w:p w14:paraId="2617C0E4">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灞桥区教育局</w:t>
            </w:r>
          </w:p>
        </w:tc>
        <w:tc>
          <w:tcPr>
            <w:tcW w:w="5963" w:type="dxa"/>
            <w:shd w:val="clear" w:color="auto" w:fill="auto"/>
            <w:noWrap/>
            <w:vAlign w:val="center"/>
          </w:tcPr>
          <w:p w14:paraId="2F869863">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纺东街419号区委党校西楼南侧301号房</w:t>
            </w:r>
          </w:p>
        </w:tc>
      </w:tr>
      <w:tr w14:paraId="1B977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0E516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515" w:type="dxa"/>
            <w:shd w:val="clear" w:color="auto" w:fill="auto"/>
            <w:noWrap/>
            <w:vAlign w:val="center"/>
          </w:tcPr>
          <w:p w14:paraId="52C5329A">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原灞桥区中小企业促进局</w:t>
            </w:r>
          </w:p>
        </w:tc>
        <w:tc>
          <w:tcPr>
            <w:tcW w:w="5963" w:type="dxa"/>
            <w:shd w:val="clear" w:color="auto" w:fill="auto"/>
            <w:noWrap/>
            <w:vAlign w:val="center"/>
          </w:tcPr>
          <w:p w14:paraId="08970AE9">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纺正街556号西安银行三楼楼道北侧</w:t>
            </w:r>
          </w:p>
        </w:tc>
      </w:tr>
      <w:tr w14:paraId="55A1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70DC6C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515" w:type="dxa"/>
            <w:shd w:val="clear" w:color="auto" w:fill="auto"/>
            <w:noWrap/>
            <w:vAlign w:val="center"/>
          </w:tcPr>
          <w:p w14:paraId="2E8F876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党校南一楼</w:t>
            </w:r>
          </w:p>
        </w:tc>
        <w:tc>
          <w:tcPr>
            <w:tcW w:w="5963" w:type="dxa"/>
            <w:shd w:val="clear" w:color="auto" w:fill="auto"/>
            <w:noWrap/>
            <w:vAlign w:val="center"/>
          </w:tcPr>
          <w:p w14:paraId="393284DB">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纺东街419号党校南一楼</w:t>
            </w:r>
          </w:p>
        </w:tc>
      </w:tr>
      <w:tr w14:paraId="42A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743AF8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515" w:type="dxa"/>
            <w:shd w:val="clear" w:color="auto" w:fill="auto"/>
            <w:noWrap/>
            <w:vAlign w:val="center"/>
          </w:tcPr>
          <w:p w14:paraId="2C37114F">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公安灞桥分局</w:t>
            </w:r>
          </w:p>
        </w:tc>
        <w:tc>
          <w:tcPr>
            <w:tcW w:w="5963" w:type="dxa"/>
            <w:shd w:val="clear" w:color="auto" w:fill="auto"/>
            <w:noWrap/>
            <w:vAlign w:val="center"/>
          </w:tcPr>
          <w:p w14:paraId="20FF9DAF">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纺一路23号分局办公楼304房间</w:t>
            </w:r>
          </w:p>
        </w:tc>
      </w:tr>
      <w:tr w14:paraId="270C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497BA1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515" w:type="dxa"/>
            <w:shd w:val="clear" w:color="auto" w:fill="auto"/>
            <w:noWrap/>
            <w:vAlign w:val="center"/>
          </w:tcPr>
          <w:p w14:paraId="10885BE0">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灞桥区住建局</w:t>
            </w:r>
          </w:p>
        </w:tc>
        <w:tc>
          <w:tcPr>
            <w:tcW w:w="5963" w:type="dxa"/>
            <w:shd w:val="clear" w:color="auto" w:fill="auto"/>
            <w:noWrap/>
            <w:vAlign w:val="center"/>
          </w:tcPr>
          <w:p w14:paraId="10440954">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纺一路43号</w:t>
            </w:r>
          </w:p>
        </w:tc>
      </w:tr>
      <w:tr w14:paraId="145D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758BA2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515" w:type="dxa"/>
            <w:shd w:val="clear" w:color="auto" w:fill="auto"/>
            <w:noWrap/>
            <w:vAlign w:val="center"/>
          </w:tcPr>
          <w:p w14:paraId="4ED21EAD">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原灞桥区质量技术监督局</w:t>
            </w:r>
          </w:p>
        </w:tc>
        <w:tc>
          <w:tcPr>
            <w:tcW w:w="5963" w:type="dxa"/>
            <w:shd w:val="clear" w:color="auto" w:fill="auto"/>
            <w:noWrap/>
            <w:vAlign w:val="center"/>
          </w:tcPr>
          <w:p w14:paraId="33044744">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纺新街园丁小区西门1号楼东单元5层503</w:t>
            </w:r>
          </w:p>
        </w:tc>
      </w:tr>
      <w:tr w14:paraId="27E7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61A001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515" w:type="dxa"/>
            <w:shd w:val="clear" w:color="auto" w:fill="auto"/>
            <w:noWrap/>
            <w:vAlign w:val="center"/>
          </w:tcPr>
          <w:p w14:paraId="4CEEB71D">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灞桥区残疾人联合会</w:t>
            </w:r>
          </w:p>
        </w:tc>
        <w:tc>
          <w:tcPr>
            <w:tcW w:w="5963" w:type="dxa"/>
            <w:shd w:val="clear" w:color="auto" w:fill="auto"/>
            <w:noWrap/>
            <w:vAlign w:val="center"/>
          </w:tcPr>
          <w:p w14:paraId="3F8723AA">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纺北路园丁小区1号楼1号楼1层102</w:t>
            </w:r>
          </w:p>
        </w:tc>
      </w:tr>
      <w:tr w14:paraId="6202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69299A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515" w:type="dxa"/>
            <w:shd w:val="clear" w:color="auto" w:fill="auto"/>
            <w:noWrap/>
            <w:vAlign w:val="center"/>
          </w:tcPr>
          <w:p w14:paraId="2DC6EC6D">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灞桥区席王街道办事处</w:t>
            </w:r>
          </w:p>
        </w:tc>
        <w:tc>
          <w:tcPr>
            <w:tcW w:w="5963" w:type="dxa"/>
            <w:shd w:val="clear" w:color="auto" w:fill="auto"/>
            <w:noWrap/>
            <w:vAlign w:val="center"/>
          </w:tcPr>
          <w:p w14:paraId="3B98EE10">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席王路与柳虹路交叉口席王街道门房</w:t>
            </w:r>
          </w:p>
        </w:tc>
      </w:tr>
      <w:tr w14:paraId="0E60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793036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515" w:type="dxa"/>
            <w:shd w:val="clear" w:color="auto" w:fill="auto"/>
            <w:noWrap/>
            <w:vAlign w:val="center"/>
          </w:tcPr>
          <w:p w14:paraId="4AC34868">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灞桥区财政局党校会议室</w:t>
            </w:r>
          </w:p>
        </w:tc>
        <w:tc>
          <w:tcPr>
            <w:tcW w:w="5963" w:type="dxa"/>
            <w:shd w:val="clear" w:color="auto" w:fill="auto"/>
            <w:noWrap/>
            <w:vAlign w:val="center"/>
          </w:tcPr>
          <w:p w14:paraId="492BF45B">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纺东街419号党校中楼5楼会议室（二）</w:t>
            </w:r>
          </w:p>
        </w:tc>
      </w:tr>
      <w:tr w14:paraId="1B7A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78AEC5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515" w:type="dxa"/>
            <w:shd w:val="clear" w:color="auto" w:fill="auto"/>
            <w:noWrap/>
            <w:vAlign w:val="center"/>
          </w:tcPr>
          <w:p w14:paraId="1716A2E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灞桥区浐灞办</w:t>
            </w:r>
          </w:p>
        </w:tc>
        <w:tc>
          <w:tcPr>
            <w:tcW w:w="5963" w:type="dxa"/>
            <w:shd w:val="clear" w:color="auto" w:fill="auto"/>
            <w:noWrap/>
            <w:vAlign w:val="center"/>
          </w:tcPr>
          <w:p w14:paraId="18A47C7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世博中路吕段加油站对面征地拆迁指挥部二楼201室</w:t>
            </w:r>
          </w:p>
        </w:tc>
      </w:tr>
      <w:tr w14:paraId="2740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B6728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515" w:type="dxa"/>
            <w:shd w:val="clear" w:color="auto" w:fill="auto"/>
            <w:noWrap/>
            <w:vAlign w:val="center"/>
          </w:tcPr>
          <w:p w14:paraId="386E5BB4">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灞桥区民政局</w:t>
            </w:r>
          </w:p>
        </w:tc>
        <w:tc>
          <w:tcPr>
            <w:tcW w:w="5963" w:type="dxa"/>
            <w:shd w:val="clear" w:color="auto" w:fill="auto"/>
            <w:noWrap/>
            <w:vAlign w:val="center"/>
          </w:tcPr>
          <w:p w14:paraId="0F4B3A23">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长乐东路1633号民政局4楼404室</w:t>
            </w:r>
          </w:p>
        </w:tc>
      </w:tr>
      <w:tr w14:paraId="58B8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DE912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2515" w:type="dxa"/>
            <w:shd w:val="clear" w:color="auto" w:fill="auto"/>
            <w:noWrap/>
            <w:vAlign w:val="center"/>
          </w:tcPr>
          <w:p w14:paraId="08A45A82">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灞桥区洪庆街道办事处</w:t>
            </w:r>
          </w:p>
        </w:tc>
        <w:tc>
          <w:tcPr>
            <w:tcW w:w="5963" w:type="dxa"/>
            <w:shd w:val="clear" w:color="auto" w:fill="auto"/>
            <w:noWrap/>
            <w:vAlign w:val="center"/>
          </w:tcPr>
          <w:p w14:paraId="31CFE039">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田洪正街668号主楼205</w:t>
            </w:r>
          </w:p>
        </w:tc>
      </w:tr>
      <w:tr w14:paraId="10A1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E9403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515" w:type="dxa"/>
            <w:shd w:val="clear" w:color="auto" w:fill="auto"/>
            <w:noWrap/>
            <w:vAlign w:val="center"/>
          </w:tcPr>
          <w:p w14:paraId="2ACDCB66">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灞桥区现代纺织产业园</w:t>
            </w:r>
          </w:p>
        </w:tc>
        <w:tc>
          <w:tcPr>
            <w:tcW w:w="5963" w:type="dxa"/>
            <w:shd w:val="clear" w:color="auto" w:fill="auto"/>
            <w:noWrap/>
            <w:vAlign w:val="center"/>
          </w:tcPr>
          <w:p w14:paraId="3E9AA6C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灞柳二路纺园三路599号管理办办公楼1层机房111号</w:t>
            </w:r>
          </w:p>
        </w:tc>
      </w:tr>
      <w:tr w14:paraId="3C08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558B1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515" w:type="dxa"/>
            <w:shd w:val="clear" w:color="auto" w:fill="auto"/>
            <w:noWrap/>
            <w:vAlign w:val="center"/>
          </w:tcPr>
          <w:p w14:paraId="3719FACF">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灞桥区农业农村局</w:t>
            </w:r>
          </w:p>
        </w:tc>
        <w:tc>
          <w:tcPr>
            <w:tcW w:w="5963" w:type="dxa"/>
            <w:shd w:val="clear" w:color="auto" w:fill="auto"/>
            <w:noWrap/>
            <w:vAlign w:val="center"/>
          </w:tcPr>
          <w:p w14:paraId="0FEE9B8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纺一路109号局办公楼二楼机房</w:t>
            </w:r>
          </w:p>
        </w:tc>
      </w:tr>
      <w:tr w14:paraId="3151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27A1B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2515" w:type="dxa"/>
            <w:shd w:val="clear" w:color="auto" w:fill="auto"/>
            <w:noWrap/>
            <w:vAlign w:val="center"/>
          </w:tcPr>
          <w:p w14:paraId="246D1A59">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原灞桥区乡村振兴局</w:t>
            </w:r>
          </w:p>
        </w:tc>
        <w:tc>
          <w:tcPr>
            <w:tcW w:w="5963" w:type="dxa"/>
            <w:shd w:val="clear" w:color="auto" w:fill="auto"/>
            <w:noWrap/>
            <w:vAlign w:val="center"/>
          </w:tcPr>
          <w:p w14:paraId="559E718F">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灞河西路3208号综合科办公室</w:t>
            </w:r>
          </w:p>
        </w:tc>
      </w:tr>
      <w:tr w14:paraId="6039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AC168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2515" w:type="dxa"/>
            <w:shd w:val="clear" w:color="auto" w:fill="auto"/>
            <w:noWrap/>
            <w:vAlign w:val="center"/>
          </w:tcPr>
          <w:p w14:paraId="045C393D">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灞桥区秦保执法局智慧秦岭平台</w:t>
            </w:r>
          </w:p>
        </w:tc>
        <w:tc>
          <w:tcPr>
            <w:tcW w:w="5963" w:type="dxa"/>
            <w:shd w:val="clear" w:color="auto" w:fill="auto"/>
            <w:noWrap/>
            <w:vAlign w:val="center"/>
          </w:tcPr>
          <w:p w14:paraId="5034D545">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田洪正街新村社区4楼405室</w:t>
            </w:r>
          </w:p>
        </w:tc>
      </w:tr>
      <w:tr w14:paraId="08B5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DC529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2515" w:type="dxa"/>
            <w:shd w:val="clear" w:color="auto" w:fill="auto"/>
            <w:noWrap/>
            <w:vAlign w:val="center"/>
          </w:tcPr>
          <w:p w14:paraId="51D69B5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灞桥区灞桥街道办事处</w:t>
            </w:r>
          </w:p>
        </w:tc>
        <w:tc>
          <w:tcPr>
            <w:tcW w:w="5963" w:type="dxa"/>
            <w:shd w:val="clear" w:color="auto" w:fill="auto"/>
            <w:noWrap/>
            <w:vAlign w:val="center"/>
          </w:tcPr>
          <w:p w14:paraId="2DAFAB38">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东城大道5919号 院内东二楼201室</w:t>
            </w:r>
          </w:p>
        </w:tc>
      </w:tr>
      <w:tr w14:paraId="49A4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5EEE47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2515" w:type="dxa"/>
            <w:shd w:val="clear" w:color="auto" w:fill="auto"/>
            <w:noWrap/>
            <w:vAlign w:val="center"/>
          </w:tcPr>
          <w:p w14:paraId="5E136DD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灞桥区商贸总公司</w:t>
            </w:r>
          </w:p>
        </w:tc>
        <w:tc>
          <w:tcPr>
            <w:tcW w:w="5963" w:type="dxa"/>
            <w:shd w:val="clear" w:color="auto" w:fill="auto"/>
            <w:noWrap/>
            <w:vAlign w:val="center"/>
          </w:tcPr>
          <w:p w14:paraId="42D904E1">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纺正街409号2楼西侧党政办公室</w:t>
            </w:r>
          </w:p>
        </w:tc>
      </w:tr>
      <w:tr w14:paraId="3113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84EB6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2515" w:type="dxa"/>
            <w:shd w:val="clear" w:color="auto" w:fill="auto"/>
            <w:noWrap/>
            <w:vAlign w:val="center"/>
          </w:tcPr>
          <w:p w14:paraId="3E00A343">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灞桥区物资总公司</w:t>
            </w:r>
          </w:p>
        </w:tc>
        <w:tc>
          <w:tcPr>
            <w:tcW w:w="5963" w:type="dxa"/>
            <w:shd w:val="clear" w:color="auto" w:fill="auto"/>
            <w:noWrap/>
            <w:vAlign w:val="center"/>
          </w:tcPr>
          <w:p w14:paraId="6D953EB8">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纺东街419号党校北四楼东一房间</w:t>
            </w:r>
          </w:p>
        </w:tc>
      </w:tr>
      <w:tr w14:paraId="17CA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E19D2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2515" w:type="dxa"/>
            <w:shd w:val="clear" w:color="auto" w:fill="auto"/>
            <w:noWrap/>
            <w:vAlign w:val="center"/>
          </w:tcPr>
          <w:p w14:paraId="6920379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灞桥区狄寨街道办事处</w:t>
            </w:r>
          </w:p>
        </w:tc>
        <w:tc>
          <w:tcPr>
            <w:tcW w:w="5963" w:type="dxa"/>
            <w:shd w:val="clear" w:color="auto" w:fill="auto"/>
            <w:noWrap/>
            <w:vAlign w:val="center"/>
          </w:tcPr>
          <w:p w14:paraId="25024465">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狄寨正街中段服务大厅二楼会议室</w:t>
            </w:r>
          </w:p>
        </w:tc>
      </w:tr>
      <w:tr w14:paraId="4E17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26EE78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515" w:type="dxa"/>
            <w:shd w:val="clear" w:color="auto" w:fill="auto"/>
            <w:noWrap/>
            <w:vAlign w:val="center"/>
          </w:tcPr>
          <w:p w14:paraId="5F95DCE9">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灞桥区气象局</w:t>
            </w:r>
          </w:p>
        </w:tc>
        <w:tc>
          <w:tcPr>
            <w:tcW w:w="5963" w:type="dxa"/>
            <w:shd w:val="clear" w:color="auto" w:fill="auto"/>
            <w:noWrap/>
            <w:vAlign w:val="center"/>
          </w:tcPr>
          <w:p w14:paraId="1960F3DA">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席王街办龙湾村北气象局三楼306室</w:t>
            </w:r>
          </w:p>
        </w:tc>
      </w:tr>
      <w:tr w14:paraId="24B7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72B30D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2515" w:type="dxa"/>
            <w:shd w:val="clear" w:color="auto" w:fill="auto"/>
            <w:noWrap/>
            <w:vAlign w:val="center"/>
          </w:tcPr>
          <w:p w14:paraId="6D175A05">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灞桥区基投总公司</w:t>
            </w:r>
          </w:p>
        </w:tc>
        <w:tc>
          <w:tcPr>
            <w:tcW w:w="5963" w:type="dxa"/>
            <w:shd w:val="clear" w:color="auto" w:fill="auto"/>
            <w:noWrap/>
            <w:vAlign w:val="center"/>
          </w:tcPr>
          <w:p w14:paraId="589666A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纺建路2号二层西南角第一间</w:t>
            </w:r>
          </w:p>
        </w:tc>
      </w:tr>
      <w:tr w14:paraId="6A63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293865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515" w:type="dxa"/>
            <w:shd w:val="clear" w:color="auto" w:fill="auto"/>
            <w:noWrap/>
            <w:vAlign w:val="center"/>
          </w:tcPr>
          <w:p w14:paraId="6BF4027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灞桥区工商业联合会</w:t>
            </w:r>
          </w:p>
        </w:tc>
        <w:tc>
          <w:tcPr>
            <w:tcW w:w="5963" w:type="dxa"/>
            <w:shd w:val="clear" w:color="auto" w:fill="auto"/>
            <w:noWrap/>
            <w:vAlign w:val="center"/>
          </w:tcPr>
          <w:p w14:paraId="3A95E928">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纺东街409号党校南楼304室</w:t>
            </w:r>
          </w:p>
        </w:tc>
      </w:tr>
      <w:tr w14:paraId="6ACF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BBAE9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2515" w:type="dxa"/>
            <w:shd w:val="clear" w:color="auto" w:fill="auto"/>
            <w:noWrap/>
            <w:vAlign w:val="center"/>
          </w:tcPr>
          <w:p w14:paraId="50A936B0">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灞桥区白鹿原管委会</w:t>
            </w:r>
          </w:p>
        </w:tc>
        <w:tc>
          <w:tcPr>
            <w:tcW w:w="5963" w:type="dxa"/>
            <w:shd w:val="clear" w:color="auto" w:fill="auto"/>
            <w:noWrap/>
            <w:vAlign w:val="center"/>
          </w:tcPr>
          <w:p w14:paraId="7A200A91">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狄寨街道夏寨村东一楼男更衣室</w:t>
            </w:r>
          </w:p>
        </w:tc>
      </w:tr>
      <w:tr w14:paraId="6ECA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134E99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15" w:type="dxa"/>
            <w:shd w:val="clear" w:color="auto" w:fill="auto"/>
            <w:vAlign w:val="center"/>
          </w:tcPr>
          <w:p w14:paraId="69233B2A">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灞桥区十里铺街道办事处</w:t>
            </w:r>
          </w:p>
        </w:tc>
        <w:tc>
          <w:tcPr>
            <w:tcW w:w="5963" w:type="dxa"/>
            <w:shd w:val="clear" w:color="auto" w:fill="auto"/>
            <w:vAlign w:val="center"/>
          </w:tcPr>
          <w:p w14:paraId="47B99FB6">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十里铺街道十里铺正街 办公楼二楼204</w:t>
            </w:r>
          </w:p>
        </w:tc>
      </w:tr>
      <w:tr w14:paraId="244A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1869C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2515" w:type="dxa"/>
            <w:shd w:val="clear" w:color="auto" w:fill="auto"/>
            <w:vAlign w:val="center"/>
          </w:tcPr>
          <w:p w14:paraId="42DF2323">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灞桥区灞河新区管委会</w:t>
            </w:r>
          </w:p>
        </w:tc>
        <w:tc>
          <w:tcPr>
            <w:tcW w:w="5963" w:type="dxa"/>
            <w:shd w:val="clear" w:color="auto" w:fill="auto"/>
            <w:vAlign w:val="center"/>
          </w:tcPr>
          <w:p w14:paraId="1410CCE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柳雪路9号总部经济大楼经济大楼1号楼109室</w:t>
            </w:r>
          </w:p>
        </w:tc>
      </w:tr>
      <w:tr w14:paraId="2B17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129BD8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2515" w:type="dxa"/>
            <w:shd w:val="clear" w:color="auto" w:fill="auto"/>
            <w:vAlign w:val="center"/>
          </w:tcPr>
          <w:p w14:paraId="581E4866">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灞桥区供销联社</w:t>
            </w:r>
          </w:p>
        </w:tc>
        <w:tc>
          <w:tcPr>
            <w:tcW w:w="5963" w:type="dxa"/>
            <w:shd w:val="clear" w:color="auto" w:fill="auto"/>
            <w:vAlign w:val="center"/>
          </w:tcPr>
          <w:p w14:paraId="04C311A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长乐东路8号办公楼二楼打字室</w:t>
            </w:r>
          </w:p>
        </w:tc>
      </w:tr>
      <w:tr w14:paraId="7FD3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DCBAB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2515" w:type="dxa"/>
            <w:shd w:val="clear" w:color="auto" w:fill="auto"/>
            <w:vAlign w:val="center"/>
          </w:tcPr>
          <w:p w14:paraId="77F84E40">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灞桥区公共法律服务中心</w:t>
            </w:r>
          </w:p>
        </w:tc>
        <w:tc>
          <w:tcPr>
            <w:tcW w:w="5963" w:type="dxa"/>
            <w:shd w:val="clear" w:color="auto" w:fill="auto"/>
            <w:vAlign w:val="center"/>
          </w:tcPr>
          <w:p w14:paraId="7616DB9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祥云路699号公共法律服务中心法律服务中心1层西侧机房</w:t>
            </w:r>
          </w:p>
        </w:tc>
      </w:tr>
      <w:tr w14:paraId="55AA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6188B6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515" w:type="dxa"/>
            <w:shd w:val="clear" w:color="auto" w:fill="auto"/>
            <w:vAlign w:val="center"/>
          </w:tcPr>
          <w:p w14:paraId="31E59FDF">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灞桥区市场监管局</w:t>
            </w:r>
          </w:p>
        </w:tc>
        <w:tc>
          <w:tcPr>
            <w:tcW w:w="5963" w:type="dxa"/>
            <w:shd w:val="clear" w:color="auto" w:fill="auto"/>
            <w:vAlign w:val="center"/>
          </w:tcPr>
          <w:p w14:paraId="783C011F">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纺一路419号机关办公楼二楼机房</w:t>
            </w:r>
          </w:p>
        </w:tc>
      </w:tr>
      <w:tr w14:paraId="43C0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2F504C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2515" w:type="dxa"/>
            <w:shd w:val="clear" w:color="auto" w:fill="auto"/>
            <w:vAlign w:val="center"/>
          </w:tcPr>
          <w:p w14:paraId="19400028">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灞桥区税务局</w:t>
            </w:r>
          </w:p>
        </w:tc>
        <w:tc>
          <w:tcPr>
            <w:tcW w:w="5963" w:type="dxa"/>
            <w:shd w:val="clear" w:color="auto" w:fill="auto"/>
            <w:vAlign w:val="center"/>
          </w:tcPr>
          <w:p w14:paraId="7D9C07B3">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纺一路39号机关大楼201</w:t>
            </w:r>
          </w:p>
        </w:tc>
      </w:tr>
      <w:tr w14:paraId="5835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07EE3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2515" w:type="dxa"/>
            <w:shd w:val="clear" w:color="auto" w:fill="auto"/>
            <w:vAlign w:val="center"/>
          </w:tcPr>
          <w:p w14:paraId="1DAC3E1A">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纺织城开发公司</w:t>
            </w:r>
          </w:p>
        </w:tc>
        <w:tc>
          <w:tcPr>
            <w:tcW w:w="5963" w:type="dxa"/>
            <w:shd w:val="clear" w:color="auto" w:fill="auto"/>
            <w:vAlign w:val="center"/>
          </w:tcPr>
          <w:p w14:paraId="54A3964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柳韵路泰尔新坐标（柳韵巷与纺渭路交叉口往西约100米）办公楼29楼2905室</w:t>
            </w:r>
          </w:p>
        </w:tc>
      </w:tr>
      <w:tr w14:paraId="3895B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5DDE89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2515" w:type="dxa"/>
            <w:shd w:val="clear" w:color="auto" w:fill="auto"/>
            <w:vAlign w:val="center"/>
          </w:tcPr>
          <w:p w14:paraId="07FD3D6A">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灞桥区人民法院</w:t>
            </w:r>
          </w:p>
        </w:tc>
        <w:tc>
          <w:tcPr>
            <w:tcW w:w="5963" w:type="dxa"/>
            <w:shd w:val="clear" w:color="auto" w:fill="auto"/>
            <w:vAlign w:val="center"/>
          </w:tcPr>
          <w:p w14:paraId="7E733468">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灞桥区纺一路668号法院后3楼8305室</w:t>
            </w:r>
          </w:p>
        </w:tc>
      </w:tr>
      <w:tr w14:paraId="374F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60AB6D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2515" w:type="dxa"/>
            <w:shd w:val="clear" w:color="auto" w:fill="auto"/>
            <w:vAlign w:val="center"/>
          </w:tcPr>
          <w:p w14:paraId="696DBA7A">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席王街道办事处司法所</w:t>
            </w:r>
          </w:p>
        </w:tc>
        <w:tc>
          <w:tcPr>
            <w:tcW w:w="5963" w:type="dxa"/>
            <w:shd w:val="clear" w:color="auto" w:fill="auto"/>
            <w:vAlign w:val="center"/>
          </w:tcPr>
          <w:p w14:paraId="3AC4D775">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灞桥区席王街道办事处旁司法所三楼</w:t>
            </w:r>
          </w:p>
        </w:tc>
      </w:tr>
      <w:tr w14:paraId="56B80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3F184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2515" w:type="dxa"/>
            <w:shd w:val="clear" w:color="auto" w:fill="auto"/>
            <w:vAlign w:val="center"/>
          </w:tcPr>
          <w:p w14:paraId="418387D1">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灞桥区纺织城街道办事处</w:t>
            </w:r>
          </w:p>
        </w:tc>
        <w:tc>
          <w:tcPr>
            <w:tcW w:w="5963" w:type="dxa"/>
            <w:shd w:val="clear" w:color="auto" w:fill="auto"/>
            <w:noWrap/>
            <w:vAlign w:val="center"/>
          </w:tcPr>
          <w:p w14:paraId="61A0A549">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纺织城正街臻园阳光17号楼3楼301室</w:t>
            </w:r>
          </w:p>
        </w:tc>
      </w:tr>
      <w:tr w14:paraId="3D11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70AE69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2515" w:type="dxa"/>
            <w:shd w:val="clear" w:color="auto" w:fill="auto"/>
            <w:noWrap/>
            <w:vAlign w:val="center"/>
          </w:tcPr>
          <w:p w14:paraId="633474FD">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灞桥区人民检察院</w:t>
            </w:r>
          </w:p>
        </w:tc>
        <w:tc>
          <w:tcPr>
            <w:tcW w:w="5963" w:type="dxa"/>
            <w:shd w:val="clear" w:color="auto" w:fill="auto"/>
            <w:noWrap/>
            <w:vAlign w:val="center"/>
          </w:tcPr>
          <w:p w14:paraId="4987446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灞桥区灞柳二路699号办公室301室</w:t>
            </w:r>
          </w:p>
        </w:tc>
      </w:tr>
      <w:tr w14:paraId="3835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1AA4CA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2515" w:type="dxa"/>
            <w:shd w:val="clear" w:color="auto" w:fill="auto"/>
            <w:noWrap/>
            <w:vAlign w:val="center"/>
          </w:tcPr>
          <w:p w14:paraId="3E8D0D19">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灞桥区委社会工作部网格中心</w:t>
            </w:r>
          </w:p>
        </w:tc>
        <w:tc>
          <w:tcPr>
            <w:tcW w:w="5963" w:type="dxa"/>
            <w:shd w:val="clear" w:color="auto" w:fill="auto"/>
            <w:noWrap/>
            <w:vAlign w:val="center"/>
          </w:tcPr>
          <w:p w14:paraId="775CB016">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纺新街与纺三路交叉路口西北角两层独栋</w:t>
            </w:r>
          </w:p>
        </w:tc>
      </w:tr>
      <w:tr w14:paraId="69B95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1C593E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515" w:type="dxa"/>
            <w:shd w:val="clear" w:color="auto" w:fill="auto"/>
            <w:noWrap/>
            <w:vAlign w:val="center"/>
          </w:tcPr>
          <w:p w14:paraId="6D1A8B60">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灞桥区红十字会</w:t>
            </w:r>
          </w:p>
        </w:tc>
        <w:tc>
          <w:tcPr>
            <w:tcW w:w="5963" w:type="dxa"/>
            <w:shd w:val="clear" w:color="auto" w:fill="auto"/>
            <w:noWrap/>
            <w:vAlign w:val="center"/>
          </w:tcPr>
          <w:p w14:paraId="5A80279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西北电建四公司办公楼东隔壁招待所</w:t>
            </w:r>
          </w:p>
        </w:tc>
      </w:tr>
      <w:tr w14:paraId="59020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295E7A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2515" w:type="dxa"/>
            <w:shd w:val="clear" w:color="auto" w:fill="auto"/>
            <w:noWrap/>
            <w:vAlign w:val="center"/>
          </w:tcPr>
          <w:p w14:paraId="0894D91D">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白鹿原现代农旅投资集团</w:t>
            </w:r>
          </w:p>
        </w:tc>
        <w:tc>
          <w:tcPr>
            <w:tcW w:w="5963" w:type="dxa"/>
            <w:shd w:val="clear" w:color="auto" w:fill="auto"/>
            <w:noWrap/>
            <w:vAlign w:val="center"/>
          </w:tcPr>
          <w:p w14:paraId="2D5BF57F">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狄寨街道夏寨村白鹿原管委会内一楼大厅</w:t>
            </w:r>
          </w:p>
        </w:tc>
      </w:tr>
      <w:tr w14:paraId="759C6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342898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2515" w:type="dxa"/>
            <w:shd w:val="clear" w:color="auto" w:fill="auto"/>
            <w:noWrap/>
            <w:vAlign w:val="center"/>
          </w:tcPr>
          <w:p w14:paraId="331B6A5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灞桥区信访局</w:t>
            </w:r>
          </w:p>
        </w:tc>
        <w:tc>
          <w:tcPr>
            <w:tcW w:w="5963" w:type="dxa"/>
            <w:shd w:val="clear" w:color="auto" w:fill="auto"/>
            <w:noWrap/>
            <w:vAlign w:val="center"/>
          </w:tcPr>
          <w:p w14:paraId="2D97F820">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灞桥区纺织城街道新欧洲小区</w:t>
            </w:r>
          </w:p>
        </w:tc>
      </w:tr>
      <w:tr w14:paraId="6BDE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275D19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2515" w:type="dxa"/>
            <w:shd w:val="clear" w:color="auto" w:fill="auto"/>
            <w:noWrap/>
            <w:vAlign w:val="center"/>
          </w:tcPr>
          <w:p w14:paraId="445BA25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灞桥东城投资集团有限公司</w:t>
            </w:r>
          </w:p>
        </w:tc>
        <w:tc>
          <w:tcPr>
            <w:tcW w:w="5963" w:type="dxa"/>
            <w:shd w:val="clear" w:color="auto" w:fill="auto"/>
            <w:noWrap/>
            <w:vAlign w:val="center"/>
          </w:tcPr>
          <w:p w14:paraId="743DBF46">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西安市灞桥区纺正街262号万兴广场五楼</w:t>
            </w:r>
          </w:p>
        </w:tc>
      </w:tr>
      <w:tr w14:paraId="4E93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2B880C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2515" w:type="dxa"/>
            <w:shd w:val="clear" w:color="auto" w:fill="auto"/>
            <w:noWrap/>
            <w:vAlign w:val="center"/>
          </w:tcPr>
          <w:p w14:paraId="71CE794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灞桥区市政建设开发集团</w:t>
            </w:r>
          </w:p>
        </w:tc>
        <w:tc>
          <w:tcPr>
            <w:tcW w:w="5963" w:type="dxa"/>
            <w:shd w:val="clear" w:color="auto" w:fill="auto"/>
            <w:noWrap/>
            <w:vAlign w:val="center"/>
          </w:tcPr>
          <w:p w14:paraId="5E13B55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纺织产业园华佰利办公楼3层316室</w:t>
            </w:r>
          </w:p>
        </w:tc>
      </w:tr>
      <w:tr w14:paraId="6B5D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4B6BD8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2515" w:type="dxa"/>
            <w:shd w:val="clear" w:color="auto" w:fill="auto"/>
            <w:noWrap/>
            <w:vAlign w:val="center"/>
          </w:tcPr>
          <w:p w14:paraId="463CA39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灞桥区消防救援局</w:t>
            </w:r>
          </w:p>
        </w:tc>
        <w:tc>
          <w:tcPr>
            <w:tcW w:w="5963" w:type="dxa"/>
            <w:shd w:val="clear" w:color="auto" w:fill="auto"/>
            <w:noWrap/>
            <w:vAlign w:val="center"/>
          </w:tcPr>
          <w:p w14:paraId="30448FBC">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灞桥区洪庆街道纺织产业园纺园二路369号</w:t>
            </w:r>
          </w:p>
        </w:tc>
      </w:tr>
      <w:tr w14:paraId="05BD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4AE8AC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15" w:type="dxa"/>
            <w:shd w:val="clear" w:color="auto" w:fill="auto"/>
            <w:noWrap/>
            <w:vAlign w:val="center"/>
          </w:tcPr>
          <w:p w14:paraId="061F6637">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交警灞桥大队</w:t>
            </w:r>
          </w:p>
        </w:tc>
        <w:tc>
          <w:tcPr>
            <w:tcW w:w="5963" w:type="dxa"/>
            <w:shd w:val="clear" w:color="auto" w:fill="auto"/>
            <w:noWrap/>
            <w:vAlign w:val="center"/>
          </w:tcPr>
          <w:p w14:paraId="377992CE">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交警大队警务大厅六楼指挥中心</w:t>
            </w:r>
          </w:p>
        </w:tc>
      </w:tr>
      <w:tr w14:paraId="047E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3B13DC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2515" w:type="dxa"/>
            <w:shd w:val="clear" w:color="auto" w:fill="auto"/>
            <w:noWrap/>
            <w:vAlign w:val="center"/>
          </w:tcPr>
          <w:p w14:paraId="5B28488B">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灞桥区秦创原创新促进中心</w:t>
            </w:r>
          </w:p>
        </w:tc>
        <w:tc>
          <w:tcPr>
            <w:tcW w:w="5963" w:type="dxa"/>
            <w:shd w:val="clear" w:color="auto" w:fill="auto"/>
            <w:noWrap/>
            <w:vAlign w:val="center"/>
          </w:tcPr>
          <w:p w14:paraId="71547114">
            <w:pPr>
              <w:widowControl/>
              <w:textAlignment w:val="center"/>
              <w:rPr>
                <w:rFonts w:hint="eastAsia" w:ascii="宋体" w:hAnsi="宋体" w:eastAsia="宋体" w:cs="宋体"/>
                <w:i w:val="0"/>
                <w:iCs w:val="0"/>
                <w:color w:val="000000"/>
                <w:sz w:val="21"/>
                <w:szCs w:val="21"/>
                <w:u w:val="none"/>
              </w:rPr>
            </w:pPr>
            <w:r>
              <w:rPr>
                <w:rFonts w:hint="eastAsia" w:ascii="宋体" w:hAnsi="宋体" w:eastAsia="宋体" w:cs="宋体"/>
              </w:rPr>
              <w:t>纺渭路泰尔发现新坐标写字楼25楼南</w:t>
            </w:r>
          </w:p>
        </w:tc>
      </w:tr>
      <w:tr w14:paraId="23799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0" w:type="auto"/>
            <w:shd w:val="clear" w:color="auto" w:fill="auto"/>
            <w:noWrap/>
            <w:vAlign w:val="center"/>
          </w:tcPr>
          <w:p w14:paraId="193C722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w:t>
            </w:r>
          </w:p>
        </w:tc>
        <w:tc>
          <w:tcPr>
            <w:tcW w:w="2515" w:type="dxa"/>
            <w:shd w:val="clear" w:color="auto" w:fill="auto"/>
            <w:noWrap/>
            <w:vAlign w:val="center"/>
          </w:tcPr>
          <w:p w14:paraId="67DA6C14">
            <w:pPr>
              <w:widowControl/>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rPr>
              <w:t>灞桥区秦保执法局</w:t>
            </w:r>
          </w:p>
        </w:tc>
        <w:tc>
          <w:tcPr>
            <w:tcW w:w="5963" w:type="dxa"/>
            <w:shd w:val="clear" w:color="auto" w:fill="auto"/>
            <w:noWrap/>
            <w:vAlign w:val="center"/>
          </w:tcPr>
          <w:p w14:paraId="1FE1B201">
            <w:pPr>
              <w:widowControl/>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rPr>
              <w:t>席王街道灞河西路3208号灞桥区林业站2楼203室</w:t>
            </w:r>
          </w:p>
        </w:tc>
      </w:tr>
      <w:tr w14:paraId="1A061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shd w:val="clear" w:color="auto" w:fill="auto"/>
            <w:noWrap/>
            <w:vAlign w:val="center"/>
          </w:tcPr>
          <w:p w14:paraId="00C4BAD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57</w:t>
            </w:r>
          </w:p>
        </w:tc>
        <w:tc>
          <w:tcPr>
            <w:tcW w:w="2515" w:type="dxa"/>
            <w:shd w:val="clear" w:color="auto" w:fill="auto"/>
            <w:noWrap/>
            <w:vAlign w:val="center"/>
          </w:tcPr>
          <w:p w14:paraId="49C5C1DE">
            <w:pPr>
              <w:widowControl/>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rPr>
              <w:t>灞桥区人民武装部</w:t>
            </w:r>
          </w:p>
        </w:tc>
        <w:tc>
          <w:tcPr>
            <w:tcW w:w="5963" w:type="dxa"/>
            <w:shd w:val="clear" w:color="auto" w:fill="auto"/>
            <w:noWrap/>
            <w:vAlign w:val="center"/>
          </w:tcPr>
          <w:p w14:paraId="1C774120">
            <w:pPr>
              <w:widowControl/>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rPr>
              <w:t>纺一路武装部办公楼2层218室</w:t>
            </w:r>
          </w:p>
        </w:tc>
      </w:tr>
    </w:tbl>
    <w:p w14:paraId="1AAEED8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p>
    <w:p w14:paraId="4EAE9F9D">
      <w:pPr>
        <w:keepNext w:val="0"/>
        <w:keepLines w:val="0"/>
        <w:pageBreakBefore w:val="0"/>
        <w:widowControl w:val="0"/>
        <w:kinsoku/>
        <w:wordWrap/>
        <w:overflowPunct/>
        <w:topLinePunct w:val="0"/>
        <w:autoSpaceDE/>
        <w:autoSpaceDN/>
        <w:bidi w:val="0"/>
        <w:adjustRightInd w:val="0"/>
        <w:snapToGrid/>
        <w:spacing w:line="360" w:lineRule="auto"/>
        <w:ind w:firstLine="466" w:firstLineChars="200"/>
        <w:textAlignment w:val="auto"/>
        <w:rPr>
          <w:rFonts w:hint="default"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（三）服务要求</w:t>
      </w:r>
    </w:p>
    <w:p w14:paraId="432F657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1、</w:t>
      </w:r>
      <w:r>
        <w:rPr>
          <w:rFonts w:hint="eastAsia" w:ascii="宋体" w:hAnsi="宋体" w:cs="宋体"/>
          <w:color w:val="auto"/>
          <w:spacing w:val="-4"/>
          <w:sz w:val="24"/>
          <w:szCs w:val="24"/>
          <w:highlight w:val="none"/>
          <w:lang w:val="zh-CN" w:eastAsia="zh-CN"/>
        </w:rPr>
        <w:t>乙方</w:t>
      </w:r>
      <w:r>
        <w:rPr>
          <w:rFonts w:hint="eastAsia" w:ascii="宋体" w:hAnsi="宋体" w:cs="宋体"/>
          <w:color w:val="auto"/>
          <w:spacing w:val="-4"/>
          <w:sz w:val="24"/>
          <w:szCs w:val="24"/>
          <w:highlight w:val="none"/>
          <w:lang w:val="zh-CN"/>
        </w:rPr>
        <w:t>应提供7</w:t>
      </w:r>
      <w:r>
        <w:rPr>
          <w:rFonts w:hint="eastAsia" w:ascii="宋体" w:hAnsi="宋体" w:cs="宋体"/>
          <w:color w:val="auto"/>
          <w:spacing w:val="-4"/>
          <w:sz w:val="24"/>
          <w:szCs w:val="24"/>
          <w:highlight w:val="none"/>
          <w:lang w:val="en-US" w:eastAsia="zh-CN"/>
        </w:rPr>
        <w:t>×</w:t>
      </w:r>
      <w:r>
        <w:rPr>
          <w:rFonts w:hint="eastAsia" w:ascii="宋体" w:hAnsi="宋体" w:cs="宋体"/>
          <w:color w:val="auto"/>
          <w:spacing w:val="-4"/>
          <w:sz w:val="24"/>
          <w:szCs w:val="24"/>
          <w:highlight w:val="none"/>
          <w:lang w:val="zh-CN"/>
        </w:rPr>
        <w:t>24小时热线电话或其他平台，受理线路故障报修和各项业务；安排一名客户经理提供各项业务咨询和业务办理服务；安排一名技术支持经理提供线路技术咨询和技术支持。</w:t>
      </w:r>
    </w:p>
    <w:p w14:paraId="50344D67">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2、乙方必须做到</w:t>
      </w:r>
      <w:r>
        <w:rPr>
          <w:rFonts w:hint="eastAsia" w:ascii="宋体" w:hAnsi="宋体" w:cs="宋体"/>
          <w:color w:val="auto"/>
          <w:spacing w:val="-4"/>
          <w:sz w:val="24"/>
          <w:szCs w:val="24"/>
          <w:highlight w:val="none"/>
          <w:lang w:val="zh-CN"/>
        </w:rPr>
        <w:t>线路故障受理7</w:t>
      </w:r>
      <w:r>
        <w:rPr>
          <w:rFonts w:hint="eastAsia" w:ascii="宋体" w:hAnsi="宋体" w:cs="宋体"/>
          <w:color w:val="auto"/>
          <w:spacing w:val="-4"/>
          <w:sz w:val="24"/>
          <w:szCs w:val="24"/>
          <w:highlight w:val="none"/>
          <w:lang w:val="en-US" w:eastAsia="zh-CN"/>
        </w:rPr>
        <w:t>×</w:t>
      </w:r>
      <w:r>
        <w:rPr>
          <w:rFonts w:hint="eastAsia" w:ascii="宋体" w:hAnsi="宋体" w:cs="宋体"/>
          <w:color w:val="auto"/>
          <w:spacing w:val="-4"/>
          <w:sz w:val="24"/>
          <w:szCs w:val="24"/>
          <w:highlight w:val="none"/>
          <w:lang w:val="zh-CN"/>
        </w:rPr>
        <w:t>24小时响应</w:t>
      </w:r>
      <w:r>
        <w:rPr>
          <w:rFonts w:hint="eastAsia" w:ascii="宋体" w:hAnsi="宋体" w:cs="宋体"/>
          <w:color w:val="auto"/>
          <w:spacing w:val="-4"/>
          <w:sz w:val="24"/>
          <w:szCs w:val="24"/>
          <w:highlight w:val="none"/>
          <w:lang w:val="zh-CN" w:eastAsia="zh-CN"/>
        </w:rPr>
        <w:t>，</w:t>
      </w:r>
      <w:r>
        <w:rPr>
          <w:rFonts w:hint="eastAsia" w:ascii="宋体" w:hAnsi="宋体" w:cs="宋体"/>
          <w:color w:val="auto"/>
          <w:spacing w:val="-4"/>
          <w:sz w:val="24"/>
          <w:szCs w:val="24"/>
          <w:highlight w:val="none"/>
          <w:lang w:val="en-US" w:eastAsia="zh-CN"/>
        </w:rPr>
        <w:t>8</w:t>
      </w:r>
      <w:r>
        <w:rPr>
          <w:rFonts w:hint="eastAsia" w:ascii="宋体" w:hAnsi="宋体" w:cs="宋体"/>
          <w:color w:val="auto"/>
          <w:spacing w:val="-4"/>
          <w:sz w:val="24"/>
          <w:szCs w:val="24"/>
          <w:highlight w:val="none"/>
          <w:lang w:val="zh-CN"/>
        </w:rPr>
        <w:t>小时</w:t>
      </w:r>
      <w:r>
        <w:rPr>
          <w:rFonts w:hint="eastAsia" w:ascii="宋体" w:hAnsi="宋体" w:cs="宋体"/>
          <w:color w:val="auto"/>
          <w:spacing w:val="-4"/>
          <w:sz w:val="24"/>
          <w:szCs w:val="24"/>
          <w:highlight w:val="none"/>
          <w:lang w:val="zh-CN" w:eastAsia="zh-CN"/>
        </w:rPr>
        <w:t>内</w:t>
      </w:r>
      <w:r>
        <w:rPr>
          <w:rFonts w:hint="eastAsia" w:ascii="宋体" w:hAnsi="宋体" w:cs="宋体"/>
          <w:color w:val="auto"/>
          <w:spacing w:val="-4"/>
          <w:sz w:val="24"/>
          <w:szCs w:val="24"/>
          <w:highlight w:val="none"/>
          <w:lang w:val="zh-CN"/>
        </w:rPr>
        <w:t>到达现场，原则上</w:t>
      </w:r>
      <w:r>
        <w:rPr>
          <w:rFonts w:hint="eastAsia" w:ascii="宋体" w:hAnsi="宋体" w:cs="宋体"/>
          <w:color w:val="auto"/>
          <w:spacing w:val="-4"/>
          <w:sz w:val="24"/>
          <w:szCs w:val="24"/>
          <w:highlight w:val="none"/>
          <w:lang w:val="en-US" w:eastAsia="zh-CN"/>
        </w:rPr>
        <w:t>12小时内恢复通讯线路，重大施工48</w:t>
      </w:r>
      <w:r>
        <w:rPr>
          <w:rFonts w:hint="eastAsia" w:ascii="宋体" w:hAnsi="宋体" w:cs="宋体"/>
          <w:color w:val="auto"/>
          <w:spacing w:val="-4"/>
          <w:sz w:val="24"/>
          <w:szCs w:val="24"/>
          <w:highlight w:val="none"/>
          <w:lang w:val="zh-CN"/>
        </w:rPr>
        <w:t>小时内</w:t>
      </w:r>
      <w:r>
        <w:rPr>
          <w:rFonts w:hint="eastAsia" w:ascii="宋体" w:hAnsi="宋体" w:cs="宋体"/>
          <w:color w:val="auto"/>
          <w:spacing w:val="-4"/>
          <w:sz w:val="24"/>
          <w:szCs w:val="24"/>
          <w:highlight w:val="none"/>
          <w:lang w:val="zh-CN" w:eastAsia="zh-CN"/>
        </w:rPr>
        <w:t>恢复通讯线路</w:t>
      </w:r>
      <w:r>
        <w:rPr>
          <w:rFonts w:hint="eastAsia" w:ascii="宋体" w:hAnsi="宋体" w:cs="宋体"/>
          <w:color w:val="auto"/>
          <w:spacing w:val="-4"/>
          <w:sz w:val="24"/>
          <w:szCs w:val="24"/>
          <w:highlight w:val="none"/>
          <w:lang w:val="zh-CN"/>
        </w:rPr>
        <w:t>。</w:t>
      </w:r>
    </w:p>
    <w:p w14:paraId="7D7CD923">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3、乙方能够在甲方提供完整迁移（线路乙端或B端）和新装所需资料后，一周（或五个工作日）内完成线路铺设、设备安装调试，测试通过，可以进行数据通信。在服务期内，因业务需求导致线路点位迁移或线路带宽扩容，乙方需要配合甲方在规定时限内完成相应工作，并保证既定线路正常通信，属于既有57条线路内发生点位迁移或带宽扩容的费用由乙方承担，新增点位开通费用由甲方承担。</w:t>
      </w:r>
    </w:p>
    <w:p w14:paraId="6D6E1552">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4</w:t>
      </w: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eastAsia="zh-CN"/>
        </w:rPr>
        <w:t>乙方</w:t>
      </w:r>
      <w:r>
        <w:rPr>
          <w:rFonts w:hint="eastAsia" w:ascii="宋体" w:hAnsi="宋体" w:cs="宋体"/>
          <w:color w:val="auto"/>
          <w:spacing w:val="-4"/>
          <w:sz w:val="24"/>
          <w:szCs w:val="24"/>
          <w:highlight w:val="none"/>
          <w:lang w:val="zh-CN"/>
        </w:rPr>
        <w:t>负责对所提供的网络设备进行安装和调试。</w:t>
      </w:r>
    </w:p>
    <w:p w14:paraId="6441A95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二、服务条件</w:t>
      </w:r>
    </w:p>
    <w:p w14:paraId="74745142">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u w:val="single"/>
          <w:lang w:val="en-US" w:eastAsia="zh-CN"/>
        </w:rPr>
      </w:pPr>
      <w:r>
        <w:rPr>
          <w:rFonts w:hint="eastAsia" w:ascii="宋体" w:hAnsi="宋体" w:cs="宋体"/>
          <w:color w:val="auto"/>
          <w:spacing w:val="-4"/>
          <w:sz w:val="24"/>
          <w:szCs w:val="24"/>
          <w:highlight w:val="none"/>
          <w:lang w:val="en-US" w:eastAsia="zh-CN"/>
        </w:rPr>
        <w:t>（一）服务期限：自合同签订之日起一年（合同生效后30日内完成线路的开通调试等工作）</w:t>
      </w:r>
      <w:bookmarkStart w:id="4" w:name="_GoBack"/>
      <w:bookmarkEnd w:id="4"/>
    </w:p>
    <w:p w14:paraId="5193573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（二）服务地点：甲方指定地点。</w:t>
      </w:r>
    </w:p>
    <w:p w14:paraId="299853EE">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三、合同价款</w:t>
      </w:r>
    </w:p>
    <w:p w14:paraId="65FFC888">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合同总价一次性包死，不受市场价格变化因素的影响。</w:t>
      </w:r>
    </w:p>
    <w:p w14:paraId="75522B6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四、款项结算</w:t>
      </w:r>
    </w:p>
    <w:p w14:paraId="636EC0C0">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 xml:space="preserve">（一）支付方式：银行转账 </w:t>
      </w:r>
    </w:p>
    <w:p w14:paraId="0CE8608E">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 xml:space="preserve">（二）货币单位：人民币 </w:t>
      </w:r>
    </w:p>
    <w:p w14:paraId="7B25FA27">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yellow"/>
          <w:lang w:val="zh-CN" w:eastAsia="zh-CN"/>
        </w:rPr>
      </w:pPr>
      <w:r>
        <w:rPr>
          <w:rFonts w:hint="eastAsia" w:ascii="宋体" w:hAnsi="宋体" w:cs="宋体"/>
          <w:color w:val="auto"/>
          <w:spacing w:val="-4"/>
          <w:sz w:val="24"/>
          <w:szCs w:val="24"/>
          <w:highlight w:val="none"/>
          <w:lang w:val="en-US" w:eastAsia="zh-CN"/>
        </w:rPr>
        <w:t>（三）结算方式：</w:t>
      </w:r>
      <w:r>
        <w:rPr>
          <w:rFonts w:hint="eastAsia" w:ascii="宋体" w:hAnsi="宋体" w:cs="宋体"/>
          <w:color w:val="auto"/>
          <w:spacing w:val="-4"/>
          <w:sz w:val="24"/>
          <w:szCs w:val="24"/>
          <w:highlight w:val="none"/>
          <w:u w:val="single"/>
          <w:lang w:val="zh-CN" w:eastAsia="zh-CN"/>
        </w:rPr>
        <w:t>从线路调通之日起算三个月内，经甲方验收合格后，达到付款条件起30个工作日内，支付合同总金额的50%；运行正常6个月后，达到付款条件起30个工作日内，支付合同总金额的50%。</w:t>
      </w:r>
    </w:p>
    <w:p w14:paraId="38541122">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五、验收</w:t>
      </w:r>
    </w:p>
    <w:p w14:paraId="39F58293">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满足甲方需求及相关行业要求。</w:t>
      </w:r>
    </w:p>
    <w:p w14:paraId="62D0E63F">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六、服务承诺</w:t>
      </w:r>
    </w:p>
    <w:p w14:paraId="4A38A93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以磋商文件、响应文件、澄清表（函）、合同等相关文件为准。</w:t>
      </w:r>
    </w:p>
    <w:p w14:paraId="4841C3A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bCs/>
          <w:color w:val="auto"/>
          <w:spacing w:val="-4"/>
          <w:sz w:val="24"/>
          <w:szCs w:val="24"/>
          <w:highlight w:val="none"/>
          <w:lang w:val="zh-CN" w:eastAsia="zh-CN"/>
        </w:rPr>
      </w:pPr>
      <w:r>
        <w:rPr>
          <w:rFonts w:hint="eastAsia" w:ascii="宋体" w:hAnsi="宋体" w:cs="宋体"/>
          <w:b/>
          <w:bCs/>
          <w:color w:val="auto"/>
          <w:spacing w:val="-4"/>
          <w:sz w:val="24"/>
          <w:szCs w:val="24"/>
          <w:highlight w:val="none"/>
          <w:lang w:val="en-US" w:eastAsia="zh-CN"/>
        </w:rPr>
        <w:t>七、</w:t>
      </w:r>
      <w:r>
        <w:rPr>
          <w:rFonts w:hint="eastAsia" w:ascii="宋体" w:hAnsi="宋体" w:cs="宋体"/>
          <w:b/>
          <w:bCs/>
          <w:color w:val="auto"/>
          <w:spacing w:val="-4"/>
          <w:sz w:val="24"/>
          <w:szCs w:val="24"/>
          <w:highlight w:val="none"/>
          <w:lang w:val="zh-CN" w:eastAsia="zh-CN"/>
        </w:rPr>
        <w:t>双方权利和义务</w:t>
      </w:r>
    </w:p>
    <w:p w14:paraId="41C032C8">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1、甲方职责</w:t>
      </w:r>
    </w:p>
    <w:p w14:paraId="5EC726DC">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（1）甲方应按合同约定的时间和方式及时、足额地向乙方缴纳相关费用。</w:t>
      </w:r>
    </w:p>
    <w:p w14:paraId="0106BA6C">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（2）甲方负责配合乙方开展光纤通道的建设、调试和维护工作。</w:t>
      </w:r>
    </w:p>
    <w:p w14:paraId="07AF731B">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（3）甲方为乙方无偿提供场地</w:t>
      </w:r>
      <w:r>
        <w:rPr>
          <w:rFonts w:hint="eastAsia" w:ascii="宋体" w:hAnsi="宋体" w:cs="宋体"/>
          <w:color w:val="auto"/>
          <w:spacing w:val="-4"/>
          <w:sz w:val="24"/>
          <w:szCs w:val="24"/>
          <w:highlight w:val="none"/>
          <w:lang w:val="en-US" w:eastAsia="zh-CN"/>
        </w:rPr>
        <w:t>及</w:t>
      </w:r>
      <w:r>
        <w:rPr>
          <w:rFonts w:hint="eastAsia" w:ascii="宋体" w:hAnsi="宋体" w:cs="宋体"/>
          <w:color w:val="auto"/>
          <w:spacing w:val="-4"/>
          <w:sz w:val="24"/>
          <w:szCs w:val="24"/>
          <w:highlight w:val="none"/>
          <w:lang w:val="zh-CN"/>
        </w:rPr>
        <w:t>环境。</w:t>
      </w:r>
    </w:p>
    <w:p w14:paraId="4A9CBF0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（4）甲方发现线路故障时，应立即告知乙方，并采取必要的补救措施防止损失扩大。</w:t>
      </w:r>
    </w:p>
    <w:p w14:paraId="4AFBD1C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（5）甲方有权对乙方的工作进行监督及验收确认。</w:t>
      </w:r>
    </w:p>
    <w:p w14:paraId="3126D8F3">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en-US" w:eastAsia="zh-CN"/>
        </w:rPr>
        <w:t>6</w:t>
      </w:r>
      <w:r>
        <w:rPr>
          <w:rFonts w:hint="eastAsia" w:ascii="宋体" w:hAnsi="宋体" w:cs="宋体"/>
          <w:color w:val="auto"/>
          <w:spacing w:val="-4"/>
          <w:sz w:val="24"/>
          <w:szCs w:val="24"/>
          <w:highlight w:val="none"/>
          <w:lang w:val="zh-CN"/>
        </w:rPr>
        <w:t>）</w:t>
      </w:r>
      <w:r>
        <w:rPr>
          <w:rFonts w:hint="default" w:ascii="宋体" w:hAnsi="宋体" w:eastAsia="宋体" w:cs="宋体"/>
          <w:color w:val="auto"/>
          <w:spacing w:val="-4"/>
          <w:sz w:val="24"/>
          <w:szCs w:val="24"/>
          <w:highlight w:val="none"/>
          <w:lang w:val="en-US" w:eastAsia="zh-CN"/>
        </w:rPr>
        <w:t>甲方</w:t>
      </w:r>
      <w:r>
        <w:rPr>
          <w:rFonts w:hint="eastAsia" w:ascii="宋体" w:hAnsi="宋体" w:cs="宋体"/>
          <w:color w:val="auto"/>
          <w:spacing w:val="-4"/>
          <w:sz w:val="24"/>
          <w:szCs w:val="24"/>
          <w:highlight w:val="none"/>
          <w:lang w:val="en-US" w:eastAsia="zh-CN"/>
        </w:rPr>
        <w:t>有权</w:t>
      </w:r>
      <w:r>
        <w:rPr>
          <w:rFonts w:hint="default" w:ascii="宋体" w:hAnsi="宋体" w:eastAsia="宋体" w:cs="宋体"/>
          <w:color w:val="auto"/>
          <w:spacing w:val="-4"/>
          <w:sz w:val="24"/>
          <w:szCs w:val="24"/>
          <w:highlight w:val="none"/>
          <w:lang w:val="en-US" w:eastAsia="zh-CN"/>
        </w:rPr>
        <w:t>组织</w:t>
      </w:r>
      <w:r>
        <w:rPr>
          <w:rFonts w:hint="eastAsia" w:ascii="宋体" w:hAnsi="宋体" w:eastAsia="宋体" w:cs="宋体"/>
          <w:color w:val="auto"/>
          <w:spacing w:val="-4"/>
          <w:sz w:val="24"/>
          <w:szCs w:val="24"/>
          <w:highlight w:val="none"/>
          <w:lang w:val="en-US" w:eastAsia="zh-CN"/>
        </w:rPr>
        <w:t>考核</w:t>
      </w:r>
      <w:r>
        <w:rPr>
          <w:rFonts w:hint="default" w:ascii="宋体" w:hAnsi="宋体" w:eastAsia="宋体" w:cs="宋体"/>
          <w:color w:val="auto"/>
          <w:spacing w:val="-4"/>
          <w:sz w:val="24"/>
          <w:szCs w:val="24"/>
          <w:highlight w:val="none"/>
          <w:lang w:val="en-US" w:eastAsia="zh-CN"/>
        </w:rPr>
        <w:t>，并将服务</w:t>
      </w:r>
      <w:r>
        <w:rPr>
          <w:rFonts w:hint="eastAsia" w:ascii="宋体" w:hAnsi="宋体" w:eastAsia="宋体" w:cs="宋体"/>
          <w:color w:val="auto"/>
          <w:spacing w:val="-4"/>
          <w:sz w:val="24"/>
          <w:szCs w:val="24"/>
          <w:highlight w:val="none"/>
          <w:lang w:val="en-US" w:eastAsia="zh-CN"/>
        </w:rPr>
        <w:t>考核</w:t>
      </w:r>
      <w:r>
        <w:rPr>
          <w:rFonts w:hint="default" w:ascii="宋体" w:hAnsi="宋体" w:eastAsia="宋体" w:cs="宋体"/>
          <w:color w:val="auto"/>
          <w:spacing w:val="-4"/>
          <w:sz w:val="24"/>
          <w:szCs w:val="24"/>
          <w:highlight w:val="none"/>
          <w:lang w:val="en-US" w:eastAsia="zh-CN"/>
        </w:rPr>
        <w:t>结果反馈乙方。考核不合格的，甲方有权要求乙方限期整改</w:t>
      </w:r>
      <w:r>
        <w:rPr>
          <w:rFonts w:hint="eastAsia" w:ascii="宋体" w:hAnsi="宋体" w:eastAsia="宋体" w:cs="宋体"/>
          <w:color w:val="auto"/>
          <w:spacing w:val="-4"/>
          <w:sz w:val="24"/>
          <w:szCs w:val="24"/>
          <w:highlight w:val="none"/>
          <w:lang w:val="en-US" w:eastAsia="zh-CN"/>
        </w:rPr>
        <w:t>。</w:t>
      </w:r>
    </w:p>
    <w:p w14:paraId="47E4CCD6">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2、乙方职责</w:t>
      </w:r>
    </w:p>
    <w:p w14:paraId="2B31B4E7">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en-US" w:eastAsia="zh-CN"/>
        </w:rPr>
        <w:t>1</w:t>
      </w:r>
      <w:r>
        <w:rPr>
          <w:rFonts w:hint="eastAsia" w:ascii="宋体" w:hAnsi="宋体" w:cs="宋体"/>
          <w:color w:val="auto"/>
          <w:spacing w:val="-4"/>
          <w:sz w:val="24"/>
          <w:szCs w:val="24"/>
          <w:highlight w:val="none"/>
          <w:lang w:val="zh-CN"/>
        </w:rPr>
        <w:t>）乙方必须严格按照合同</w:t>
      </w:r>
      <w:r>
        <w:rPr>
          <w:rFonts w:hint="eastAsia" w:ascii="宋体" w:hAnsi="宋体" w:cs="宋体"/>
          <w:color w:val="auto"/>
          <w:spacing w:val="-4"/>
          <w:sz w:val="24"/>
          <w:szCs w:val="24"/>
          <w:highlight w:val="none"/>
          <w:lang w:val="en-US" w:eastAsia="zh-CN"/>
        </w:rPr>
        <w:t>及响应文件</w:t>
      </w:r>
      <w:r>
        <w:rPr>
          <w:rFonts w:hint="eastAsia" w:ascii="宋体" w:hAnsi="宋体" w:cs="宋体"/>
          <w:color w:val="auto"/>
          <w:spacing w:val="-4"/>
          <w:sz w:val="24"/>
          <w:szCs w:val="24"/>
          <w:highlight w:val="none"/>
          <w:lang w:val="zh-CN"/>
        </w:rPr>
        <w:t>的服务要求，合理安排提供技术服务的进度、 高效、及时的完成本合同规定的</w:t>
      </w:r>
      <w:r>
        <w:rPr>
          <w:rFonts w:hint="eastAsia" w:ascii="宋体" w:hAnsi="宋体" w:cs="宋体"/>
          <w:color w:val="auto"/>
          <w:spacing w:val="-4"/>
          <w:sz w:val="24"/>
          <w:szCs w:val="24"/>
          <w:highlight w:val="none"/>
          <w:lang w:val="en-US" w:eastAsia="zh-CN"/>
        </w:rPr>
        <w:t>全部工作内容</w:t>
      </w:r>
      <w:r>
        <w:rPr>
          <w:rFonts w:hint="eastAsia" w:ascii="宋体" w:hAnsi="宋体" w:cs="宋体"/>
          <w:color w:val="auto"/>
          <w:spacing w:val="-4"/>
          <w:sz w:val="24"/>
          <w:szCs w:val="24"/>
          <w:highlight w:val="none"/>
          <w:lang w:val="zh-CN"/>
        </w:rPr>
        <w:t>。</w:t>
      </w:r>
    </w:p>
    <w:p w14:paraId="6F5EF2EB">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（2）乙方应按照甲方及甲方相关单位的要求及规定的线路进行施工。</w:t>
      </w:r>
    </w:p>
    <w:p w14:paraId="3BDD7F9B">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（3）乙方应严格遵守《中华人民共和国电信条例》和《电信服务规范》的线路质量要求，保障租用线路畅通。</w:t>
      </w:r>
    </w:p>
    <w:p w14:paraId="23D4644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（4）乙方遇线路升速时，应采取安全、合理的技术方案，完善的协调保障措施，并以书面的形式提交甲方，经甲方确认后实施，实施过程中确保平滑过渡。</w:t>
      </w:r>
    </w:p>
    <w:p w14:paraId="41F01856">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（5）乙方施工、网络割接等原因影响租用线路正常使用的，乙方应当提前通知甲方，并尽快消除故障，恢复通信线路。</w:t>
      </w:r>
    </w:p>
    <w:p w14:paraId="7A0B063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color w:val="auto"/>
          <w:spacing w:val="-4"/>
          <w:sz w:val="24"/>
          <w:szCs w:val="24"/>
          <w:highlight w:val="none"/>
          <w:lang w:val="zh-CN" w:eastAsia="zh-CN"/>
        </w:rPr>
      </w:pPr>
      <w:r>
        <w:rPr>
          <w:rFonts w:hint="eastAsia" w:ascii="宋体" w:hAnsi="宋体" w:cs="宋体"/>
          <w:b/>
          <w:bCs/>
          <w:color w:val="auto"/>
          <w:spacing w:val="-4"/>
          <w:sz w:val="24"/>
          <w:szCs w:val="24"/>
          <w:highlight w:val="none"/>
          <w:lang w:val="zh-CN" w:eastAsia="zh-CN"/>
        </w:rPr>
        <w:t>八、违约责任</w:t>
      </w:r>
    </w:p>
    <w:p w14:paraId="64A4E18E">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在合同实施过程中，乙方应按要求提供开通、保障、维护等服务，甲方按年对乙方的服务进行考核，若乙方未按磋商响应文件中的承诺及合同要求提供服务，甲方将提出限期整改要求，乙方应根据要求及时整改。若乙方未按要求进行整改或经整改仍不能符合磋商文件及合同要求的，甲方有权单方面终止合同，并有权要求乙方退还甲方支付的当年费用，因乙方原因导致的损失，由乙方另行承担赔偿责任。</w:t>
      </w:r>
    </w:p>
    <w:p w14:paraId="53A4277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zh-CN" w:eastAsia="zh-CN"/>
        </w:rPr>
        <w:t>九、</w:t>
      </w:r>
      <w:r>
        <w:rPr>
          <w:rFonts w:hint="eastAsia" w:ascii="宋体" w:hAnsi="宋体" w:cs="宋体"/>
          <w:b/>
          <w:bCs/>
          <w:color w:val="auto"/>
          <w:spacing w:val="-4"/>
          <w:sz w:val="24"/>
          <w:szCs w:val="24"/>
          <w:highlight w:val="none"/>
          <w:lang w:val="en-US" w:eastAsia="zh-CN"/>
        </w:rPr>
        <w:t>争议解决</w:t>
      </w:r>
    </w:p>
    <w:p w14:paraId="2D21D66C">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双方应首先通过友好协商解决，如果协商不成，任何一方可向甲方所在地有管辖权的人民法院提起诉讼。</w:t>
      </w:r>
    </w:p>
    <w:p w14:paraId="1A5DEE8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ascii="宋体" w:hAnsi="宋体" w:cs="宋体"/>
          <w:b/>
          <w:bCs/>
          <w:color w:val="auto"/>
          <w:spacing w:val="-4"/>
          <w:sz w:val="24"/>
          <w:szCs w:val="24"/>
          <w:highlight w:val="none"/>
          <w:lang w:val="en-US" w:eastAsia="zh-CN"/>
        </w:rPr>
      </w:pPr>
      <w:r>
        <w:rPr>
          <w:rFonts w:hint="eastAsia" w:ascii="宋体" w:hAnsi="宋体" w:cs="宋体"/>
          <w:b/>
          <w:bCs/>
          <w:color w:val="auto"/>
          <w:spacing w:val="-4"/>
          <w:sz w:val="24"/>
          <w:szCs w:val="24"/>
          <w:highlight w:val="none"/>
          <w:lang w:val="en-US" w:eastAsia="zh-CN"/>
        </w:rPr>
        <w:t>十、</w:t>
      </w:r>
      <w:r>
        <w:rPr>
          <w:rFonts w:hint="eastAsia" w:ascii="宋体" w:hAnsi="宋体" w:cs="宋体"/>
          <w:b/>
          <w:bCs/>
          <w:color w:val="auto"/>
          <w:spacing w:val="-4"/>
          <w:sz w:val="24"/>
          <w:szCs w:val="24"/>
          <w:highlight w:val="none"/>
          <w:lang w:val="zh-CN" w:eastAsia="zh-CN"/>
        </w:rPr>
        <w:t>合同生效</w:t>
      </w:r>
      <w:r>
        <w:rPr>
          <w:rFonts w:hint="eastAsia" w:ascii="宋体" w:hAnsi="宋体" w:cs="宋体"/>
          <w:b/>
          <w:bCs/>
          <w:color w:val="auto"/>
          <w:spacing w:val="-4"/>
          <w:sz w:val="24"/>
          <w:szCs w:val="24"/>
          <w:highlight w:val="none"/>
          <w:lang w:val="en-US" w:eastAsia="zh-CN"/>
        </w:rPr>
        <w:t>及其他</w:t>
      </w:r>
    </w:p>
    <w:bookmarkEnd w:id="3"/>
    <w:p w14:paraId="2B07020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 xml:space="preserve">（一）本合同自签订之日起生效。 </w:t>
      </w:r>
    </w:p>
    <w:p w14:paraId="65866612">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 xml:space="preserve">（二）合同份数由甲方和成交乙方具体商定。 </w:t>
      </w:r>
    </w:p>
    <w:p w14:paraId="530F464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（三）未尽事宜由双方在签订合同时具体明确。</w:t>
      </w:r>
    </w:p>
    <w:p w14:paraId="3334E499">
      <w:pPr>
        <w:keepNext w:val="0"/>
        <w:keepLines w:val="0"/>
        <w:pageBreakBefore w:val="0"/>
        <w:widowControl w:val="0"/>
        <w:kinsoku/>
        <w:wordWrap/>
        <w:overflowPunct/>
        <w:topLinePunct w:val="0"/>
        <w:autoSpaceDE/>
        <w:autoSpaceDN/>
        <w:bidi w:val="0"/>
        <w:adjustRightInd w:val="0"/>
        <w:snapToGrid/>
        <w:spacing w:line="360" w:lineRule="auto"/>
        <w:ind w:firstLine="544" w:firstLineChars="200"/>
        <w:textAlignment w:val="auto"/>
        <w:rPr>
          <w:rFonts w:hint="eastAsia" w:ascii="宋体" w:hAnsi="宋体" w:cs="宋体"/>
          <w:color w:val="auto"/>
          <w:spacing w:val="-4"/>
          <w:sz w:val="28"/>
          <w:szCs w:val="28"/>
          <w:highlight w:val="none"/>
          <w:lang w:val="en-US" w:eastAsia="zh-CN"/>
        </w:rPr>
      </w:pPr>
    </w:p>
    <w:p w14:paraId="63AD3FED">
      <w:pPr>
        <w:keepNext w:val="0"/>
        <w:keepLines w:val="0"/>
        <w:pageBreakBefore w:val="0"/>
        <w:widowControl w:val="0"/>
        <w:kinsoku/>
        <w:wordWrap/>
        <w:overflowPunct/>
        <w:topLinePunct w:val="0"/>
        <w:autoSpaceDE/>
        <w:autoSpaceDN/>
        <w:bidi w:val="0"/>
        <w:adjustRightInd w:val="0"/>
        <w:snapToGrid/>
        <w:spacing w:line="360" w:lineRule="auto"/>
        <w:ind w:firstLine="544" w:firstLineChars="200"/>
        <w:textAlignment w:val="auto"/>
        <w:rPr>
          <w:rFonts w:hint="eastAsia" w:ascii="宋体" w:hAnsi="宋体" w:cs="宋体"/>
          <w:color w:val="auto"/>
          <w:spacing w:val="-4"/>
          <w:sz w:val="28"/>
          <w:szCs w:val="28"/>
          <w:highlight w:val="none"/>
          <w:lang w:val="en-US" w:eastAsia="zh-CN"/>
        </w:rPr>
      </w:pPr>
    </w:p>
    <w:p w14:paraId="490C41BA">
      <w:pPr>
        <w:keepNext w:val="0"/>
        <w:keepLines w:val="0"/>
        <w:pageBreakBefore w:val="0"/>
        <w:widowControl w:val="0"/>
        <w:kinsoku/>
        <w:wordWrap/>
        <w:overflowPunct/>
        <w:topLinePunct w:val="0"/>
        <w:autoSpaceDE/>
        <w:autoSpaceDN/>
        <w:bidi w:val="0"/>
        <w:adjustRightInd w:val="0"/>
        <w:snapToGrid/>
        <w:spacing w:line="360" w:lineRule="auto"/>
        <w:ind w:firstLine="544" w:firstLineChars="200"/>
        <w:textAlignment w:val="auto"/>
        <w:rPr>
          <w:rFonts w:hint="eastAsia" w:ascii="宋体" w:hAnsi="宋体" w:cs="宋体"/>
          <w:color w:val="auto"/>
          <w:spacing w:val="-4"/>
          <w:sz w:val="28"/>
          <w:szCs w:val="28"/>
          <w:highlight w:val="none"/>
          <w:lang w:val="en-US" w:eastAsia="zh-CN"/>
        </w:rPr>
      </w:pPr>
    </w:p>
    <w:p w14:paraId="60AA61F0">
      <w:pPr>
        <w:rPr>
          <w:rFonts w:hint="eastAsia" w:ascii="宋体" w:hAnsi="宋体" w:cs="宋体"/>
          <w:b/>
          <w:bCs/>
          <w:color w:val="auto"/>
          <w:spacing w:val="-4"/>
          <w:sz w:val="28"/>
          <w:szCs w:val="28"/>
          <w:highlight w:val="none"/>
          <w:lang w:val="zh-CN" w:eastAsia="zh-CN"/>
        </w:rPr>
      </w:pPr>
      <w:r>
        <w:rPr>
          <w:rFonts w:hint="eastAsia" w:ascii="宋体" w:hAnsi="宋体" w:cs="宋体"/>
          <w:b/>
          <w:bCs/>
          <w:color w:val="auto"/>
          <w:spacing w:val="-4"/>
          <w:sz w:val="28"/>
          <w:szCs w:val="28"/>
          <w:highlight w:val="none"/>
          <w:lang w:val="zh-CN" w:eastAsia="zh-CN"/>
        </w:rPr>
        <w:br w:type="page"/>
      </w:r>
    </w:p>
    <w:p w14:paraId="4C60EA6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bCs/>
          <w:color w:val="auto"/>
          <w:spacing w:val="-4"/>
          <w:sz w:val="28"/>
          <w:szCs w:val="28"/>
          <w:highlight w:val="none"/>
          <w:lang w:val="zh-CN" w:eastAsia="zh-CN"/>
        </w:rPr>
      </w:pPr>
      <w:r>
        <w:rPr>
          <w:rFonts w:hint="eastAsia" w:ascii="宋体" w:hAnsi="宋体" w:cs="宋体"/>
          <w:b/>
          <w:bCs/>
          <w:color w:val="auto"/>
          <w:spacing w:val="-4"/>
          <w:sz w:val="28"/>
          <w:szCs w:val="28"/>
          <w:highlight w:val="none"/>
          <w:lang w:val="zh-CN" w:eastAsia="zh-CN"/>
        </w:rPr>
        <w:t>附件：考核表</w:t>
      </w:r>
    </w:p>
    <w:tbl>
      <w:tblPr>
        <w:tblStyle w:val="17"/>
        <w:tblW w:w="8495" w:type="dxa"/>
        <w:jc w:val="center"/>
        <w:tblLayout w:type="fixed"/>
        <w:tblCellMar>
          <w:top w:w="0" w:type="dxa"/>
          <w:left w:w="108" w:type="dxa"/>
          <w:bottom w:w="0" w:type="dxa"/>
          <w:right w:w="108" w:type="dxa"/>
        </w:tblCellMar>
      </w:tblPr>
      <w:tblGrid>
        <w:gridCol w:w="1407"/>
        <w:gridCol w:w="4066"/>
        <w:gridCol w:w="1567"/>
        <w:gridCol w:w="795"/>
        <w:gridCol w:w="660"/>
      </w:tblGrid>
      <w:tr w14:paraId="72EB65E2">
        <w:tblPrEx>
          <w:tblCellMar>
            <w:top w:w="0" w:type="dxa"/>
            <w:left w:w="108" w:type="dxa"/>
            <w:bottom w:w="0" w:type="dxa"/>
            <w:right w:w="108" w:type="dxa"/>
          </w:tblCellMar>
        </w:tblPrEx>
        <w:trPr>
          <w:trHeight w:val="460" w:hRule="atLeast"/>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3D0C6095">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考核周期</w:t>
            </w:r>
          </w:p>
        </w:tc>
        <w:tc>
          <w:tcPr>
            <w:tcW w:w="4066" w:type="dxa"/>
            <w:tcBorders>
              <w:top w:val="single" w:color="000000" w:sz="4" w:space="0"/>
              <w:left w:val="single" w:color="000000" w:sz="4" w:space="0"/>
              <w:bottom w:val="single" w:color="000000" w:sz="4" w:space="0"/>
              <w:right w:val="single" w:color="000000" w:sz="4" w:space="0"/>
            </w:tcBorders>
            <w:noWrap/>
            <w:vAlign w:val="center"/>
          </w:tcPr>
          <w:p w14:paraId="1EE209B3">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年   月-    年  月</w:t>
            </w:r>
          </w:p>
        </w:tc>
        <w:tc>
          <w:tcPr>
            <w:tcW w:w="3022" w:type="dxa"/>
            <w:gridSpan w:val="3"/>
            <w:tcBorders>
              <w:top w:val="single" w:color="000000" w:sz="4" w:space="0"/>
              <w:left w:val="single" w:color="000000" w:sz="4" w:space="0"/>
              <w:bottom w:val="single" w:color="000000" w:sz="4" w:space="0"/>
              <w:right w:val="single" w:color="000000" w:sz="4" w:space="0"/>
            </w:tcBorders>
            <w:noWrap/>
            <w:vAlign w:val="center"/>
          </w:tcPr>
          <w:p w14:paraId="2FFC08D3">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考核分值</w:t>
            </w:r>
          </w:p>
        </w:tc>
      </w:tr>
      <w:tr w14:paraId="57C38E68">
        <w:tblPrEx>
          <w:tblCellMar>
            <w:top w:w="0" w:type="dxa"/>
            <w:left w:w="108" w:type="dxa"/>
            <w:bottom w:w="0" w:type="dxa"/>
            <w:right w:w="108" w:type="dxa"/>
          </w:tblCellMar>
        </w:tblPrEx>
        <w:trPr>
          <w:trHeight w:val="444" w:hRule="atLeast"/>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4BB08A22">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考核项目</w:t>
            </w:r>
          </w:p>
        </w:tc>
        <w:tc>
          <w:tcPr>
            <w:tcW w:w="4066" w:type="dxa"/>
            <w:tcBorders>
              <w:top w:val="single" w:color="000000" w:sz="4" w:space="0"/>
              <w:left w:val="single" w:color="000000" w:sz="4" w:space="0"/>
              <w:bottom w:val="single" w:color="000000" w:sz="4" w:space="0"/>
              <w:right w:val="single" w:color="000000" w:sz="4" w:space="0"/>
            </w:tcBorders>
            <w:noWrap/>
            <w:vAlign w:val="center"/>
          </w:tcPr>
          <w:p w14:paraId="4EB01E15">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考核内容</w:t>
            </w:r>
          </w:p>
        </w:tc>
        <w:tc>
          <w:tcPr>
            <w:tcW w:w="1567" w:type="dxa"/>
            <w:tcBorders>
              <w:top w:val="single" w:color="000000" w:sz="4" w:space="0"/>
              <w:left w:val="single" w:color="000000" w:sz="4" w:space="0"/>
              <w:bottom w:val="single" w:color="000000" w:sz="4" w:space="0"/>
              <w:right w:val="single" w:color="000000" w:sz="4" w:space="0"/>
            </w:tcBorders>
            <w:noWrap/>
            <w:vAlign w:val="center"/>
          </w:tcPr>
          <w:p w14:paraId="61C83C6E">
            <w:pPr>
              <w:snapToGrid w:val="0"/>
              <w:jc w:val="center"/>
              <w:textAlignment w:val="center"/>
              <w:rPr>
                <w:rFonts w:hint="eastAsia" w:ascii="宋体" w:hAnsi="宋体" w:eastAsia="宋体" w:cs="宋体"/>
                <w:b/>
                <w:bCs/>
                <w:color w:val="000000"/>
                <w:lang w:bidi="ar"/>
              </w:rPr>
            </w:pPr>
            <w:r>
              <w:rPr>
                <w:rFonts w:hint="eastAsia" w:ascii="宋体" w:hAnsi="宋体" w:eastAsia="宋体" w:cs="宋体"/>
                <w:b/>
                <w:bCs/>
                <w:color w:val="000000"/>
                <w:lang w:bidi="ar"/>
              </w:rPr>
              <w:t>分值</w:t>
            </w:r>
          </w:p>
          <w:p w14:paraId="557EDC67">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（满分100分）</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7EDA2DE9">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评分</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13204353">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备注</w:t>
            </w:r>
          </w:p>
        </w:tc>
      </w:tr>
      <w:tr w14:paraId="3017B615">
        <w:tblPrEx>
          <w:tblCellMar>
            <w:top w:w="0" w:type="dxa"/>
            <w:left w:w="108" w:type="dxa"/>
            <w:bottom w:w="0" w:type="dxa"/>
            <w:right w:w="108" w:type="dxa"/>
          </w:tblCellMar>
        </w:tblPrEx>
        <w:trPr>
          <w:trHeight w:val="444" w:hRule="atLeast"/>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00A236A3">
            <w:pPr>
              <w:snapToGrid w:val="0"/>
              <w:jc w:val="center"/>
              <w:textAlignment w:val="center"/>
              <w:rPr>
                <w:rFonts w:hint="eastAsia" w:ascii="宋体" w:hAnsi="宋体" w:eastAsia="宋体" w:cs="宋体"/>
                <w:b w:val="0"/>
                <w:bCs w:val="0"/>
                <w:color w:val="000000"/>
                <w:lang w:eastAsia="zh-CN" w:bidi="ar"/>
              </w:rPr>
            </w:pPr>
            <w:r>
              <w:rPr>
                <w:rFonts w:hint="eastAsia" w:ascii="宋体" w:hAnsi="宋体" w:cs="宋体"/>
                <w:b w:val="0"/>
                <w:bCs w:val="0"/>
                <w:color w:val="000000"/>
                <w:lang w:eastAsia="zh-CN" w:bidi="ar"/>
              </w:rPr>
              <w:t>网络可用性</w:t>
            </w:r>
          </w:p>
        </w:tc>
        <w:tc>
          <w:tcPr>
            <w:tcW w:w="4066" w:type="dxa"/>
            <w:tcBorders>
              <w:top w:val="single" w:color="000000" w:sz="4" w:space="0"/>
              <w:left w:val="single" w:color="000000" w:sz="4" w:space="0"/>
              <w:bottom w:val="single" w:color="000000" w:sz="4" w:space="0"/>
              <w:right w:val="single" w:color="000000" w:sz="4" w:space="0"/>
            </w:tcBorders>
            <w:noWrap/>
            <w:vAlign w:val="center"/>
          </w:tcPr>
          <w:p w14:paraId="386A5F54">
            <w:pPr>
              <w:snapToGrid w:val="0"/>
              <w:jc w:val="left"/>
              <w:textAlignment w:val="center"/>
              <w:rPr>
                <w:rFonts w:hint="default" w:ascii="宋体" w:hAnsi="宋体" w:eastAsia="宋体" w:cs="宋体"/>
                <w:b w:val="0"/>
                <w:bCs w:val="0"/>
                <w:color w:val="000000"/>
                <w:lang w:val="en-US" w:eastAsia="zh-CN" w:bidi="ar"/>
              </w:rPr>
            </w:pPr>
            <w:r>
              <w:rPr>
                <w:rFonts w:hint="eastAsia" w:ascii="宋体" w:hAnsi="宋体" w:cs="宋体"/>
                <w:b w:val="0"/>
                <w:bCs w:val="0"/>
                <w:color w:val="000000"/>
                <w:lang w:eastAsia="zh-CN" w:bidi="ar"/>
              </w:rPr>
              <w:t>是否按照承诺时间开通线路；全年网络通畅率是否达到</w:t>
            </w:r>
            <w:r>
              <w:rPr>
                <w:rFonts w:hint="eastAsia" w:ascii="宋体" w:hAnsi="宋体" w:cs="宋体"/>
                <w:b w:val="0"/>
                <w:bCs w:val="0"/>
                <w:color w:val="000000"/>
                <w:lang w:val="en-US" w:eastAsia="zh-CN" w:bidi="ar"/>
              </w:rPr>
              <w:t>99%及以上，每低于一个百分点，扣除5分（网络通畅率计算公式详见备注，此外因市政施工或重大自然灾害如地震、洪水等导致的线路中断不计入考核）。</w:t>
            </w:r>
            <w:r>
              <w:rPr>
                <w:rFonts w:hint="eastAsia" w:ascii="宋体" w:hAnsi="宋体" w:eastAsia="宋体" w:cs="宋体"/>
                <w:color w:val="000000"/>
              </w:rPr>
              <w:t>综合考量，得0-</w:t>
            </w:r>
            <w:r>
              <w:rPr>
                <w:rFonts w:hint="eastAsia" w:ascii="宋体" w:hAnsi="宋体" w:cs="宋体"/>
                <w:color w:val="000000"/>
                <w:lang w:val="en-US" w:eastAsia="zh-CN"/>
              </w:rPr>
              <w:t>3</w:t>
            </w:r>
            <w:r>
              <w:rPr>
                <w:rFonts w:hint="eastAsia" w:ascii="宋体" w:hAnsi="宋体" w:eastAsia="宋体" w:cs="宋体"/>
                <w:color w:val="000000"/>
              </w:rPr>
              <w:t>0分。</w:t>
            </w:r>
          </w:p>
        </w:tc>
        <w:tc>
          <w:tcPr>
            <w:tcW w:w="1567" w:type="dxa"/>
            <w:tcBorders>
              <w:top w:val="single" w:color="000000" w:sz="4" w:space="0"/>
              <w:left w:val="single" w:color="000000" w:sz="4" w:space="0"/>
              <w:bottom w:val="single" w:color="000000" w:sz="4" w:space="0"/>
              <w:right w:val="single" w:color="000000" w:sz="4" w:space="0"/>
            </w:tcBorders>
            <w:noWrap/>
            <w:vAlign w:val="center"/>
          </w:tcPr>
          <w:p w14:paraId="0220BD99">
            <w:pPr>
              <w:snapToGrid w:val="0"/>
              <w:jc w:val="center"/>
              <w:textAlignment w:val="center"/>
              <w:rPr>
                <w:rFonts w:hint="default" w:ascii="宋体" w:hAnsi="宋体" w:eastAsia="宋体" w:cs="宋体"/>
                <w:b w:val="0"/>
                <w:bCs w:val="0"/>
                <w:color w:val="000000"/>
                <w:lang w:val="en-US" w:eastAsia="zh-CN" w:bidi="ar"/>
              </w:rPr>
            </w:pPr>
            <w:r>
              <w:rPr>
                <w:rFonts w:hint="eastAsia" w:ascii="宋体" w:hAnsi="宋体" w:cs="宋体"/>
                <w:b w:val="0"/>
                <w:bCs w:val="0"/>
                <w:color w:val="000000"/>
                <w:lang w:val="en-US" w:eastAsia="zh-CN" w:bidi="ar"/>
              </w:rPr>
              <w:t>30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7E076E64">
            <w:pPr>
              <w:snapToGrid w:val="0"/>
              <w:jc w:val="center"/>
              <w:textAlignment w:val="center"/>
              <w:rPr>
                <w:rFonts w:hint="eastAsia" w:ascii="宋体" w:hAnsi="宋体" w:eastAsia="宋体" w:cs="宋体"/>
                <w:b w:val="0"/>
                <w:bCs w:val="0"/>
                <w:color w:val="000000"/>
                <w:lang w:bidi="ar"/>
              </w:rPr>
            </w:pP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63886936">
            <w:pPr>
              <w:snapToGrid w:val="0"/>
              <w:jc w:val="center"/>
              <w:textAlignment w:val="center"/>
              <w:rPr>
                <w:rFonts w:hint="eastAsia" w:ascii="宋体" w:hAnsi="宋体" w:eastAsia="宋体" w:cs="宋体"/>
                <w:b w:val="0"/>
                <w:bCs w:val="0"/>
                <w:color w:val="000000"/>
                <w:lang w:bidi="ar"/>
              </w:rPr>
            </w:pPr>
          </w:p>
        </w:tc>
      </w:tr>
      <w:tr w14:paraId="71492BF5">
        <w:tblPrEx>
          <w:tblCellMar>
            <w:top w:w="0" w:type="dxa"/>
            <w:left w:w="108" w:type="dxa"/>
            <w:bottom w:w="0" w:type="dxa"/>
            <w:right w:w="108" w:type="dxa"/>
          </w:tblCellMar>
        </w:tblPrEx>
        <w:trPr>
          <w:trHeight w:val="444" w:hRule="atLeast"/>
          <w:jc w:val="center"/>
        </w:trPr>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5874C">
            <w:pPr>
              <w:snapToGrid w:val="0"/>
              <w:jc w:val="center"/>
              <w:textAlignment w:val="center"/>
              <w:rPr>
                <w:rFonts w:hint="eastAsia" w:ascii="宋体" w:hAnsi="宋体" w:eastAsia="宋体" w:cs="宋体"/>
                <w:color w:val="000000"/>
                <w:kern w:val="2"/>
                <w:sz w:val="21"/>
                <w:lang w:val="en-US" w:eastAsia="zh-CN" w:bidi="ar-SA"/>
              </w:rPr>
            </w:pPr>
            <w:r>
              <w:rPr>
                <w:rFonts w:hint="eastAsia" w:ascii="宋体" w:hAnsi="宋体" w:eastAsia="宋体" w:cs="宋体"/>
                <w:color w:val="000000"/>
              </w:rPr>
              <w:t>故障处置与应急响应</w:t>
            </w:r>
          </w:p>
        </w:tc>
        <w:tc>
          <w:tcPr>
            <w:tcW w:w="4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38778">
            <w:pPr>
              <w:snapToGrid w:val="0"/>
              <w:jc w:val="both"/>
              <w:textAlignment w:val="center"/>
              <w:rPr>
                <w:rFonts w:hint="eastAsia" w:ascii="宋体" w:hAnsi="宋体" w:eastAsia="宋体" w:cs="宋体"/>
                <w:color w:val="000000"/>
                <w:kern w:val="2"/>
                <w:sz w:val="21"/>
                <w:lang w:val="en-US" w:eastAsia="zh-CN" w:bidi="ar-SA"/>
              </w:rPr>
            </w:pPr>
            <w:r>
              <w:rPr>
                <w:rFonts w:hint="eastAsia" w:ascii="宋体" w:hAnsi="宋体" w:eastAsia="宋体" w:cs="宋体"/>
                <w:color w:val="000000"/>
              </w:rPr>
              <w:t>全年故障响应及处理是否及时</w:t>
            </w:r>
            <w:r>
              <w:rPr>
                <w:rFonts w:hint="eastAsia" w:ascii="宋体" w:hAnsi="宋体" w:eastAsia="宋体" w:cs="宋体"/>
                <w:color w:val="000000"/>
                <w:lang w:eastAsia="zh-CN"/>
              </w:rPr>
              <w:t>，</w:t>
            </w:r>
            <w:r>
              <w:rPr>
                <w:rFonts w:hint="eastAsia" w:ascii="宋体" w:hAnsi="宋体" w:eastAsia="宋体" w:cs="宋体"/>
                <w:color w:val="000000"/>
              </w:rPr>
              <w:t>是否提供7×24小时</w:t>
            </w:r>
            <w:r>
              <w:rPr>
                <w:rFonts w:hint="eastAsia" w:ascii="宋体" w:hAnsi="宋体" w:eastAsia="宋体" w:cs="宋体"/>
                <w:color w:val="000000"/>
                <w:lang w:eastAsia="zh-CN"/>
              </w:rPr>
              <w:t>故障申告受理</w:t>
            </w:r>
            <w:r>
              <w:rPr>
                <w:rFonts w:hint="eastAsia" w:ascii="宋体" w:hAnsi="宋体" w:eastAsia="宋体" w:cs="宋体"/>
                <w:color w:val="000000"/>
              </w:rPr>
              <w:t>；重大故障是否在约定时限内到场</w:t>
            </w:r>
            <w:r>
              <w:rPr>
                <w:rFonts w:hint="eastAsia" w:ascii="宋体" w:hAnsi="宋体" w:eastAsia="宋体" w:cs="宋体"/>
                <w:color w:val="000000"/>
                <w:lang w:eastAsia="zh-CN"/>
              </w:rPr>
              <w:t>，</w:t>
            </w:r>
            <w:r>
              <w:rPr>
                <w:rFonts w:hint="eastAsia" w:ascii="宋体" w:hAnsi="宋体" w:eastAsia="宋体" w:cs="宋体"/>
                <w:color w:val="000000"/>
              </w:rPr>
              <w:t>解决</w:t>
            </w:r>
            <w:r>
              <w:rPr>
                <w:rFonts w:hint="eastAsia" w:ascii="宋体" w:hAnsi="宋体" w:eastAsia="宋体" w:cs="宋体"/>
                <w:color w:val="000000"/>
                <w:lang w:eastAsia="zh-CN"/>
              </w:rPr>
              <w:t>故障问题，恢复通信线路，一般施工原则上</w:t>
            </w:r>
            <w:r>
              <w:rPr>
                <w:rFonts w:hint="eastAsia" w:ascii="宋体" w:hAnsi="宋体" w:eastAsia="宋体" w:cs="宋体"/>
                <w:color w:val="000000"/>
                <w:lang w:val="en-US" w:eastAsia="zh-CN"/>
              </w:rPr>
              <w:t>12小时内恢复通信线路，重大施工原则上48小时内恢复通讯线路</w:t>
            </w:r>
            <w:r>
              <w:rPr>
                <w:rFonts w:hint="eastAsia" w:ascii="宋体" w:hAnsi="宋体" w:eastAsia="宋体" w:cs="宋体"/>
                <w:color w:val="000000"/>
              </w:rPr>
              <w:t>。综合考量，得0-20分。</w:t>
            </w:r>
          </w:p>
        </w:tc>
        <w:tc>
          <w:tcPr>
            <w:tcW w:w="1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91C7E">
            <w:pPr>
              <w:snapToGrid w:val="0"/>
              <w:jc w:val="center"/>
              <w:textAlignment w:val="center"/>
              <w:rPr>
                <w:rFonts w:hint="eastAsia" w:ascii="宋体" w:hAnsi="宋体" w:eastAsia="宋体" w:cs="宋体"/>
                <w:color w:val="000000"/>
                <w:kern w:val="2"/>
                <w:sz w:val="21"/>
                <w:lang w:val="en-US" w:eastAsia="zh-CN" w:bidi="ar-SA"/>
              </w:rPr>
            </w:pPr>
            <w:r>
              <w:rPr>
                <w:rFonts w:hint="eastAsia" w:ascii="宋体" w:hAnsi="宋体" w:eastAsia="宋体" w:cs="宋体"/>
                <w:color w:val="000000"/>
              </w:rPr>
              <w:t>20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DB05D69">
            <w:pPr>
              <w:snapToGrid w:val="0"/>
              <w:jc w:val="center"/>
              <w:textAlignment w:val="center"/>
              <w:rPr>
                <w:rFonts w:hint="eastAsia" w:ascii="宋体" w:hAnsi="宋体" w:eastAsia="宋体" w:cs="宋体"/>
                <w:b w:val="0"/>
                <w:bCs w:val="0"/>
                <w:color w:val="000000"/>
                <w:lang w:bidi="ar"/>
              </w:rPr>
            </w:pP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1FB65DDF">
            <w:pPr>
              <w:snapToGrid w:val="0"/>
              <w:jc w:val="center"/>
              <w:textAlignment w:val="center"/>
              <w:rPr>
                <w:rFonts w:hint="eastAsia" w:ascii="宋体" w:hAnsi="宋体" w:eastAsia="宋体" w:cs="宋体"/>
                <w:b w:val="0"/>
                <w:bCs w:val="0"/>
                <w:color w:val="000000"/>
                <w:lang w:bidi="ar"/>
              </w:rPr>
            </w:pPr>
          </w:p>
        </w:tc>
      </w:tr>
      <w:tr w14:paraId="30272BF0">
        <w:tblPrEx>
          <w:tblCellMar>
            <w:top w:w="0" w:type="dxa"/>
            <w:left w:w="108" w:type="dxa"/>
            <w:bottom w:w="0" w:type="dxa"/>
            <w:right w:w="108" w:type="dxa"/>
          </w:tblCellMar>
        </w:tblPrEx>
        <w:trPr>
          <w:trHeight w:val="1066" w:hRule="atLeast"/>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0593A315">
            <w:pPr>
              <w:snapToGrid w:val="0"/>
              <w:jc w:val="center"/>
              <w:textAlignment w:val="center"/>
              <w:rPr>
                <w:rFonts w:hint="eastAsia" w:ascii="宋体" w:hAnsi="宋体" w:cs="宋体"/>
                <w:b w:val="0"/>
                <w:bCs w:val="0"/>
                <w:color w:val="000000"/>
                <w:lang w:eastAsia="zh-CN" w:bidi="ar"/>
              </w:rPr>
            </w:pPr>
            <w:r>
              <w:rPr>
                <w:rFonts w:hint="eastAsia" w:ascii="宋体" w:hAnsi="宋体" w:eastAsia="宋体" w:cs="宋体"/>
                <w:color w:val="000000"/>
              </w:rPr>
              <w:t>日常巡检与预防性维护</w:t>
            </w:r>
          </w:p>
        </w:tc>
        <w:tc>
          <w:tcPr>
            <w:tcW w:w="4066" w:type="dxa"/>
            <w:tcBorders>
              <w:top w:val="single" w:color="000000" w:sz="4" w:space="0"/>
              <w:left w:val="single" w:color="000000" w:sz="4" w:space="0"/>
              <w:bottom w:val="single" w:color="000000" w:sz="4" w:space="0"/>
              <w:right w:val="single" w:color="000000" w:sz="4" w:space="0"/>
            </w:tcBorders>
            <w:noWrap/>
            <w:vAlign w:val="center"/>
          </w:tcPr>
          <w:p w14:paraId="183FCE41">
            <w:pPr>
              <w:snapToGrid w:val="0"/>
              <w:jc w:val="both"/>
              <w:textAlignment w:val="center"/>
              <w:rPr>
                <w:rFonts w:hint="eastAsia" w:ascii="宋体" w:hAnsi="宋体" w:cs="宋体"/>
                <w:b w:val="0"/>
                <w:bCs w:val="0"/>
                <w:color w:val="000000"/>
                <w:lang w:eastAsia="zh-CN" w:bidi="ar"/>
              </w:rPr>
            </w:pPr>
            <w:r>
              <w:rPr>
                <w:rFonts w:hint="eastAsia" w:ascii="宋体" w:hAnsi="宋体" w:eastAsia="宋体" w:cs="宋体"/>
                <w:color w:val="000000"/>
              </w:rPr>
              <w:t>是否按计划</w:t>
            </w:r>
            <w:r>
              <w:rPr>
                <w:rFonts w:hint="eastAsia" w:ascii="宋体" w:hAnsi="宋体" w:eastAsia="宋体" w:cs="宋体"/>
                <w:color w:val="000000"/>
                <w:lang w:eastAsia="zh-CN"/>
              </w:rPr>
              <w:t>对线路及相关设备进行维护</w:t>
            </w:r>
            <w:r>
              <w:rPr>
                <w:rFonts w:hint="eastAsia" w:ascii="宋体" w:hAnsi="宋体" w:eastAsia="宋体" w:cs="宋体"/>
                <w:color w:val="000000"/>
              </w:rPr>
              <w:t>，</w:t>
            </w:r>
            <w:r>
              <w:rPr>
                <w:rFonts w:hint="eastAsia" w:ascii="宋体" w:hAnsi="宋体" w:eastAsia="宋体" w:cs="宋体"/>
                <w:color w:val="000000"/>
                <w:lang w:eastAsia="zh-CN"/>
              </w:rPr>
              <w:t>维护检查</w:t>
            </w:r>
            <w:r>
              <w:rPr>
                <w:rFonts w:hint="eastAsia" w:ascii="宋体" w:hAnsi="宋体" w:eastAsia="宋体" w:cs="宋体"/>
                <w:color w:val="000000"/>
              </w:rPr>
              <w:t>记录是否完整；是否</w:t>
            </w:r>
            <w:r>
              <w:rPr>
                <w:rFonts w:hint="eastAsia" w:ascii="宋体" w:hAnsi="宋体" w:eastAsia="宋体" w:cs="宋体"/>
                <w:color w:val="000000"/>
                <w:lang w:eastAsia="zh-CN"/>
              </w:rPr>
              <w:t>按要求定期进行网络运行状况检测，并提供网络运行情况报告</w:t>
            </w:r>
            <w:r>
              <w:rPr>
                <w:rFonts w:hint="eastAsia" w:ascii="宋体" w:hAnsi="宋体" w:eastAsia="宋体" w:cs="宋体"/>
                <w:color w:val="000000"/>
              </w:rPr>
              <w:t>。综合考量，得0-</w:t>
            </w:r>
            <w:r>
              <w:rPr>
                <w:rFonts w:hint="eastAsia" w:ascii="宋体" w:hAnsi="宋体" w:cs="宋体"/>
                <w:color w:val="000000"/>
                <w:lang w:val="en-US" w:eastAsia="zh-CN"/>
              </w:rPr>
              <w:t>3</w:t>
            </w:r>
            <w:r>
              <w:rPr>
                <w:rFonts w:hint="eastAsia" w:ascii="宋体" w:hAnsi="宋体" w:eastAsia="宋体" w:cs="宋体"/>
                <w:color w:val="000000"/>
              </w:rPr>
              <w:t>0分。</w:t>
            </w:r>
          </w:p>
        </w:tc>
        <w:tc>
          <w:tcPr>
            <w:tcW w:w="1567" w:type="dxa"/>
            <w:tcBorders>
              <w:top w:val="single" w:color="000000" w:sz="4" w:space="0"/>
              <w:left w:val="single" w:color="000000" w:sz="4" w:space="0"/>
              <w:bottom w:val="single" w:color="000000" w:sz="4" w:space="0"/>
              <w:right w:val="single" w:color="000000" w:sz="4" w:space="0"/>
            </w:tcBorders>
            <w:noWrap/>
            <w:vAlign w:val="center"/>
          </w:tcPr>
          <w:p w14:paraId="1D5D232A">
            <w:pPr>
              <w:snapToGrid w:val="0"/>
              <w:jc w:val="center"/>
              <w:textAlignment w:val="center"/>
              <w:rPr>
                <w:rFonts w:hint="default" w:ascii="宋体" w:hAnsi="宋体" w:cs="宋体"/>
                <w:b w:val="0"/>
                <w:bCs w:val="0"/>
                <w:color w:val="000000"/>
                <w:lang w:val="en-US" w:eastAsia="zh-CN" w:bidi="ar"/>
              </w:rPr>
            </w:pPr>
            <w:r>
              <w:rPr>
                <w:rFonts w:hint="eastAsia" w:ascii="宋体" w:hAnsi="宋体" w:cs="宋体"/>
                <w:b w:val="0"/>
                <w:bCs w:val="0"/>
                <w:color w:val="000000"/>
                <w:lang w:val="en-US" w:eastAsia="zh-CN" w:bidi="ar"/>
              </w:rPr>
              <w:t>30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61D71320">
            <w:pPr>
              <w:snapToGrid w:val="0"/>
              <w:jc w:val="center"/>
              <w:textAlignment w:val="center"/>
              <w:rPr>
                <w:rFonts w:hint="eastAsia" w:ascii="宋体" w:hAnsi="宋体" w:eastAsia="宋体" w:cs="宋体"/>
                <w:b w:val="0"/>
                <w:bCs w:val="0"/>
                <w:color w:val="000000"/>
                <w:lang w:bidi="ar"/>
              </w:rPr>
            </w:pP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0159AFBD">
            <w:pPr>
              <w:snapToGrid w:val="0"/>
              <w:jc w:val="center"/>
              <w:textAlignment w:val="center"/>
              <w:rPr>
                <w:rFonts w:hint="eastAsia" w:ascii="宋体" w:hAnsi="宋体" w:eastAsia="宋体" w:cs="宋体"/>
                <w:b w:val="0"/>
                <w:bCs w:val="0"/>
                <w:color w:val="000000"/>
                <w:lang w:bidi="ar"/>
              </w:rPr>
            </w:pPr>
          </w:p>
        </w:tc>
      </w:tr>
      <w:tr w14:paraId="7515B4FF">
        <w:tblPrEx>
          <w:tblCellMar>
            <w:top w:w="0" w:type="dxa"/>
            <w:left w:w="108" w:type="dxa"/>
            <w:bottom w:w="0" w:type="dxa"/>
            <w:right w:w="108" w:type="dxa"/>
          </w:tblCellMar>
        </w:tblPrEx>
        <w:trPr>
          <w:trHeight w:val="444" w:hRule="atLeast"/>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490D6BFE">
            <w:pPr>
              <w:snapToGrid w:val="0"/>
              <w:jc w:val="center"/>
              <w:textAlignment w:val="center"/>
              <w:rPr>
                <w:rFonts w:hint="eastAsia" w:ascii="宋体" w:hAnsi="宋体" w:eastAsia="宋体" w:cs="宋体"/>
                <w:color w:val="000000"/>
                <w:lang w:eastAsia="zh-CN"/>
              </w:rPr>
            </w:pPr>
            <w:r>
              <w:rPr>
                <w:rFonts w:hint="eastAsia" w:ascii="宋体" w:hAnsi="宋体" w:eastAsia="宋体" w:cs="宋体"/>
                <w:color w:val="000000"/>
                <w:lang w:eastAsia="zh-CN"/>
              </w:rPr>
              <w:t>网络安全</w:t>
            </w:r>
          </w:p>
        </w:tc>
        <w:tc>
          <w:tcPr>
            <w:tcW w:w="4066" w:type="dxa"/>
            <w:tcBorders>
              <w:top w:val="single" w:color="000000" w:sz="4" w:space="0"/>
              <w:left w:val="single" w:color="000000" w:sz="4" w:space="0"/>
              <w:bottom w:val="single" w:color="000000" w:sz="4" w:space="0"/>
              <w:right w:val="single" w:color="000000" w:sz="4" w:space="0"/>
            </w:tcBorders>
            <w:noWrap/>
            <w:vAlign w:val="center"/>
          </w:tcPr>
          <w:p w14:paraId="7485CD6C">
            <w:pPr>
              <w:snapToGrid w:val="0"/>
              <w:jc w:val="both"/>
              <w:textAlignment w:val="center"/>
              <w:rPr>
                <w:rFonts w:hint="eastAsia" w:ascii="宋体" w:hAnsi="宋体" w:eastAsia="宋体" w:cs="宋体"/>
                <w:color w:val="000000"/>
                <w:lang w:eastAsia="zh-CN"/>
              </w:rPr>
            </w:pPr>
            <w:r>
              <w:rPr>
                <w:rFonts w:hint="eastAsia" w:ascii="宋体" w:hAnsi="宋体" w:eastAsia="宋体" w:cs="宋体"/>
                <w:color w:val="000000"/>
                <w:lang w:eastAsia="zh-CN"/>
              </w:rPr>
              <w:t>是否按要求遵守有关网络安全的各项法律、法规、规章制度及文件规定，并承诺落实各项安全保护技术措施。</w:t>
            </w:r>
            <w:r>
              <w:rPr>
                <w:rFonts w:hint="eastAsia" w:ascii="宋体" w:hAnsi="宋体" w:eastAsia="宋体" w:cs="宋体"/>
                <w:color w:val="000000"/>
              </w:rPr>
              <w:t>综合考量，得0-20分。</w:t>
            </w:r>
          </w:p>
        </w:tc>
        <w:tc>
          <w:tcPr>
            <w:tcW w:w="1567" w:type="dxa"/>
            <w:tcBorders>
              <w:top w:val="single" w:color="000000" w:sz="4" w:space="0"/>
              <w:left w:val="single" w:color="000000" w:sz="4" w:space="0"/>
              <w:bottom w:val="single" w:color="000000" w:sz="4" w:space="0"/>
              <w:right w:val="single" w:color="000000" w:sz="4" w:space="0"/>
            </w:tcBorders>
            <w:noWrap/>
            <w:vAlign w:val="center"/>
          </w:tcPr>
          <w:p w14:paraId="615ABA8D">
            <w:pPr>
              <w:snapToGrid w:val="0"/>
              <w:jc w:val="center"/>
              <w:textAlignment w:val="center"/>
              <w:rPr>
                <w:rFonts w:hint="default" w:ascii="宋体" w:hAnsi="宋体" w:cs="宋体"/>
                <w:b w:val="0"/>
                <w:bCs w:val="0"/>
                <w:color w:val="000000"/>
                <w:lang w:val="en-US" w:eastAsia="zh-CN" w:bidi="ar"/>
              </w:rPr>
            </w:pPr>
            <w:r>
              <w:rPr>
                <w:rFonts w:hint="eastAsia" w:ascii="宋体" w:hAnsi="宋体" w:cs="宋体"/>
                <w:b w:val="0"/>
                <w:bCs w:val="0"/>
                <w:color w:val="000000"/>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2A8096FF">
            <w:pPr>
              <w:snapToGrid w:val="0"/>
              <w:jc w:val="center"/>
              <w:textAlignment w:val="center"/>
              <w:rPr>
                <w:rFonts w:hint="eastAsia" w:ascii="宋体" w:hAnsi="宋体" w:eastAsia="宋体" w:cs="宋体"/>
                <w:b w:val="0"/>
                <w:bCs w:val="0"/>
                <w:color w:val="000000"/>
                <w:lang w:bidi="ar"/>
              </w:rPr>
            </w:pP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7A5E4A4E">
            <w:pPr>
              <w:snapToGrid w:val="0"/>
              <w:jc w:val="center"/>
              <w:textAlignment w:val="center"/>
              <w:rPr>
                <w:rFonts w:hint="eastAsia" w:ascii="宋体" w:hAnsi="宋体" w:eastAsia="宋体" w:cs="宋体"/>
                <w:b w:val="0"/>
                <w:bCs w:val="0"/>
                <w:color w:val="000000"/>
                <w:lang w:bidi="ar"/>
              </w:rPr>
            </w:pPr>
          </w:p>
        </w:tc>
      </w:tr>
      <w:tr w14:paraId="09ACBA66">
        <w:tblPrEx>
          <w:tblCellMar>
            <w:top w:w="0" w:type="dxa"/>
            <w:left w:w="108" w:type="dxa"/>
            <w:bottom w:w="0" w:type="dxa"/>
            <w:right w:w="108" w:type="dxa"/>
          </w:tblCellMar>
        </w:tblPrEx>
        <w:trPr>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08C7CAE4">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总分</w:t>
            </w:r>
          </w:p>
        </w:tc>
        <w:tc>
          <w:tcPr>
            <w:tcW w:w="5633" w:type="dxa"/>
            <w:gridSpan w:val="2"/>
            <w:tcBorders>
              <w:top w:val="single" w:color="000000" w:sz="4" w:space="0"/>
              <w:left w:val="single" w:color="000000" w:sz="4" w:space="0"/>
              <w:bottom w:val="single" w:color="000000" w:sz="4" w:space="0"/>
              <w:right w:val="single" w:color="000000" w:sz="4" w:space="0"/>
            </w:tcBorders>
            <w:noWrap/>
            <w:vAlign w:val="center"/>
          </w:tcPr>
          <w:p w14:paraId="73BF4B2A">
            <w:pPr>
              <w:snapToGrid w:val="0"/>
              <w:jc w:val="both"/>
              <w:textAlignment w:val="center"/>
              <w:rPr>
                <w:rFonts w:hint="eastAsia" w:ascii="宋体" w:hAnsi="宋体" w:eastAsia="宋体" w:cs="宋体"/>
                <w:color w:val="000000"/>
              </w:rPr>
            </w:pPr>
            <w:r>
              <w:rPr>
                <w:rFonts w:hint="eastAsia" w:ascii="宋体" w:hAnsi="宋体" w:eastAsia="宋体" w:cs="宋体"/>
                <w:color w:val="000000"/>
                <w:lang w:bidi="ar"/>
              </w:rPr>
              <w:t>考核等级(85分及以上优秀/70-84分良好/60-69分合格/60分以下不合格)</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0CB38F42">
            <w:pPr>
              <w:snapToGrid w:val="0"/>
              <w:rPr>
                <w:rFonts w:hint="eastAsia" w:ascii="宋体" w:hAnsi="宋体" w:eastAsia="宋体" w:cs="宋体"/>
                <w:color w:val="000000"/>
              </w:rPr>
            </w:pP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5F8B9A56">
            <w:pPr>
              <w:snapToGrid w:val="0"/>
              <w:rPr>
                <w:rFonts w:hint="eastAsia" w:ascii="宋体" w:hAnsi="宋体" w:eastAsia="宋体" w:cs="宋体"/>
                <w:color w:val="000000"/>
              </w:rPr>
            </w:pPr>
          </w:p>
        </w:tc>
      </w:tr>
      <w:tr w14:paraId="2BA75DA1">
        <w:tblPrEx>
          <w:tblCellMar>
            <w:top w:w="0" w:type="dxa"/>
            <w:left w:w="108" w:type="dxa"/>
            <w:bottom w:w="0" w:type="dxa"/>
            <w:right w:w="108" w:type="dxa"/>
          </w:tblCellMar>
        </w:tblPrEx>
        <w:trPr>
          <w:trHeight w:val="437" w:hRule="atLeast"/>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427796C6">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考核意见</w:t>
            </w:r>
          </w:p>
        </w:tc>
        <w:tc>
          <w:tcPr>
            <w:tcW w:w="7088" w:type="dxa"/>
            <w:gridSpan w:val="4"/>
            <w:tcBorders>
              <w:top w:val="single" w:color="000000" w:sz="4" w:space="0"/>
              <w:left w:val="single" w:color="000000" w:sz="4" w:space="0"/>
              <w:bottom w:val="single" w:color="000000" w:sz="4" w:space="0"/>
              <w:right w:val="single" w:color="000000" w:sz="4" w:space="0"/>
            </w:tcBorders>
            <w:noWrap/>
            <w:vAlign w:val="center"/>
          </w:tcPr>
          <w:p w14:paraId="00DFFADB">
            <w:pPr>
              <w:snapToGrid w:val="0"/>
              <w:jc w:val="both"/>
              <w:rPr>
                <w:rFonts w:hint="eastAsia" w:ascii="宋体" w:hAnsi="宋体" w:eastAsia="宋体" w:cs="宋体"/>
                <w:color w:val="000000"/>
              </w:rPr>
            </w:pPr>
          </w:p>
        </w:tc>
      </w:tr>
      <w:tr w14:paraId="38D0C4CE">
        <w:tblPrEx>
          <w:tblCellMar>
            <w:top w:w="0" w:type="dxa"/>
            <w:left w:w="108" w:type="dxa"/>
            <w:bottom w:w="0" w:type="dxa"/>
            <w:right w:w="108" w:type="dxa"/>
          </w:tblCellMar>
        </w:tblPrEx>
        <w:trPr>
          <w:trHeight w:val="422" w:hRule="atLeast"/>
          <w:jc w:val="center"/>
        </w:trPr>
        <w:tc>
          <w:tcPr>
            <w:tcW w:w="5473" w:type="dxa"/>
            <w:gridSpan w:val="2"/>
            <w:tcBorders>
              <w:top w:val="single" w:color="000000" w:sz="4" w:space="0"/>
              <w:left w:val="single" w:color="000000" w:sz="4" w:space="0"/>
              <w:bottom w:val="single" w:color="000000" w:sz="4" w:space="0"/>
              <w:right w:val="single" w:color="000000" w:sz="4" w:space="0"/>
            </w:tcBorders>
            <w:noWrap/>
            <w:vAlign w:val="center"/>
          </w:tcPr>
          <w:p w14:paraId="4EBFBA90">
            <w:pPr>
              <w:snapToGrid w:val="0"/>
              <w:jc w:val="both"/>
              <w:textAlignment w:val="center"/>
              <w:rPr>
                <w:rFonts w:hint="eastAsia" w:ascii="宋体" w:hAnsi="宋体" w:eastAsia="宋体" w:cs="宋体"/>
                <w:color w:val="000000"/>
              </w:rPr>
            </w:pPr>
            <w:r>
              <w:rPr>
                <w:rFonts w:hint="eastAsia" w:ascii="宋体" w:hAnsi="宋体" w:eastAsia="宋体" w:cs="宋体"/>
                <w:color w:val="000000"/>
                <w:lang w:bidi="ar"/>
              </w:rPr>
              <w:t>考核人签字：                 被考核人签字：</w:t>
            </w:r>
          </w:p>
        </w:tc>
        <w:tc>
          <w:tcPr>
            <w:tcW w:w="3022" w:type="dxa"/>
            <w:gridSpan w:val="3"/>
            <w:tcBorders>
              <w:top w:val="single" w:color="000000" w:sz="4" w:space="0"/>
              <w:left w:val="single" w:color="000000" w:sz="4" w:space="0"/>
              <w:bottom w:val="single" w:color="000000" w:sz="4" w:space="0"/>
              <w:right w:val="single" w:color="000000" w:sz="4" w:space="0"/>
            </w:tcBorders>
            <w:noWrap/>
            <w:vAlign w:val="center"/>
          </w:tcPr>
          <w:p w14:paraId="2C64F9D2">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日期：  年  月  日</w:t>
            </w:r>
          </w:p>
        </w:tc>
      </w:tr>
      <w:tr w14:paraId="53C830F5">
        <w:tblPrEx>
          <w:tblCellMar>
            <w:top w:w="0" w:type="dxa"/>
            <w:left w:w="108" w:type="dxa"/>
            <w:bottom w:w="0" w:type="dxa"/>
            <w:right w:w="108" w:type="dxa"/>
          </w:tblCellMar>
        </w:tblPrEx>
        <w:trPr>
          <w:trHeight w:val="447" w:hRule="atLeast"/>
          <w:jc w:val="center"/>
        </w:trPr>
        <w:tc>
          <w:tcPr>
            <w:tcW w:w="1407" w:type="dxa"/>
            <w:tcBorders>
              <w:top w:val="single" w:color="000000" w:sz="4" w:space="0"/>
              <w:left w:val="single" w:color="000000" w:sz="4" w:space="0"/>
              <w:bottom w:val="single" w:color="000000" w:sz="4" w:space="0"/>
              <w:right w:val="single" w:color="000000" w:sz="4" w:space="0"/>
            </w:tcBorders>
            <w:noWrap/>
            <w:vAlign w:val="center"/>
          </w:tcPr>
          <w:p w14:paraId="3C1AF2AB">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意见建议</w:t>
            </w:r>
          </w:p>
        </w:tc>
        <w:tc>
          <w:tcPr>
            <w:tcW w:w="7088" w:type="dxa"/>
            <w:gridSpan w:val="4"/>
            <w:tcBorders>
              <w:top w:val="single" w:color="000000" w:sz="4" w:space="0"/>
              <w:left w:val="single" w:color="000000" w:sz="4" w:space="0"/>
              <w:bottom w:val="single" w:color="000000" w:sz="4" w:space="0"/>
              <w:right w:val="single" w:color="000000" w:sz="4" w:space="0"/>
            </w:tcBorders>
            <w:noWrap/>
            <w:vAlign w:val="center"/>
          </w:tcPr>
          <w:p w14:paraId="70DC702C">
            <w:pPr>
              <w:snapToGrid w:val="0"/>
              <w:jc w:val="both"/>
              <w:rPr>
                <w:rFonts w:hint="eastAsia" w:ascii="宋体" w:hAnsi="宋体" w:eastAsia="宋体" w:cs="宋体"/>
                <w:color w:val="000000"/>
              </w:rPr>
            </w:pPr>
          </w:p>
        </w:tc>
      </w:tr>
    </w:tbl>
    <w:p w14:paraId="6B740F48">
      <w:pPr>
        <w:snapToGrid w:val="0"/>
        <w:rPr>
          <w:rFonts w:hint="eastAsia" w:ascii="宋体" w:hAnsi="宋体" w:eastAsia="宋体" w:cs="宋体"/>
          <w:lang w:eastAsia="zh-CN"/>
        </w:rPr>
      </w:pPr>
      <w:r>
        <w:rPr>
          <w:rFonts w:hint="eastAsia" w:ascii="宋体" w:hAnsi="宋体" w:eastAsia="宋体" w:cs="宋体"/>
        </w:rPr>
        <w:t>备注：网络通畅率99.00%要求，Y=（W-U）/W*100%=99.00%，Y：结算周期内服务项服务可用性</w:t>
      </w:r>
      <w:r>
        <w:rPr>
          <w:rFonts w:hint="eastAsia" w:ascii="宋体" w:hAnsi="宋体" w:cs="宋体"/>
          <w:lang w:eastAsia="zh-CN"/>
        </w:rPr>
        <w:t>，</w:t>
      </w:r>
      <w:r>
        <w:rPr>
          <w:rFonts w:hint="eastAsia" w:ascii="宋体" w:hAnsi="宋体" w:eastAsia="宋体" w:cs="宋体"/>
        </w:rPr>
        <w:t>W：结算周期内服务项服务总时间</w:t>
      </w:r>
      <w:r>
        <w:rPr>
          <w:rFonts w:hint="eastAsia" w:ascii="宋体" w:hAnsi="宋体" w:cs="宋体"/>
          <w:lang w:eastAsia="zh-CN"/>
        </w:rPr>
        <w:t>，</w:t>
      </w:r>
      <w:r>
        <w:rPr>
          <w:rFonts w:hint="eastAsia" w:ascii="宋体" w:hAnsi="宋体" w:eastAsia="宋体" w:cs="宋体"/>
        </w:rPr>
        <w:t>U：结算周期内服务项不可用总时间</w:t>
      </w:r>
      <w:r>
        <w:rPr>
          <w:rFonts w:hint="eastAsia" w:ascii="宋体" w:hAnsi="宋体" w:cs="宋体"/>
          <w:lang w:eastAsia="zh-CN"/>
        </w:rPr>
        <w:t>。</w:t>
      </w:r>
    </w:p>
    <w:p w14:paraId="3B481A74">
      <w:pPr>
        <w:rPr>
          <w:rFonts w:hint="eastAsia" w:ascii="宋体" w:hAnsi="宋体" w:eastAsia="宋体" w:cs="宋体"/>
          <w:b/>
          <w:lang w:val="zh-CN"/>
        </w:rPr>
      </w:pPr>
    </w:p>
    <w:sectPr>
      <w:headerReference r:id="rId3" w:type="default"/>
      <w:footerReference r:id="rId4" w:type="default"/>
      <w:type w:val="continuous"/>
      <w:pgSz w:w="11906" w:h="16838"/>
      <w:pgMar w:top="998" w:right="1418" w:bottom="1140" w:left="1587" w:header="851" w:footer="992" w:gutter="0"/>
      <w:pgBorders>
        <w:top w:val="none" w:sz="0" w:space="0"/>
        <w:left w:val="none" w:sz="0" w:space="0"/>
        <w:bottom w:val="none" w:sz="0" w:space="0"/>
        <w:right w:val="none" w:sz="0" w:space="0"/>
      </w:pgBorders>
      <w:pgNumType w:fmt="decimal"/>
      <w:cols w:space="425" w:num="1" w:sep="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E2E7">
    <w:pPr>
      <w:tabs>
        <w:tab w:val="right" w:pos="8820"/>
      </w:tabs>
      <w:ind w:right="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6D67B">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5262E9"/>
    <w:rsid w:val="0001743B"/>
    <w:rsid w:val="00082B70"/>
    <w:rsid w:val="000A3605"/>
    <w:rsid w:val="000C747A"/>
    <w:rsid w:val="002C1C64"/>
    <w:rsid w:val="00316ADC"/>
    <w:rsid w:val="00322C10"/>
    <w:rsid w:val="003319F1"/>
    <w:rsid w:val="00331D83"/>
    <w:rsid w:val="0043238A"/>
    <w:rsid w:val="00440CEA"/>
    <w:rsid w:val="005A1968"/>
    <w:rsid w:val="005F15F0"/>
    <w:rsid w:val="005F18B3"/>
    <w:rsid w:val="00672788"/>
    <w:rsid w:val="006D15DA"/>
    <w:rsid w:val="006D38FF"/>
    <w:rsid w:val="006F715A"/>
    <w:rsid w:val="0076128D"/>
    <w:rsid w:val="00773BD1"/>
    <w:rsid w:val="00887A37"/>
    <w:rsid w:val="008F1A47"/>
    <w:rsid w:val="00A96F02"/>
    <w:rsid w:val="00B0711E"/>
    <w:rsid w:val="00B32368"/>
    <w:rsid w:val="00B70885"/>
    <w:rsid w:val="00BB5A52"/>
    <w:rsid w:val="00BE368A"/>
    <w:rsid w:val="00C62ADF"/>
    <w:rsid w:val="00DA4739"/>
    <w:rsid w:val="00E34455"/>
    <w:rsid w:val="00E52CD5"/>
    <w:rsid w:val="00EE6ED1"/>
    <w:rsid w:val="00F20E62"/>
    <w:rsid w:val="00FA201B"/>
    <w:rsid w:val="00FB00C3"/>
    <w:rsid w:val="00FE1258"/>
    <w:rsid w:val="01612F1E"/>
    <w:rsid w:val="01AD70C0"/>
    <w:rsid w:val="01BF5575"/>
    <w:rsid w:val="01D35FC9"/>
    <w:rsid w:val="01F12967"/>
    <w:rsid w:val="025832D3"/>
    <w:rsid w:val="02B2223C"/>
    <w:rsid w:val="02FB2B9A"/>
    <w:rsid w:val="034666B2"/>
    <w:rsid w:val="03E313D9"/>
    <w:rsid w:val="047D68A4"/>
    <w:rsid w:val="04CB570F"/>
    <w:rsid w:val="055B3806"/>
    <w:rsid w:val="056703FD"/>
    <w:rsid w:val="05740424"/>
    <w:rsid w:val="09050558"/>
    <w:rsid w:val="09E22212"/>
    <w:rsid w:val="0AA20035"/>
    <w:rsid w:val="0C875C0C"/>
    <w:rsid w:val="0C88548B"/>
    <w:rsid w:val="0D3658AA"/>
    <w:rsid w:val="0D5004E9"/>
    <w:rsid w:val="0E5262E9"/>
    <w:rsid w:val="10FD1C16"/>
    <w:rsid w:val="116A5F52"/>
    <w:rsid w:val="11CF3483"/>
    <w:rsid w:val="123328FD"/>
    <w:rsid w:val="12E20D98"/>
    <w:rsid w:val="12E326D0"/>
    <w:rsid w:val="12FB70DC"/>
    <w:rsid w:val="143700FF"/>
    <w:rsid w:val="15C27ED2"/>
    <w:rsid w:val="175372AA"/>
    <w:rsid w:val="17A32722"/>
    <w:rsid w:val="189E6C73"/>
    <w:rsid w:val="18AC4164"/>
    <w:rsid w:val="19397AAF"/>
    <w:rsid w:val="1988148C"/>
    <w:rsid w:val="19933CA1"/>
    <w:rsid w:val="1B665A6F"/>
    <w:rsid w:val="1B6F0D08"/>
    <w:rsid w:val="1B780194"/>
    <w:rsid w:val="1BB37B8D"/>
    <w:rsid w:val="1BE977DD"/>
    <w:rsid w:val="1C8F5073"/>
    <w:rsid w:val="1CB11B06"/>
    <w:rsid w:val="1DE546F4"/>
    <w:rsid w:val="1F406AD1"/>
    <w:rsid w:val="1F8A08FC"/>
    <w:rsid w:val="20A165BD"/>
    <w:rsid w:val="215A77B7"/>
    <w:rsid w:val="23B107E7"/>
    <w:rsid w:val="24143E1B"/>
    <w:rsid w:val="24F13B63"/>
    <w:rsid w:val="260D5D9A"/>
    <w:rsid w:val="26BC05C1"/>
    <w:rsid w:val="26E02DFE"/>
    <w:rsid w:val="273B094A"/>
    <w:rsid w:val="274D4B08"/>
    <w:rsid w:val="28DC3571"/>
    <w:rsid w:val="29465D55"/>
    <w:rsid w:val="29920858"/>
    <w:rsid w:val="2AB0267D"/>
    <w:rsid w:val="2AD92954"/>
    <w:rsid w:val="2CD05A06"/>
    <w:rsid w:val="2D881F35"/>
    <w:rsid w:val="2DAB4725"/>
    <w:rsid w:val="2DD9371C"/>
    <w:rsid w:val="2E344D2B"/>
    <w:rsid w:val="2E8B0409"/>
    <w:rsid w:val="2F2A267B"/>
    <w:rsid w:val="311918F0"/>
    <w:rsid w:val="316118F5"/>
    <w:rsid w:val="318B0720"/>
    <w:rsid w:val="32334B40"/>
    <w:rsid w:val="33CB74FA"/>
    <w:rsid w:val="341E52E0"/>
    <w:rsid w:val="345A663E"/>
    <w:rsid w:val="345B0136"/>
    <w:rsid w:val="357A3838"/>
    <w:rsid w:val="36502D8B"/>
    <w:rsid w:val="3848736B"/>
    <w:rsid w:val="397202B7"/>
    <w:rsid w:val="3A021DC8"/>
    <w:rsid w:val="3A543DA5"/>
    <w:rsid w:val="3BFA628C"/>
    <w:rsid w:val="3CC61A61"/>
    <w:rsid w:val="3D581DFE"/>
    <w:rsid w:val="3D7D2031"/>
    <w:rsid w:val="3EB51455"/>
    <w:rsid w:val="3EE73376"/>
    <w:rsid w:val="3EF5083B"/>
    <w:rsid w:val="40500053"/>
    <w:rsid w:val="416074D3"/>
    <w:rsid w:val="41713EB7"/>
    <w:rsid w:val="422C7B47"/>
    <w:rsid w:val="432307B8"/>
    <w:rsid w:val="442E5A16"/>
    <w:rsid w:val="444B0CB2"/>
    <w:rsid w:val="44C922B6"/>
    <w:rsid w:val="469814BD"/>
    <w:rsid w:val="46DB5788"/>
    <w:rsid w:val="47DC2A23"/>
    <w:rsid w:val="47FA4353"/>
    <w:rsid w:val="48526618"/>
    <w:rsid w:val="489F493C"/>
    <w:rsid w:val="49B54747"/>
    <w:rsid w:val="4A425F5E"/>
    <w:rsid w:val="4B221A14"/>
    <w:rsid w:val="4B414F8E"/>
    <w:rsid w:val="4C16303B"/>
    <w:rsid w:val="4DD51249"/>
    <w:rsid w:val="4EB42245"/>
    <w:rsid w:val="4EE00CAD"/>
    <w:rsid w:val="4F824A5D"/>
    <w:rsid w:val="4F9C26E7"/>
    <w:rsid w:val="505F1B5E"/>
    <w:rsid w:val="50CE2312"/>
    <w:rsid w:val="510F05CE"/>
    <w:rsid w:val="514432B2"/>
    <w:rsid w:val="51A72EFC"/>
    <w:rsid w:val="51E17844"/>
    <w:rsid w:val="54EE5B4F"/>
    <w:rsid w:val="56B519AF"/>
    <w:rsid w:val="56BC7C2B"/>
    <w:rsid w:val="56E818AB"/>
    <w:rsid w:val="57933FC1"/>
    <w:rsid w:val="57C660AD"/>
    <w:rsid w:val="581D1AA6"/>
    <w:rsid w:val="59D506BC"/>
    <w:rsid w:val="5AE71107"/>
    <w:rsid w:val="5B085B21"/>
    <w:rsid w:val="5B497D43"/>
    <w:rsid w:val="5B7D748A"/>
    <w:rsid w:val="5BEE7325"/>
    <w:rsid w:val="5C8566E6"/>
    <w:rsid w:val="5C9A38F6"/>
    <w:rsid w:val="5D2B6790"/>
    <w:rsid w:val="5D35492A"/>
    <w:rsid w:val="5D704AA7"/>
    <w:rsid w:val="5EBB44D1"/>
    <w:rsid w:val="600C1063"/>
    <w:rsid w:val="6045400C"/>
    <w:rsid w:val="608B4897"/>
    <w:rsid w:val="612C3490"/>
    <w:rsid w:val="6194199C"/>
    <w:rsid w:val="62C87859"/>
    <w:rsid w:val="630C2351"/>
    <w:rsid w:val="650D31B5"/>
    <w:rsid w:val="65B91E20"/>
    <w:rsid w:val="660D1128"/>
    <w:rsid w:val="6747778F"/>
    <w:rsid w:val="68C11B82"/>
    <w:rsid w:val="68D27CC8"/>
    <w:rsid w:val="69E21E92"/>
    <w:rsid w:val="6A0E5AB7"/>
    <w:rsid w:val="6AB613EB"/>
    <w:rsid w:val="6AF93A8C"/>
    <w:rsid w:val="6B851761"/>
    <w:rsid w:val="6BB064AA"/>
    <w:rsid w:val="6D35260A"/>
    <w:rsid w:val="6E5B72A1"/>
    <w:rsid w:val="6E7630CD"/>
    <w:rsid w:val="6F9C236B"/>
    <w:rsid w:val="6FF66839"/>
    <w:rsid w:val="701E2184"/>
    <w:rsid w:val="70877D29"/>
    <w:rsid w:val="717D3552"/>
    <w:rsid w:val="72210599"/>
    <w:rsid w:val="72671BC0"/>
    <w:rsid w:val="72E6342D"/>
    <w:rsid w:val="73392261"/>
    <w:rsid w:val="73CA4BCC"/>
    <w:rsid w:val="73F66B03"/>
    <w:rsid w:val="748E2539"/>
    <w:rsid w:val="74E41BEE"/>
    <w:rsid w:val="75823513"/>
    <w:rsid w:val="761D2883"/>
    <w:rsid w:val="76381A6B"/>
    <w:rsid w:val="76EE0067"/>
    <w:rsid w:val="76F33D53"/>
    <w:rsid w:val="77093F05"/>
    <w:rsid w:val="77130569"/>
    <w:rsid w:val="77982157"/>
    <w:rsid w:val="77BF249E"/>
    <w:rsid w:val="77FF0721"/>
    <w:rsid w:val="78CB070C"/>
    <w:rsid w:val="79E04592"/>
    <w:rsid w:val="7A4976F0"/>
    <w:rsid w:val="7A666C01"/>
    <w:rsid w:val="7B537AD4"/>
    <w:rsid w:val="7C30396B"/>
    <w:rsid w:val="7CEA5613"/>
    <w:rsid w:val="7CEA57AC"/>
    <w:rsid w:val="7D480840"/>
    <w:rsid w:val="7DAB14FB"/>
    <w:rsid w:val="7DFF2C2F"/>
    <w:rsid w:val="7E022C63"/>
    <w:rsid w:val="7F9B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1"/>
    <w:qFormat/>
    <w:uiPriority w:val="0"/>
    <w:pPr>
      <w:keepNext/>
      <w:jc w:val="center"/>
      <w:outlineLvl w:val="0"/>
    </w:pPr>
    <w:rPr>
      <w:rFonts w:ascii="黑体" w:hAnsi="黑体" w:eastAsia="黑体"/>
      <w:b/>
      <w:sz w:val="32"/>
    </w:rPr>
  </w:style>
  <w:style w:type="paragraph" w:styleId="3">
    <w:name w:val="heading 3"/>
    <w:basedOn w:val="1"/>
    <w:next w:val="4"/>
    <w:qFormat/>
    <w:uiPriority w:val="0"/>
    <w:pPr>
      <w:keepNext/>
      <w:keepLines/>
      <w:widowControl/>
      <w:tabs>
        <w:tab w:val="left" w:pos="360"/>
      </w:tabs>
      <w:spacing w:before="120" w:after="120" w:line="360" w:lineRule="auto"/>
      <w:ind w:left="360" w:hanging="360"/>
      <w:jc w:val="center"/>
      <w:outlineLvl w:val="2"/>
    </w:pPr>
    <w:rPr>
      <w:b/>
      <w:kern w:val="0"/>
      <w:sz w:val="32"/>
    </w:rPr>
  </w:style>
  <w:style w:type="paragraph" w:styleId="5">
    <w:name w:val="heading 4"/>
    <w:basedOn w:val="1"/>
    <w:next w:val="1"/>
    <w:qFormat/>
    <w:uiPriority w:val="0"/>
    <w:pPr>
      <w:keepNext/>
      <w:spacing w:line="600" w:lineRule="exact"/>
      <w:jc w:val="center"/>
      <w:outlineLvl w:val="3"/>
    </w:pPr>
    <w:rPr>
      <w:rFonts w:ascii="楷体_GB2312" w:hAnsi="Times New Roman" w:eastAsia="楷体_GB2312"/>
      <w:sz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next w:val="1"/>
    <w:qFormat/>
    <w:uiPriority w:val="0"/>
    <w:pPr>
      <w:jc w:val="left"/>
    </w:pPr>
    <w:rPr>
      <w:rFonts w:ascii="Copperplate Gothic Bold" w:hAnsi="Copperplate Gothic Bold"/>
      <w:sz w:val="28"/>
    </w:rPr>
  </w:style>
  <w:style w:type="paragraph" w:styleId="8">
    <w:name w:val="Plain Text"/>
    <w:basedOn w:val="1"/>
    <w:qFormat/>
    <w:uiPriority w:val="0"/>
    <w:rPr>
      <w:rFonts w:ascii="宋体" w:hAnsi="Courier New"/>
      <w:kern w:val="0"/>
      <w:sz w:val="20"/>
    </w:rPr>
  </w:style>
  <w:style w:type="paragraph" w:styleId="9">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0">
    <w:name w:val="envelope return"/>
    <w:basedOn w:val="1"/>
    <w:qFormat/>
    <w:uiPriority w:val="0"/>
    <w:pPr>
      <w:snapToGrid w:val="0"/>
    </w:pPr>
    <w:rPr>
      <w:rFonts w:ascii="Arial" w:hAnsi="Arial"/>
    </w:rPr>
  </w:style>
  <w:style w:type="paragraph" w:styleId="11">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pPr>
      <w:tabs>
        <w:tab w:val="right" w:leader="dot" w:pos="9060"/>
      </w:tabs>
      <w:spacing w:line="360" w:lineRule="auto"/>
    </w:pPr>
    <w:rPr>
      <w:rFonts w:ascii="Times New Roman" w:hAnsi="Times New Roman"/>
    </w:rPr>
  </w:style>
  <w:style w:type="paragraph" w:styleId="13">
    <w:name w:val="toc 2"/>
    <w:basedOn w:val="1"/>
    <w:next w:val="1"/>
    <w:qFormat/>
    <w:uiPriority w:val="0"/>
    <w:pPr>
      <w:tabs>
        <w:tab w:val="right" w:leader="dot" w:pos="9060"/>
      </w:tabs>
      <w:spacing w:line="360" w:lineRule="auto"/>
      <w:ind w:left="420" w:leftChars="200"/>
    </w:pPr>
    <w:rPr>
      <w:rFonts w:ascii="Times New Roman" w:hAnsi="Times New Roman"/>
    </w:rPr>
  </w:style>
  <w:style w:type="paragraph" w:styleId="14">
    <w:name w:val="Body Text 2"/>
    <w:basedOn w:val="1"/>
    <w:qFormat/>
    <w:uiPriority w:val="0"/>
    <w:rPr>
      <w:rFonts w:ascii="楷体_GB2312" w:hAnsi="Copperplate Gothic Bold" w:eastAsia="楷体_GB2312"/>
      <w:kern w:val="2"/>
      <w:sz w:val="28"/>
    </w:rPr>
  </w:style>
  <w:style w:type="paragraph" w:styleId="15">
    <w:name w:val="Normal (Web)"/>
    <w:basedOn w:val="1"/>
    <w:next w:val="10"/>
    <w:qFormat/>
    <w:uiPriority w:val="99"/>
    <w:pPr>
      <w:widowControl/>
      <w:spacing w:before="100" w:beforeAutospacing="1" w:after="100" w:afterAutospacing="1"/>
      <w:jc w:val="left"/>
    </w:pPr>
    <w:rPr>
      <w:rFonts w:ascii="宋体" w:hAnsi="宋体" w:cs="宋体"/>
      <w:kern w:val="0"/>
      <w:sz w:val="24"/>
      <w:szCs w:val="24"/>
    </w:rPr>
  </w:style>
  <w:style w:type="paragraph" w:styleId="16">
    <w:name w:val="Body Text First Indent"/>
    <w:basedOn w:val="7"/>
    <w:qFormat/>
    <w:uiPriority w:val="0"/>
    <w:pPr>
      <w:ind w:firstLine="420" w:firstLineChars="1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0">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21">
    <w:name w:val="标题 1 Char"/>
    <w:link w:val="2"/>
    <w:qFormat/>
    <w:uiPriority w:val="0"/>
    <w:rPr>
      <w:rFonts w:ascii="黑体" w:hAnsi="黑体" w:eastAsia="黑体" w:cs="Times New Roman"/>
      <w:b/>
      <w:sz w:val="32"/>
    </w:rPr>
  </w:style>
  <w:style w:type="paragraph" w:customStyle="1" w:styleId="22">
    <w:name w:val="title1"/>
    <w:basedOn w:val="1"/>
    <w:qFormat/>
    <w:uiPriority w:val="0"/>
    <w:pPr>
      <w:spacing w:before="150" w:line="450" w:lineRule="atLeast"/>
      <w:jc w:val="left"/>
    </w:pPr>
    <w:rPr>
      <w:b/>
      <w:kern w:val="0"/>
      <w:sz w:val="24"/>
      <w:szCs w:val="24"/>
    </w:rPr>
  </w:style>
  <w:style w:type="paragraph" w:customStyle="1" w:styleId="23">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4">
    <w:name w:val="p15"/>
    <w:basedOn w:val="1"/>
    <w:qFormat/>
    <w:uiPriority w:val="99"/>
    <w:pPr>
      <w:widowControl/>
    </w:pPr>
    <w:rPr>
      <w:kern w:val="0"/>
      <w:szCs w:val="21"/>
    </w:rPr>
  </w:style>
  <w:style w:type="paragraph" w:customStyle="1" w:styleId="25">
    <w:name w:val="Heading #1|1"/>
    <w:basedOn w:val="1"/>
    <w:qFormat/>
    <w:uiPriority w:val="0"/>
    <w:pPr>
      <w:spacing w:after="340"/>
      <w:jc w:val="center"/>
      <w:outlineLvl w:val="0"/>
    </w:pPr>
    <w:rPr>
      <w:rFonts w:ascii="宋体" w:hAnsi="宋体" w:cs="宋体"/>
      <w:sz w:val="44"/>
      <w:szCs w:val="44"/>
      <w:lang w:val="zh-TW" w:eastAsia="zh-TW" w:bidi="zh-TW"/>
    </w:rPr>
  </w:style>
  <w:style w:type="paragraph" w:customStyle="1" w:styleId="26">
    <w:name w:val="Body text|1"/>
    <w:basedOn w:val="1"/>
    <w:qFormat/>
    <w:uiPriority w:val="0"/>
    <w:pPr>
      <w:spacing w:after="50" w:line="480" w:lineRule="auto"/>
      <w:ind w:firstLine="400"/>
    </w:pPr>
    <w:rPr>
      <w:rFonts w:ascii="宋体" w:hAnsi="宋体" w:cs="宋体"/>
      <w:sz w:val="20"/>
      <w:lang w:val="zh-TW" w:eastAsia="zh-TW" w:bidi="zh-TW"/>
    </w:rPr>
  </w:style>
  <w:style w:type="paragraph" w:customStyle="1" w:styleId="27">
    <w:name w:val="Heading #2|1"/>
    <w:basedOn w:val="1"/>
    <w:qFormat/>
    <w:uiPriority w:val="0"/>
    <w:pPr>
      <w:spacing w:after="40"/>
      <w:outlineLvl w:val="1"/>
    </w:pPr>
    <w:rPr>
      <w:rFonts w:ascii="宋体" w:hAnsi="宋体" w:cs="宋体"/>
      <w:sz w:val="32"/>
      <w:szCs w:val="32"/>
      <w:lang w:val="zh-TW" w:eastAsia="zh-TW" w:bidi="zh-TW"/>
    </w:rPr>
  </w:style>
  <w:style w:type="paragraph" w:customStyle="1" w:styleId="28">
    <w:name w:val="Body text|2"/>
    <w:basedOn w:val="1"/>
    <w:qFormat/>
    <w:uiPriority w:val="0"/>
    <w:pPr>
      <w:spacing w:after="360" w:line="900" w:lineRule="exact"/>
    </w:pPr>
    <w:rPr>
      <w:rFonts w:ascii="宋体" w:hAnsi="宋体" w:cs="宋体"/>
      <w:sz w:val="26"/>
      <w:szCs w:val="26"/>
      <w:lang w:val="zh-TW" w:eastAsia="zh-TW" w:bidi="zh-TW"/>
    </w:rPr>
  </w:style>
  <w:style w:type="paragraph" w:customStyle="1" w:styleId="29">
    <w:name w:val="Other|1"/>
    <w:basedOn w:val="1"/>
    <w:qFormat/>
    <w:uiPriority w:val="0"/>
    <w:pPr>
      <w:spacing w:after="50" w:line="480" w:lineRule="auto"/>
      <w:ind w:firstLine="400"/>
    </w:pPr>
    <w:rPr>
      <w:rFonts w:ascii="宋体" w:hAnsi="宋体" w:cs="宋体"/>
      <w:sz w:val="20"/>
      <w:lang w:val="zh-TW" w:eastAsia="zh-TW" w:bidi="zh-TW"/>
    </w:rPr>
  </w:style>
  <w:style w:type="paragraph" w:customStyle="1" w:styleId="30">
    <w:name w:val="Header or footer|2"/>
    <w:basedOn w:val="1"/>
    <w:qFormat/>
    <w:uiPriority w:val="0"/>
    <w:rPr>
      <w:sz w:val="20"/>
      <w:lang w:val="zh-TW" w:eastAsia="zh-TW" w:bidi="zh-TW"/>
    </w:rPr>
  </w:style>
  <w:style w:type="paragraph" w:customStyle="1" w:styleId="31">
    <w:name w:val="Header or footer|1"/>
    <w:basedOn w:val="1"/>
    <w:qFormat/>
    <w:uiPriority w:val="0"/>
    <w:rPr>
      <w:sz w:val="13"/>
      <w:szCs w:val="13"/>
      <w:lang w:val="zh-TW" w:eastAsia="zh-TW" w:bidi="zh-TW"/>
    </w:rPr>
  </w:style>
  <w:style w:type="character" w:customStyle="1" w:styleId="32">
    <w:name w:val="页眉 Char"/>
    <w:basedOn w:val="19"/>
    <w:link w:val="11"/>
    <w:qFormat/>
    <w:uiPriority w:val="0"/>
    <w:rPr>
      <w:rFonts w:ascii="Calibri" w:hAnsi="Calibri" w:eastAsia="宋体" w:cs="Times New Roman"/>
      <w:kern w:val="2"/>
      <w:sz w:val="18"/>
      <w:szCs w:val="18"/>
    </w:rPr>
  </w:style>
  <w:style w:type="paragraph" w:customStyle="1" w:styleId="33">
    <w:name w:val="@正文"/>
    <w:basedOn w:val="3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34">
    <w:name w:val="※正文"/>
    <w:basedOn w:val="1"/>
    <w:autoRedefine/>
    <w:qFormat/>
    <w:uiPriority w:val="0"/>
    <w:pPr>
      <w:widowControl/>
      <w:wordWrap w:val="0"/>
      <w:spacing w:line="400" w:lineRule="exact"/>
    </w:pPr>
    <w:rPr>
      <w:rFonts w:ascii="Calibri Light" w:hAnsi="Calibri Light" w:eastAsia="华文仿宋"/>
      <w:sz w:val="28"/>
      <w:szCs w:val="28"/>
    </w:rPr>
  </w:style>
  <w:style w:type="paragraph" w:customStyle="1" w:styleId="35">
    <w:name w:val="List Paragraph"/>
    <w:basedOn w:val="1"/>
    <w:qFormat/>
    <w:uiPriority w:val="34"/>
    <w:pPr>
      <w:ind w:firstLine="420" w:firstLineChars="200"/>
    </w:pPr>
    <w:rPr>
      <w:rFonts w:asciiTheme="minorHAnsi" w:hAnsiTheme="minorHAnsi" w:eastAsiaTheme="minorEastAsia" w:cstheme="minorBidi"/>
    </w:rPr>
  </w:style>
  <w:style w:type="paragraph" w:customStyle="1" w:styleId="3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1011</Words>
  <Characters>1117</Characters>
  <Lines>39</Lines>
  <Paragraphs>11</Paragraphs>
  <TotalTime>0</TotalTime>
  <ScaleCrop>false</ScaleCrop>
  <LinksUpToDate>false</LinksUpToDate>
  <CharactersWithSpaces>1118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2022-02-16T06:14:00Z</dcterms:created>
  <dc:creator>Administrator</dc:creator>
  <cp:lastModifiedBy>Jorva</cp:lastModifiedBy>
  <cp:lastPrinted>2026-06-04T07:48:00Z</cp:lastPrinted>
  <dcterms:modified xsi:type="dcterms:W3CDTF">2026-06-17T02:10:29Z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DF9A77B38FBA4F8D89F7F653CD69A2C7_13</vt:lpwstr>
  </property>
  <property fmtid="{D5CDD505-2E9C-101B-9397-08002B2CF9AE}" pid="4" name="KSOTemplateDocerSaveRecord">
    <vt:lpwstr>eyJoZGlkIjoiYzc3ODQ1MzE1OGZjNzcwNzc3YmIwNjMxNjMwODEyNjciLCJ1c2VySWQiOiI2NDA5NzM0MDYifQ==</vt:lpwstr>
  </property>
</Properties>
</file>