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36D14F">
      <w:pPr>
        <w:pStyle w:val="2"/>
        <w:ind w:left="0" w:leftChars="0" w:firstLine="0" w:firstLineChars="0"/>
        <w:jc w:val="center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投标方案</w:t>
      </w:r>
    </w:p>
    <w:p w14:paraId="2FF09043">
      <w:pPr>
        <w:pStyle w:val="11"/>
        <w:keepNext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ind w:firstLine="0" w:firstLineChars="0"/>
        <w:jc w:val="center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评审要素（主观分）索引表</w:t>
      </w:r>
    </w:p>
    <w:tbl>
      <w:tblPr>
        <w:tblStyle w:val="9"/>
        <w:tblW w:w="886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5"/>
        <w:gridCol w:w="1742"/>
        <w:gridCol w:w="4136"/>
        <w:gridCol w:w="2145"/>
      </w:tblGrid>
      <w:tr w14:paraId="2727EE6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45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 w14:paraId="1E8A13CC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1742" w:type="dxa"/>
            <w:tcBorders>
              <w:top w:val="single" w:color="auto" w:sz="12" w:space="0"/>
              <w:bottom w:val="single" w:color="auto" w:sz="2" w:space="0"/>
              <w:right w:val="single" w:color="auto" w:sz="4" w:space="0"/>
            </w:tcBorders>
            <w:shd w:val="clear" w:color="auto" w:fill="F1F1F1" w:themeFill="background1" w:themeFillShade="F2"/>
            <w:vAlign w:val="center"/>
          </w:tcPr>
          <w:p w14:paraId="517FB632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招标文件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评审要素</w:t>
            </w:r>
          </w:p>
        </w:tc>
        <w:tc>
          <w:tcPr>
            <w:tcW w:w="4136" w:type="dxa"/>
            <w:tcBorders>
              <w:top w:val="single" w:color="auto" w:sz="12" w:space="0"/>
              <w:left w:val="single" w:color="auto" w:sz="4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 w14:paraId="5BBBA042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评审内容</w:t>
            </w:r>
          </w:p>
        </w:tc>
        <w:tc>
          <w:tcPr>
            <w:tcW w:w="2145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 w14:paraId="7B6A046C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响应索引</w:t>
            </w:r>
          </w:p>
        </w:tc>
      </w:tr>
      <w:tr w14:paraId="6E637DD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45" w:type="dxa"/>
            <w:tcBorders>
              <w:top w:val="single" w:color="auto" w:sz="2" w:space="0"/>
            </w:tcBorders>
            <w:vAlign w:val="center"/>
          </w:tcPr>
          <w:p w14:paraId="52A02CB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742" w:type="dxa"/>
            <w:vMerge w:val="restart"/>
            <w:tcBorders>
              <w:top w:val="single" w:color="auto" w:sz="2" w:space="0"/>
              <w:right w:val="single" w:color="auto" w:sz="4" w:space="0"/>
            </w:tcBorders>
            <w:vAlign w:val="center"/>
          </w:tcPr>
          <w:p w14:paraId="5A3997B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总体实施方案</w:t>
            </w:r>
          </w:p>
        </w:tc>
        <w:tc>
          <w:tcPr>
            <w:tcW w:w="4136" w:type="dxa"/>
            <w:tcBorders>
              <w:top w:val="single" w:color="auto" w:sz="2" w:space="0"/>
              <w:left w:val="single" w:color="auto" w:sz="4" w:space="0"/>
            </w:tcBorders>
            <w:vAlign w:val="center"/>
          </w:tcPr>
          <w:p w14:paraId="507B1E7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</w:rPr>
              <w:t>技术</w:t>
            </w:r>
            <w:r>
              <w:rPr>
                <w:rFonts w:hint="eastAsia" w:ascii="宋体" w:hAnsi="宋体" w:eastAsia="宋体" w:cs="宋体"/>
                <w:b w:val="0"/>
                <w:bCs w:val="0"/>
                <w:lang w:val="en-US" w:eastAsia="zh-CN"/>
              </w:rPr>
              <w:t>方案</w:t>
            </w:r>
          </w:p>
        </w:tc>
        <w:tc>
          <w:tcPr>
            <w:tcW w:w="2145" w:type="dxa"/>
            <w:tcBorders>
              <w:top w:val="single" w:color="auto" w:sz="2" w:space="0"/>
            </w:tcBorders>
            <w:vAlign w:val="center"/>
          </w:tcPr>
          <w:p w14:paraId="3BAEEEE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B45B42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45" w:type="dxa"/>
            <w:vAlign w:val="center"/>
          </w:tcPr>
          <w:p w14:paraId="280FB0C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742" w:type="dxa"/>
            <w:vMerge w:val="continue"/>
            <w:tcBorders>
              <w:right w:val="single" w:color="auto" w:sz="4" w:space="0"/>
            </w:tcBorders>
            <w:vAlign w:val="center"/>
          </w:tcPr>
          <w:p w14:paraId="4551E45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136" w:type="dxa"/>
            <w:tcBorders>
              <w:left w:val="single" w:color="auto" w:sz="4" w:space="0"/>
            </w:tcBorders>
            <w:vAlign w:val="center"/>
          </w:tcPr>
          <w:p w14:paraId="16D54BE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</w:rPr>
              <w:t>工期进度、测试及上线计划</w:t>
            </w:r>
          </w:p>
        </w:tc>
        <w:tc>
          <w:tcPr>
            <w:tcW w:w="2145" w:type="dxa"/>
            <w:vAlign w:val="center"/>
          </w:tcPr>
          <w:p w14:paraId="3735374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D8DBF1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45" w:type="dxa"/>
            <w:vAlign w:val="center"/>
          </w:tcPr>
          <w:p w14:paraId="18298B6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742" w:type="dxa"/>
            <w:vMerge w:val="continue"/>
            <w:tcBorders>
              <w:right w:val="single" w:color="auto" w:sz="4" w:space="0"/>
            </w:tcBorders>
            <w:vAlign w:val="center"/>
          </w:tcPr>
          <w:p w14:paraId="7DFD3B1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136" w:type="dxa"/>
            <w:tcBorders>
              <w:left w:val="single" w:color="auto" w:sz="4" w:space="0"/>
            </w:tcBorders>
            <w:vAlign w:val="center"/>
          </w:tcPr>
          <w:p w14:paraId="1BAB96B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</w:rPr>
              <w:t>人员组织结构</w:t>
            </w:r>
            <w:r>
              <w:rPr>
                <w:rFonts w:hint="eastAsia" w:ascii="宋体" w:hAnsi="宋体" w:eastAsia="宋体" w:cs="宋体"/>
                <w:b w:val="0"/>
                <w:bCs w:val="0"/>
                <w:lang w:val="en-US" w:eastAsia="zh-CN"/>
              </w:rPr>
              <w:t>及调度</w:t>
            </w:r>
          </w:p>
        </w:tc>
        <w:tc>
          <w:tcPr>
            <w:tcW w:w="2145" w:type="dxa"/>
            <w:vAlign w:val="center"/>
          </w:tcPr>
          <w:p w14:paraId="13B7AEB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364975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45" w:type="dxa"/>
            <w:vAlign w:val="center"/>
          </w:tcPr>
          <w:p w14:paraId="1B06D68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742" w:type="dxa"/>
            <w:vMerge w:val="continue"/>
            <w:tcBorders>
              <w:right w:val="single" w:color="auto" w:sz="4" w:space="0"/>
            </w:tcBorders>
            <w:vAlign w:val="center"/>
          </w:tcPr>
          <w:p w14:paraId="766E77F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136" w:type="dxa"/>
            <w:tcBorders>
              <w:left w:val="single" w:color="auto" w:sz="4" w:space="0"/>
            </w:tcBorders>
            <w:vAlign w:val="center"/>
          </w:tcPr>
          <w:p w14:paraId="2D55B1A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</w:rPr>
              <w:t>服务质量保证措施</w:t>
            </w:r>
          </w:p>
        </w:tc>
        <w:tc>
          <w:tcPr>
            <w:tcW w:w="2145" w:type="dxa"/>
            <w:vAlign w:val="center"/>
          </w:tcPr>
          <w:p w14:paraId="292B173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B8923D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45" w:type="dxa"/>
            <w:vAlign w:val="center"/>
          </w:tcPr>
          <w:p w14:paraId="77FAC74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742" w:type="dxa"/>
            <w:vMerge w:val="continue"/>
            <w:tcBorders>
              <w:right w:val="single" w:color="auto" w:sz="4" w:space="0"/>
            </w:tcBorders>
            <w:vAlign w:val="center"/>
          </w:tcPr>
          <w:p w14:paraId="2138C68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136" w:type="dxa"/>
            <w:tcBorders>
              <w:left w:val="single" w:color="auto" w:sz="4" w:space="0"/>
            </w:tcBorders>
            <w:vAlign w:val="center"/>
          </w:tcPr>
          <w:p w14:paraId="0799EF2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val="en-US" w:eastAsia="zh-CN"/>
              </w:rPr>
              <w:t>项目培训方案</w:t>
            </w:r>
          </w:p>
        </w:tc>
        <w:tc>
          <w:tcPr>
            <w:tcW w:w="2145" w:type="dxa"/>
            <w:vAlign w:val="center"/>
          </w:tcPr>
          <w:p w14:paraId="3976341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20B0F1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45" w:type="dxa"/>
            <w:vAlign w:val="center"/>
          </w:tcPr>
          <w:p w14:paraId="1BB9EF2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742" w:type="dxa"/>
            <w:vMerge w:val="restart"/>
            <w:tcBorders>
              <w:right w:val="single" w:color="auto" w:sz="4" w:space="0"/>
            </w:tcBorders>
            <w:vAlign w:val="center"/>
          </w:tcPr>
          <w:p w14:paraId="3F526FD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</w:rPr>
              <w:t>故障响应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及售后服务</w:t>
            </w:r>
            <w:r>
              <w:rPr>
                <w:rFonts w:hint="eastAsia" w:ascii="宋体" w:hAnsi="宋体" w:eastAsia="宋体" w:cs="宋体"/>
              </w:rPr>
              <w:t>方案</w:t>
            </w:r>
          </w:p>
        </w:tc>
        <w:tc>
          <w:tcPr>
            <w:tcW w:w="4136" w:type="dxa"/>
            <w:tcBorders>
              <w:left w:val="single" w:color="auto" w:sz="4" w:space="0"/>
            </w:tcBorders>
            <w:vAlign w:val="center"/>
          </w:tcPr>
          <w:p w14:paraId="086AAA0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</w:rPr>
              <w:t>故障识别和报告机制</w:t>
            </w:r>
          </w:p>
        </w:tc>
        <w:tc>
          <w:tcPr>
            <w:tcW w:w="2145" w:type="dxa"/>
            <w:vAlign w:val="center"/>
          </w:tcPr>
          <w:p w14:paraId="18A3505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3FBAD9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45" w:type="dxa"/>
            <w:vAlign w:val="center"/>
          </w:tcPr>
          <w:p w14:paraId="3407973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742" w:type="dxa"/>
            <w:vMerge w:val="continue"/>
            <w:tcBorders>
              <w:right w:val="single" w:color="auto" w:sz="4" w:space="0"/>
            </w:tcBorders>
            <w:vAlign w:val="center"/>
          </w:tcPr>
          <w:p w14:paraId="6E150CB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4136" w:type="dxa"/>
            <w:tcBorders>
              <w:left w:val="single" w:color="auto" w:sz="4" w:space="0"/>
            </w:tcBorders>
            <w:vAlign w:val="center"/>
          </w:tcPr>
          <w:p w14:paraId="0DE72DE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val="en-US" w:eastAsia="zh-CN"/>
              </w:rPr>
              <w:t>应急预案</w:t>
            </w:r>
          </w:p>
        </w:tc>
        <w:tc>
          <w:tcPr>
            <w:tcW w:w="2145" w:type="dxa"/>
            <w:vAlign w:val="center"/>
          </w:tcPr>
          <w:p w14:paraId="0879298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5CE6C2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45" w:type="dxa"/>
            <w:vAlign w:val="center"/>
          </w:tcPr>
          <w:p w14:paraId="6DBEACE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1742" w:type="dxa"/>
            <w:vMerge w:val="continue"/>
            <w:tcBorders>
              <w:right w:val="single" w:color="auto" w:sz="4" w:space="0"/>
            </w:tcBorders>
            <w:vAlign w:val="center"/>
          </w:tcPr>
          <w:p w14:paraId="4A617D0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4136" w:type="dxa"/>
            <w:tcBorders>
              <w:left w:val="single" w:color="auto" w:sz="4" w:space="0"/>
            </w:tcBorders>
            <w:vAlign w:val="center"/>
          </w:tcPr>
          <w:p w14:paraId="6937B70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</w:rPr>
              <w:t>售后服务整体安排计划</w:t>
            </w:r>
          </w:p>
        </w:tc>
        <w:tc>
          <w:tcPr>
            <w:tcW w:w="2145" w:type="dxa"/>
            <w:vAlign w:val="center"/>
          </w:tcPr>
          <w:p w14:paraId="61A0DEB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5E908E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45" w:type="dxa"/>
            <w:vAlign w:val="center"/>
          </w:tcPr>
          <w:p w14:paraId="420487B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1742" w:type="dxa"/>
            <w:vMerge w:val="continue"/>
            <w:tcBorders>
              <w:right w:val="single" w:color="auto" w:sz="4" w:space="0"/>
            </w:tcBorders>
            <w:vAlign w:val="center"/>
          </w:tcPr>
          <w:p w14:paraId="716F2CB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136" w:type="dxa"/>
            <w:tcBorders>
              <w:left w:val="single" w:color="auto" w:sz="4" w:space="0"/>
            </w:tcBorders>
            <w:vAlign w:val="center"/>
          </w:tcPr>
          <w:p w14:paraId="5C4FF22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lang w:eastAsia="zh-CN"/>
              </w:rPr>
              <w:t>售后服务团队人员安排计划</w:t>
            </w:r>
          </w:p>
        </w:tc>
        <w:tc>
          <w:tcPr>
            <w:tcW w:w="2145" w:type="dxa"/>
            <w:vAlign w:val="center"/>
          </w:tcPr>
          <w:p w14:paraId="2BD9A0E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1A5C5E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45" w:type="dxa"/>
            <w:vAlign w:val="center"/>
          </w:tcPr>
          <w:p w14:paraId="384F462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1742" w:type="dxa"/>
            <w:vMerge w:val="continue"/>
            <w:tcBorders>
              <w:right w:val="single" w:color="auto" w:sz="4" w:space="0"/>
            </w:tcBorders>
            <w:vAlign w:val="center"/>
          </w:tcPr>
          <w:p w14:paraId="74025F4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136" w:type="dxa"/>
            <w:tcBorders>
              <w:left w:val="single" w:color="auto" w:sz="4" w:space="0"/>
            </w:tcBorders>
            <w:vAlign w:val="center"/>
          </w:tcPr>
          <w:p w14:paraId="042B2AD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</w:rPr>
              <w:t>客户反馈机制</w:t>
            </w:r>
          </w:p>
        </w:tc>
        <w:tc>
          <w:tcPr>
            <w:tcW w:w="2145" w:type="dxa"/>
            <w:vAlign w:val="center"/>
          </w:tcPr>
          <w:p w14:paraId="330C45E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995DFE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45" w:type="dxa"/>
            <w:vAlign w:val="center"/>
          </w:tcPr>
          <w:p w14:paraId="62CE4A4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备注</w:t>
            </w:r>
          </w:p>
        </w:tc>
        <w:tc>
          <w:tcPr>
            <w:tcW w:w="8023" w:type="dxa"/>
            <w:gridSpan w:val="3"/>
            <w:vAlign w:val="center"/>
          </w:tcPr>
          <w:p w14:paraId="4AEB09E8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．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对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评审要素及分值一览表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中主观分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做出响应。</w:t>
            </w:r>
          </w:p>
          <w:p w14:paraId="6951A0F1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．“响应索引”单元格中注明引用位置，如“见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投标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方案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P1页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”。</w:t>
            </w:r>
          </w:p>
        </w:tc>
      </w:tr>
    </w:tbl>
    <w:p w14:paraId="58D7D2A0">
      <w:pPr>
        <w:spacing w:line="560" w:lineRule="exact"/>
        <w:ind w:firstLine="480" w:firstLineChars="200"/>
        <w:jc w:val="both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供应商：（供应商全称并加盖公章）</w:t>
      </w:r>
    </w:p>
    <w:p w14:paraId="5A5831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40" w:beforeLines="100" w:after="240" w:afterLines="100" w:line="360" w:lineRule="auto"/>
        <w:ind w:firstLine="480" w:firstLineChars="200"/>
        <w:jc w:val="left"/>
        <w:textAlignment w:val="auto"/>
        <w:outlineLvl w:val="2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  期：    年  月  日</w:t>
      </w:r>
    </w:p>
    <w:p w14:paraId="22F7211B"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br w:type="page"/>
      </w:r>
    </w:p>
    <w:p w14:paraId="7FE3E303">
      <w:pPr>
        <w:pStyle w:val="11"/>
        <w:keepNext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ind w:firstLine="0" w:firstLineChars="0"/>
        <w:jc w:val="center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供应商依据评分标准相关内容编写，格式自拟。</w:t>
      </w:r>
    </w:p>
    <w:p w14:paraId="7BF916A6">
      <w:pPr>
        <w:spacing w:before="240" w:beforeLines="100" w:after="240" w:afterLines="100"/>
        <w:jc w:val="center"/>
        <w:outlineLvl w:val="2"/>
        <w:rPr>
          <w:rFonts w:hint="eastAsia" w:ascii="宋体" w:hAnsi="宋体" w:eastAsia="宋体" w:cs="宋体"/>
          <w:b/>
          <w:sz w:val="28"/>
          <w:szCs w:val="28"/>
        </w:rPr>
      </w:pPr>
    </w:p>
    <w:p w14:paraId="4614455F">
      <w:pPr>
        <w:spacing w:before="240" w:beforeLines="100" w:after="240" w:afterLines="100"/>
        <w:jc w:val="center"/>
        <w:outlineLvl w:val="2"/>
        <w:rPr>
          <w:rFonts w:hint="eastAsia" w:ascii="宋体" w:hAnsi="宋体" w:eastAsia="宋体" w:cs="宋体"/>
          <w:b/>
          <w:sz w:val="28"/>
          <w:szCs w:val="28"/>
        </w:rPr>
      </w:pPr>
    </w:p>
    <w:p w14:paraId="2B4A8F46">
      <w:pPr>
        <w:pStyle w:val="5"/>
        <w:rPr>
          <w:rFonts w:hint="eastAsia" w:ascii="宋体" w:hAnsi="宋体" w:eastAsia="宋体" w:cs="宋体"/>
          <w:b/>
          <w:sz w:val="28"/>
          <w:szCs w:val="28"/>
        </w:rPr>
      </w:pPr>
    </w:p>
    <w:p w14:paraId="04683EAD">
      <w:pPr>
        <w:rPr>
          <w:rFonts w:hint="eastAsia" w:ascii="宋体" w:hAnsi="宋体" w:eastAsia="宋体" w:cs="宋体"/>
          <w:b/>
          <w:sz w:val="28"/>
          <w:szCs w:val="28"/>
        </w:rPr>
      </w:pPr>
    </w:p>
    <w:p w14:paraId="0F9E072D">
      <w:pPr>
        <w:pStyle w:val="5"/>
        <w:rPr>
          <w:rFonts w:hint="eastAsia" w:ascii="宋体" w:hAnsi="宋体" w:eastAsia="宋体" w:cs="宋体"/>
          <w:b/>
          <w:sz w:val="28"/>
          <w:szCs w:val="28"/>
        </w:rPr>
      </w:pPr>
    </w:p>
    <w:p w14:paraId="14295A79">
      <w:pPr>
        <w:rPr>
          <w:rFonts w:hint="eastAsia" w:ascii="宋体" w:hAnsi="宋体" w:eastAsia="宋体" w:cs="宋体"/>
          <w:b/>
          <w:sz w:val="28"/>
          <w:szCs w:val="28"/>
        </w:rPr>
      </w:pPr>
    </w:p>
    <w:p w14:paraId="336E611A">
      <w:pPr>
        <w:pStyle w:val="5"/>
        <w:rPr>
          <w:rFonts w:hint="eastAsia" w:ascii="宋体" w:hAnsi="宋体" w:eastAsia="宋体" w:cs="宋体"/>
          <w:b/>
          <w:sz w:val="28"/>
          <w:szCs w:val="28"/>
        </w:rPr>
      </w:pPr>
    </w:p>
    <w:p w14:paraId="7B688604">
      <w:pPr>
        <w:rPr>
          <w:rFonts w:hint="eastAsia" w:ascii="宋体" w:hAnsi="宋体" w:eastAsia="宋体" w:cs="宋体"/>
          <w:b/>
          <w:sz w:val="28"/>
          <w:szCs w:val="28"/>
        </w:rPr>
      </w:pPr>
    </w:p>
    <w:p w14:paraId="2E637618">
      <w:pPr>
        <w:pStyle w:val="5"/>
        <w:rPr>
          <w:rFonts w:hint="eastAsia" w:ascii="宋体" w:hAnsi="宋体" w:eastAsia="宋体" w:cs="宋体"/>
          <w:b/>
          <w:sz w:val="28"/>
          <w:szCs w:val="28"/>
        </w:rPr>
      </w:pPr>
    </w:p>
    <w:p w14:paraId="3397A911">
      <w:pPr>
        <w:rPr>
          <w:rFonts w:hint="eastAsia" w:ascii="宋体" w:hAnsi="宋体" w:eastAsia="宋体" w:cs="宋体"/>
          <w:b/>
          <w:sz w:val="28"/>
          <w:szCs w:val="28"/>
        </w:rPr>
      </w:pPr>
    </w:p>
    <w:p w14:paraId="3703BE44">
      <w:pPr>
        <w:pStyle w:val="5"/>
        <w:rPr>
          <w:rFonts w:hint="eastAsia" w:ascii="宋体" w:hAnsi="宋体" w:eastAsia="宋体" w:cs="宋体"/>
          <w:b/>
          <w:sz w:val="28"/>
          <w:szCs w:val="28"/>
        </w:rPr>
      </w:pPr>
    </w:p>
    <w:p w14:paraId="4B1FB90B">
      <w:pPr>
        <w:rPr>
          <w:rFonts w:hint="eastAsia" w:ascii="宋体" w:hAnsi="宋体" w:eastAsia="宋体" w:cs="宋体"/>
          <w:b/>
          <w:sz w:val="28"/>
          <w:szCs w:val="28"/>
        </w:rPr>
      </w:pPr>
      <w:bookmarkStart w:id="0" w:name="_GoBack"/>
      <w:bookmarkEnd w:id="0"/>
    </w:p>
    <w:p w14:paraId="4EBB5390">
      <w:pPr>
        <w:pStyle w:val="5"/>
        <w:rPr>
          <w:rFonts w:hint="eastAsia" w:ascii="宋体" w:hAnsi="宋体" w:eastAsia="宋体" w:cs="宋体"/>
          <w:b/>
          <w:sz w:val="28"/>
          <w:szCs w:val="28"/>
        </w:rPr>
      </w:pPr>
    </w:p>
    <w:p w14:paraId="4480B125">
      <w:pPr>
        <w:rPr>
          <w:rFonts w:hint="eastAsia" w:ascii="宋体" w:hAnsi="宋体" w:eastAsia="宋体" w:cs="宋体"/>
          <w:b/>
          <w:sz w:val="28"/>
          <w:szCs w:val="28"/>
        </w:rPr>
      </w:pPr>
    </w:p>
    <w:p w14:paraId="4D86F4E0">
      <w:pPr>
        <w:pStyle w:val="5"/>
        <w:rPr>
          <w:rFonts w:hint="eastAsia" w:ascii="宋体" w:hAnsi="宋体" w:eastAsia="宋体" w:cs="宋体"/>
          <w:b/>
          <w:sz w:val="28"/>
          <w:szCs w:val="28"/>
        </w:rPr>
      </w:pPr>
    </w:p>
    <w:p w14:paraId="32BD83F0">
      <w:pPr>
        <w:rPr>
          <w:rFonts w:hint="eastAsia" w:ascii="宋体" w:hAnsi="宋体" w:eastAsia="宋体" w:cs="宋体"/>
          <w:b/>
          <w:sz w:val="28"/>
          <w:szCs w:val="28"/>
        </w:rPr>
      </w:pPr>
    </w:p>
    <w:p w14:paraId="03AFB1DF">
      <w:pPr>
        <w:pStyle w:val="5"/>
        <w:rPr>
          <w:rFonts w:hint="eastAsia" w:ascii="宋体" w:hAnsi="宋体" w:eastAsia="宋体" w:cs="宋体"/>
          <w:b/>
          <w:sz w:val="28"/>
          <w:szCs w:val="28"/>
        </w:rPr>
      </w:pPr>
    </w:p>
    <w:p w14:paraId="5B62B1B8">
      <w:pPr>
        <w:rPr>
          <w:rFonts w:hint="eastAsia" w:ascii="宋体" w:hAnsi="宋体" w:eastAsia="宋体" w:cs="宋体"/>
          <w:b/>
          <w:sz w:val="28"/>
          <w:szCs w:val="28"/>
        </w:rPr>
      </w:pPr>
    </w:p>
    <w:p w14:paraId="04DC2FBA">
      <w:pPr>
        <w:pStyle w:val="5"/>
        <w:rPr>
          <w:rFonts w:hint="eastAsia" w:ascii="宋体" w:hAnsi="宋体" w:eastAsia="宋体" w:cs="宋体"/>
          <w:b/>
          <w:sz w:val="28"/>
          <w:szCs w:val="28"/>
        </w:rPr>
      </w:pPr>
    </w:p>
    <w:p w14:paraId="0B351C9E">
      <w:pPr>
        <w:rPr>
          <w:rFonts w:hint="eastAsia" w:ascii="宋体" w:hAnsi="宋体" w:eastAsia="宋体" w:cs="宋体"/>
          <w:b/>
          <w:sz w:val="28"/>
          <w:szCs w:val="28"/>
        </w:rPr>
      </w:pPr>
    </w:p>
    <w:p w14:paraId="26E66C4A">
      <w:pPr>
        <w:pStyle w:val="5"/>
        <w:rPr>
          <w:rFonts w:hint="eastAsia" w:ascii="宋体" w:hAnsi="宋体" w:eastAsia="宋体" w:cs="宋体"/>
          <w:b/>
          <w:sz w:val="28"/>
          <w:szCs w:val="28"/>
        </w:rPr>
      </w:pPr>
    </w:p>
    <w:p w14:paraId="53426045">
      <w:pPr>
        <w:rPr>
          <w:rFonts w:hint="eastAsia" w:ascii="宋体" w:hAnsi="宋体" w:eastAsia="宋体" w:cs="宋体"/>
          <w:b/>
          <w:sz w:val="28"/>
          <w:szCs w:val="28"/>
        </w:rPr>
      </w:pPr>
    </w:p>
    <w:p w14:paraId="0EF37CBB">
      <w:pPr>
        <w:pStyle w:val="5"/>
        <w:rPr>
          <w:rFonts w:hint="eastAsia" w:ascii="宋体" w:hAnsi="宋体" w:eastAsia="宋体" w:cs="宋体"/>
          <w:b/>
          <w:sz w:val="28"/>
          <w:szCs w:val="28"/>
        </w:rPr>
      </w:pPr>
    </w:p>
    <w:p w14:paraId="0CB1BF8F">
      <w:pPr>
        <w:rPr>
          <w:rFonts w:hint="eastAsia" w:ascii="宋体" w:hAnsi="宋体" w:eastAsia="宋体" w:cs="宋体"/>
        </w:rPr>
      </w:pPr>
    </w:p>
    <w:sectPr>
      <w:headerReference r:id="rId3" w:type="default"/>
      <w:headerReference r:id="rId4" w:type="even"/>
      <w:footerReference r:id="rId5" w:type="even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AndChars" w:linePitch="42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02"/>
    <w:family w:val="decorative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0000000000000000000"/>
    <w:charset w:val="86"/>
    <w:family w:val="auto"/>
    <w:pitch w:val="default"/>
    <w:sig w:usb0="00000000" w:usb1="00000000" w:usb2="00000010" w:usb3="00000000" w:csb0="0004009F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C173F9"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E2E67FE"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E2E67FE"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F47863">
    <w:pPr>
      <w:pStyle w:val="7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2B228C">
    <w:pPr>
      <w:pStyle w:val="7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hiMDMzNjQyNmE0ZDYyZWQ3YmQ0OTIyODdmODZlOTYifQ=="/>
  </w:docVars>
  <w:rsids>
    <w:rsidRoot w:val="00000000"/>
    <w:rsid w:val="06FB3A05"/>
    <w:rsid w:val="20670109"/>
    <w:rsid w:val="23390B76"/>
    <w:rsid w:val="2DC53DE6"/>
    <w:rsid w:val="3EDE5FEE"/>
    <w:rsid w:val="3FBD4E25"/>
    <w:rsid w:val="56F930B7"/>
    <w:rsid w:val="64EF679C"/>
    <w:rsid w:val="7AE11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cs="Times New Roman" w:asciiTheme="minorHAnsi" w:hAnsiTheme="minorHAnsi" w:eastAsiaTheme="minorEastAsia"/>
      <w:sz w:val="24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spacing w:line="560" w:lineRule="exact"/>
      <w:ind w:firstLine="640" w:firstLineChars="200"/>
      <w:jc w:val="both"/>
      <w:outlineLvl w:val="1"/>
    </w:pPr>
    <w:rPr>
      <w:rFonts w:ascii="楷体" w:hAnsi="楷体" w:eastAsia="黑体"/>
      <w:sz w:val="32"/>
      <w:szCs w:val="32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4"/>
    <w:qFormat/>
    <w:uiPriority w:val="0"/>
    <w:pPr>
      <w:ind w:firstLine="420"/>
    </w:pPr>
    <w:rPr>
      <w:szCs w:val="20"/>
    </w:rPr>
  </w:style>
  <w:style w:type="paragraph" w:styleId="4">
    <w:name w:val="toc 4"/>
    <w:basedOn w:val="1"/>
    <w:next w:val="1"/>
    <w:unhideWhenUsed/>
    <w:qFormat/>
    <w:uiPriority w:val="39"/>
    <w:pPr>
      <w:ind w:left="1260" w:leftChars="600"/>
    </w:pPr>
  </w:style>
  <w:style w:type="paragraph" w:styleId="5">
    <w:name w:val="Body Text"/>
    <w:basedOn w:val="1"/>
    <w:next w:val="1"/>
    <w:qFormat/>
    <w:uiPriority w:val="99"/>
    <w:pPr>
      <w:ind w:right="-84" w:rightChars="-40"/>
      <w:jc w:val="left"/>
    </w:pPr>
    <w:rPr>
      <w:rFonts w:eastAsia="仿宋"/>
    </w:rPr>
  </w:style>
  <w:style w:type="paragraph" w:styleId="6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7">
    <w:name w:val="header"/>
    <w:basedOn w:val="1"/>
    <w:autoRedefine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99"/>
    <w:pPr>
      <w:widowControl/>
      <w:spacing w:before="100" w:beforeLines="0" w:beforeAutospacing="1" w:after="100" w:afterLines="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1">
    <w:name w:val="样式2"/>
    <w:basedOn w:val="12"/>
    <w:autoRedefine/>
    <w:qFormat/>
    <w:uiPriority w:val="0"/>
    <w:pPr>
      <w:spacing w:line="560" w:lineRule="exact"/>
      <w:ind w:firstLine="643" w:firstLineChars="200"/>
      <w:jc w:val="both"/>
    </w:pPr>
    <w:rPr>
      <w:rFonts w:ascii="仿宋_GB2312" w:hAnsi="仿宋" w:eastAsia="仿宋_GB2312"/>
      <w:b/>
      <w:bCs/>
      <w:szCs w:val="32"/>
    </w:rPr>
  </w:style>
  <w:style w:type="paragraph" w:customStyle="1" w:styleId="12">
    <w:name w:val="@标题"/>
    <w:basedOn w:val="1"/>
    <w:next w:val="13"/>
    <w:autoRedefine/>
    <w:qFormat/>
    <w:uiPriority w:val="0"/>
    <w:pPr>
      <w:keepNext/>
      <w:spacing w:before="50" w:beforeLines="50" w:after="50" w:afterLines="50"/>
      <w:jc w:val="center"/>
      <w:outlineLvl w:val="1"/>
    </w:pPr>
    <w:rPr>
      <w:rFonts w:ascii="Calibri" w:hAnsi="Calibri" w:eastAsia="黑体"/>
      <w:kern w:val="32"/>
      <w:sz w:val="32"/>
    </w:rPr>
  </w:style>
  <w:style w:type="paragraph" w:customStyle="1" w:styleId="13">
    <w:name w:val="@正文"/>
    <w:basedOn w:val="14"/>
    <w:autoRedefine/>
    <w:qFormat/>
    <w:uiPriority w:val="0"/>
    <w:pPr>
      <w:wordWrap/>
      <w:spacing w:line="240" w:lineRule="auto"/>
      <w:ind w:firstLine="200" w:firstLineChars="200"/>
      <w:jc w:val="both"/>
    </w:pPr>
    <w:rPr>
      <w:rFonts w:ascii="Calibri" w:hAnsi="Calibri" w:eastAsia="宋体" w:cstheme="minorHAnsi"/>
      <w:color w:val="000000"/>
      <w:kern w:val="24"/>
      <w:sz w:val="24"/>
      <w:szCs w:val="24"/>
    </w:rPr>
  </w:style>
  <w:style w:type="paragraph" w:customStyle="1" w:styleId="14">
    <w:name w:val="※正文"/>
    <w:basedOn w:val="1"/>
    <w:next w:val="1"/>
    <w:autoRedefine/>
    <w:qFormat/>
    <w:uiPriority w:val="0"/>
    <w:pPr>
      <w:wordWrap w:val="0"/>
      <w:spacing w:line="400" w:lineRule="exact"/>
    </w:pPr>
    <w:rPr>
      <w:rFonts w:ascii="Calibri Light" w:hAnsi="Calibri Light" w:eastAsia="华文仿宋"/>
      <w:sz w:val="28"/>
      <w:szCs w:val="28"/>
    </w:rPr>
  </w:style>
  <w:style w:type="table" w:customStyle="1" w:styleId="15">
    <w:name w:val="网格型1"/>
    <w:basedOn w:val="9"/>
    <w:autoRedefine/>
    <w:qFormat/>
    <w:uiPriority w:val="39"/>
    <w:pPr>
      <w:ind w:firstLine="200"/>
    </w:pPr>
    <w:rPr>
      <w:rFonts w:ascii="Calibri Light" w:hAnsi="Calibri Light" w:eastAsia="华文仿宋"/>
      <w:kern w:val="2"/>
      <w:sz w:val="28"/>
      <w:szCs w:val="28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25</Words>
  <Characters>25</Characters>
  <Lines>0</Lines>
  <Paragraphs>0</Paragraphs>
  <TotalTime>2</TotalTime>
  <ScaleCrop>false</ScaleCrop>
  <LinksUpToDate>false</LinksUpToDate>
  <CharactersWithSpaces>25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2023-10-20T03:50:00Z</dcterms:created>
  <dc:creator>Administrator</dc:creator>
  <cp:lastModifiedBy>Jorva</cp:lastModifiedBy>
  <dcterms:modified xsi:type="dcterms:W3CDTF">2026-06-17T02:43:26Z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B1DA245450C149499F2A485034914F99_12</vt:lpwstr>
  </property>
  <property fmtid="{D5CDD505-2E9C-101B-9397-08002B2CF9AE}" pid="4" name="KSOTemplateDocerSaveRecord">
    <vt:lpwstr>eyJoZGlkIjoiYzc3ODQ1MzE1OGZjNzcwNzc3YmIwNjMxNjMwODEyNjciLCJ1c2VySWQiOiI2NDA5NzM0MDYifQ==</vt:lpwstr>
  </property>
</Properties>
</file>