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版本号：ZD0926-008ZWN.1B120260812002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渭南黄河几字弯与秦岭北麓重点区域2026年度林业有害生物防治项目(二次)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ZD0926-008ZWN.1B1</w:t>
      </w:r>
      <w:r>
        <w:br/>
      </w:r>
      <w:r>
        <w:br/>
      </w:r>
      <w:r>
        <w:br/>
      </w:r>
    </w:p>
    <w:p>
      <w:pPr>
        <w:pStyle w:val="null3"/>
        <w:jc w:val="center"/>
        <w:outlineLvl w:val="2"/>
      </w:pPr>
      <w:r>
        <w:rPr>
          <w:rFonts w:ascii="仿宋_GB2312" w:hAnsi="仿宋_GB2312" w:cs="仿宋_GB2312" w:eastAsia="仿宋_GB2312"/>
          <w:sz w:val="28"/>
          <w:b/>
        </w:rPr>
        <w:t>渭南市林业工作站</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渭南市林业工作站</w:t>
      </w:r>
      <w:r>
        <w:rPr>
          <w:rFonts w:ascii="仿宋_GB2312" w:hAnsi="仿宋_GB2312" w:cs="仿宋_GB2312" w:eastAsia="仿宋_GB2312"/>
        </w:rPr>
        <w:t>委托，拟对</w:t>
      </w:r>
      <w:r>
        <w:rPr>
          <w:rFonts w:ascii="仿宋_GB2312" w:hAnsi="仿宋_GB2312" w:cs="仿宋_GB2312" w:eastAsia="仿宋_GB2312"/>
        </w:rPr>
        <w:t>渭南黄河几字弯与秦岭北麓重点区域2026年度林业有害生物防治项目(二次)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ZD0926-008ZWN.1B1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渭南黄河几字弯与秦岭北麓重点区域2026年度林业有害生物防治项目(二次)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松材线虫病等重大林业有害生物防控要求及全市主要林业有害生物发生情况，储备针对天牛等蛀干害虫，美国白蛾、刺槐尺蠖等食叶害虫，花椒蚜虫的应急防治药剂、可降解粘虫黄板；印制林业有害生物防治宣传资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采购包1（渭南黄河几字弯与秦岭北麓重点区域2026年度林业有害生物防治项目）：属于专门面向中小企业采购。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投标人为经销商/代理商的须提供有效期内的《农药经营许可证》，所投农药须提供《农药生产许可证》、《农药登记证》。投标人为生产厂家须提供有效期内的《农药生产许可证》及所投农药的《农药登记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渭南市朝阳大街中段林业大厦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13909133133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西安市雁塔区南二环东段22号（凯森盛世1号）A座27楼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w:t>
            </w:r>
          </w:p>
          <w:p>
            <w:pPr>
              <w:pStyle w:val="null3"/>
            </w:pPr>
            <w:r>
              <w:rPr>
                <w:rFonts w:ascii="仿宋_GB2312" w:hAnsi="仿宋_GB2312" w:cs="仿宋_GB2312" w:eastAsia="仿宋_GB2312"/>
              </w:rPr>
              <w:t>开户银行：建行西安高新技术产业开发区支行</w:t>
            </w:r>
          </w:p>
          <w:p>
            <w:pPr>
              <w:pStyle w:val="null3"/>
            </w:pPr>
            <w:r>
              <w:rPr>
                <w:rFonts w:ascii="仿宋_GB2312" w:hAnsi="仿宋_GB2312" w:cs="仿宋_GB2312" w:eastAsia="仿宋_GB2312"/>
              </w:rPr>
              <w:t>银行账号：61001920900052574742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招标代理服务收费管理暂行办法的通知》（计价格〔2002〕1980号）和《关于招标代理服务收费有关问题的通知》（发改办价格〔2003〕857号）文件规定的标准收取。具体收费金额将在中标（成交）结果公告中公布。开户名称：正大方略工程咨询有限公司 开户行名称：西安银行东二环南段支行 账号：209011580000076430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渭南市林业工作站</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渭南市林业工作站</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按照招标⽂件要求及合同约定执⾏。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联系电话：029-88892218/801</w:t>
      </w:r>
    </w:p>
    <w:p>
      <w:pPr>
        <w:pStyle w:val="null3"/>
      </w:pPr>
      <w:r>
        <w:rPr>
          <w:rFonts w:ascii="仿宋_GB2312" w:hAnsi="仿宋_GB2312" w:cs="仿宋_GB2312" w:eastAsia="仿宋_GB2312"/>
        </w:rPr>
        <w:t>地址：西安市雁塔区南二环东段22号（凯森盛世1号）A座27楼招标六部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松材线虫病等重大林业有害生物防控要求及全市主要林业有害生物发生情况，储备针对天牛等蛀干害虫，美国白蛾、刺槐尺蠖等食叶害虫，花椒蚜虫的应急防治药剂、可降解粘虫黄板；印制林业有害生物防治宣传资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渭南黄河几字弯与秦岭北麓重点区域2026年度林业有害生物防治项目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标的名称：渭南黄河几字弯与秦岭北麓重点区域2026年度林业有害生物防治项目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1.采购清单：（核心产品：广谱性杀虫剂（天牛等），强制采购的节能产品：无；投标人报价超出单价限价或各单价限价合计金额的，作为不实质性响应招标文件，按无效投标文件处理）</w:t>
            </w:r>
          </w:p>
          <w:tbl>
            <w:tblPr>
              <w:tblInd w:type="dxa" w:w="135"/>
              <w:tblBorders>
                <w:top w:val="none" w:color="000000" w:sz="4"/>
                <w:left w:val="none" w:color="000000" w:sz="4"/>
                <w:bottom w:val="none" w:color="000000" w:sz="4"/>
                <w:right w:val="none" w:color="000000" w:sz="4"/>
                <w:insideH w:val="none"/>
                <w:insideV w:val="none"/>
              </w:tblBorders>
            </w:tblPr>
            <w:tblGrid>
              <w:gridCol w:w="253"/>
              <w:gridCol w:w="489"/>
              <w:gridCol w:w="671"/>
              <w:gridCol w:w="484"/>
              <w:gridCol w:w="236"/>
              <w:gridCol w:w="401"/>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防治作用</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成分及含量</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p>
                  <w:pPr>
                    <w:pStyle w:val="null3"/>
                    <w:jc w:val="center"/>
                  </w:pPr>
                  <w:r>
                    <w:rPr>
                      <w:rFonts w:ascii="仿宋_GB2312" w:hAnsi="仿宋_GB2312" w:cs="仿宋_GB2312" w:eastAsia="仿宋_GB2312"/>
                      <w:sz w:val="21"/>
                      <w:b/>
                      <w:color w:val="000000"/>
                    </w:rPr>
                    <w:t>（元）</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广谱性杀虫剂（天牛等）</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≥14%溴氰菊酯.噻虫嗪</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w:t>
                  </w:r>
                  <w:r>
                    <w:rPr>
                      <w:rFonts w:ascii="仿宋_GB2312" w:hAnsi="仿宋_GB2312" w:cs="仿宋_GB2312" w:eastAsia="仿宋_GB2312"/>
                      <w:sz w:val="21"/>
                      <w:color w:val="000000"/>
                    </w:rPr>
                    <w:t>，</w:t>
                  </w:r>
                  <w:r>
                    <w:rPr>
                      <w:rFonts w:ascii="仿宋_GB2312" w:hAnsi="仿宋_GB2312" w:cs="仿宋_GB2312" w:eastAsia="仿宋_GB2312"/>
                      <w:sz w:val="21"/>
                      <w:color w:val="000000"/>
                    </w:rPr>
                    <w:t>≥50瓶/箱</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900.00</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刺吸式害虫（蚜虫等）</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rPr>
                    <w:t>30%氟啶虫酰胺.噻虫啉悬浮剂</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≥100ml*50瓶/箱</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1250.00</w:t>
                  </w:r>
                </w:p>
              </w:tc>
            </w:tr>
            <w:tr>
              <w:tc>
                <w:tcPr>
                  <w:tcW w:type="dxa" w:w="253"/>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可降解粘虫黄板</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咀嚼式害虫（鳞翅目）</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≥24%虱螨.虫螨腈悬浮剂</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≥100ml*80瓶/箱</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蚧壳虫</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≥25%噻嗪酮</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≥200ml*20瓶/箱</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4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印制林业有害生物防治宣传资料</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份</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0.60</w:t>
                  </w:r>
                </w:p>
              </w:tc>
            </w:tr>
            <w:tr>
              <w:tc>
                <w:tcPr>
                  <w:tcW w:type="dxa" w:w="213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各单价限价合计金额</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4452.10</w:t>
                  </w:r>
                </w:p>
              </w:tc>
            </w:tr>
          </w:tbl>
          <w:p>
            <w:pPr>
              <w:pStyle w:val="null3"/>
              <w:ind w:firstLine="210"/>
              <w:jc w:val="both"/>
            </w:pPr>
            <w:r>
              <w:rPr>
                <w:rFonts w:ascii="仿宋_GB2312" w:hAnsi="仿宋_GB2312" w:cs="仿宋_GB2312" w:eastAsia="仿宋_GB2312"/>
                <w:sz w:val="21"/>
                <w:color w:val="000000"/>
              </w:rPr>
              <w:t>注：本项目为固定单价，最终以实际配送数量，按照履约验收合格后据实结算。</w:t>
            </w:r>
          </w:p>
          <w:p>
            <w:pPr>
              <w:pStyle w:val="null3"/>
            </w:pPr>
            <w:r>
              <w:rPr>
                <w:rFonts w:ascii="仿宋_GB2312" w:hAnsi="仿宋_GB2312" w:cs="仿宋_GB2312" w:eastAsia="仿宋_GB2312"/>
                <w:sz w:val="21"/>
                <w:b/>
                <w:color w:val="000000"/>
              </w:rPr>
              <w:t>2.采购要求：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1）产品须为近2年内生产，保质期≥2年，交货时剩余有效期不得少于18个月，无过期、变质、渗漏、结块等问题。</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2）药剂</w:t>
            </w:r>
            <w:r>
              <w:rPr>
                <w:rFonts w:ascii="仿宋_GB2312" w:hAnsi="仿宋_GB2312" w:cs="仿宋_GB2312" w:eastAsia="仿宋_GB2312"/>
                <w:sz w:val="21"/>
                <w:color w:val="000000"/>
              </w:rPr>
              <w:t>成分</w:t>
            </w:r>
            <w:r>
              <w:rPr>
                <w:rFonts w:ascii="仿宋_GB2312" w:hAnsi="仿宋_GB2312" w:cs="仿宋_GB2312" w:eastAsia="仿宋_GB2312"/>
                <w:sz w:val="21"/>
                <w:color w:val="000000"/>
              </w:rPr>
              <w:t>、剂型须与采购清单完全一致，不得更改配方或替代产品。</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3）产品须符合国家农药安全标准，包装上清晰标注产品名称、成分含量、生产日期、有效期、生产厂家、使用说明、警示标识、农药登记证号、生产许可证号等信息。</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4）可降解粘虫黄板要求：材质：采用可降解材料，符合环保要求，无二次污染。尺寸不低于20cm×25cm（可根据采购人实际需求微调），每批次产品提供出厂检验合格证明。</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5）宣传资料印制要求：内容：按采购人提供的设计稿印制，内容准确无误，无错字、漏印、重印，便于分发与储存。</w:t>
            </w:r>
          </w:p>
          <w:p>
            <w:pPr>
              <w:pStyle w:val="null3"/>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质量要求：</w:t>
            </w:r>
          </w:p>
          <w:p>
            <w:pPr>
              <w:pStyle w:val="null3"/>
            </w:pPr>
            <w:r>
              <w:rPr>
                <w:rFonts w:ascii="仿宋_GB2312" w:hAnsi="仿宋_GB2312" w:cs="仿宋_GB2312" w:eastAsia="仿宋_GB2312"/>
                <w:sz w:val="21"/>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合同履行期限：2026年8月-12月；交货时间：收到采购人供货需求通知后3个工作日内完成交货。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进度款，合同履行期限内，每批次货物验收完成，先冲抵预付款，预付款全额冲抵完毕后，剩余货款据实结算，达到付款条件起15个工作日内，支付合同总金额的60.0%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按照招标⽂件要求及合同约定执⾏。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3.4.6.1包装要求：①全部货物（产品）均应按照国家、行业规定的标准和保护措施进行包装，该包装应适应于远距离运输、防潮、防震、防锈和防野蛮装卸，以确保货物安全运抵指定地点。②当包装使用塑料、纸质、木材等包装材料时，除应当按照国家、行业规定的包装标准进行包装外，还需按照《商品包装政府采购需求标准（试行）》（财办库[2020]）123号）规定的环保要求进行包装。③当采用快递交货方式时，快递包装除应当按照国家、行业规定的包装标准进行包装外，还需按照《快递包装政府采购需求标准（试行）》（财办库[2020]）123号）规定的环保要求进行包装。 3.4.6.2运输要求：采用公路或铁路运输方式，选择风险小、运费低和运距短的运输路线。运杂费一次性包死在总价内，采购人不再额外支付，包括从生产厂家到使用（安装）现场的包装、装载、运输、卸载、现场保管、二次倒运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3.4.7.1质保期要求：产品须为近2年内生产，保质期≥2年，交货时剩余有效期不得少于18个月，无过期、变质、渗漏、结块等问题。 3.4.7.2产品“三包”要求：货物（产品）属于国家规定的“三包产品”，产品制造商、经销代理商应遵守“三包”的规定，在产品发生质量问题时，及时对所提供产品实行“包退、包换、保修”服务。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按照招标⽂件要求及合同约定执⾏。</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注意：投标人在填写《中小企业声明函》时标的名称应按采购清单对应的产品名称一一列示。） 2.为保障政府采购电子化交易平台项目实施，投标人需要在线提交所有通过电子化交易平台实施的政府采购项目的投标文件，中标单位在中标（成交）结果公示期结束后须向采购人及代理机构提交纸质版投标文件正本1套、副本2套、电子版(U盘1份）。纸质投标文件应与电子投标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投标的提供营业执照；个体工商户投标的提供个体工商户营业执照。（2）法定代表人或授权代表身份证明：法定代表人（负责人）参加投标的提供法定代表人（负责人）身份证明及身份证；授权代表参加投标的提供授权委托书及授权代表身份证。（3）税收缴纳证明：投标人自投标前1年内已缴纳任意时段、任意税种凭证或税务机关开具的完税证明；依法免税的应提供相关文件证明。（4）社保资金缴纳证明：投标人自投标前1年内已缴存的任意时段的社会保障资金缴存单据或社保机构开具的社会保险参保缴费情况证明；依法不需要缴纳社会保障资金的应提供相关文件证明。（5）投标人具备履行合同所必需的设备和专业技术能力承诺书。（6）投标声明书：投标人参加本次采购活动3年内，在经营活动中没有重大违法记录以及未被列入失信被执行人、重大税收违法案件当事人名单、政府采购严重违法失信行为记录名单的书面声明。（7）投标保证金交纳证明：投标人提供投标保证金交纳证明或金融机构、担保机构出具的投标担保函。 投标人需在项目电子化交易系统中按要求填写《投标函》完成承诺后，在项目电子化交易系统中按要求上传相应证明文件并进行电子签章。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2024年或2025年度经审计的财务报告（包括“四表一注”即《资产负债表》《利润表》《现金流量表》《所有者权益变动表》及其附注）或者提供投标文件递交截止时间6个月内其基本账户开户银行出具的资信证明；投标人成立不到1年的，可提供企业任意时段资产负债表。（投标人提供的经审计的财务报告应具有注册会计师行业统一监管平台赋予的验证码，并可通过统一监管平台或手机“扫一扫”等方式进行查验。）投标人需在项目电子化交易系统中按要求填写《投标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为经销商/代理商的须提供有效期内的《农药经营许可证》，所投农药须提供《农药生产许可证》、《农药登记证》。投标人为生产厂家须提供有效期内的《农药生产许可证》及所投农药的《农药登记证》。</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分项报价明细表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按招标文件要求签署、盖章</w:t>
            </w:r>
          </w:p>
        </w:tc>
        <w:tc>
          <w:tcPr>
            <w:tcW w:type="dxa" w:w="1661"/>
          </w:tcPr>
          <w:p>
            <w:pPr>
              <w:pStyle w:val="null3"/>
            </w:pPr>
            <w:r>
              <w:rPr>
                <w:rFonts w:ascii="仿宋_GB2312" w:hAnsi="仿宋_GB2312" w:cs="仿宋_GB2312" w:eastAsia="仿宋_GB2312"/>
              </w:rPr>
              <w:t>开标一览表 投标方案 中小企业声明函 资格证明材料 分项报价明细表 商务条款响应偏离表 投标函 残疾人福利性单位声明函 标的清单 关于符合本国产品标准的声明函 投标文件封面 技术参数响应及偏离表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只能有一个有效报价，不得提交选择性报价，且投标报价不超过招标文件规定的采购预算或最高限价</w:t>
            </w:r>
          </w:p>
        </w:tc>
        <w:tc>
          <w:tcPr>
            <w:tcW w:type="dxa" w:w="1661"/>
          </w:tcPr>
          <w:p>
            <w:pPr>
              <w:pStyle w:val="null3"/>
            </w:pPr>
            <w:r>
              <w:rPr>
                <w:rFonts w:ascii="仿宋_GB2312" w:hAnsi="仿宋_GB2312" w:cs="仿宋_GB2312" w:eastAsia="仿宋_GB2312"/>
              </w:rPr>
              <w:t>开标一览表 标的清单 分项报价明细表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符合招标文件第三章规定的产品标的</w:t>
            </w:r>
          </w:p>
        </w:tc>
        <w:tc>
          <w:tcPr>
            <w:tcW w:type="dxa" w:w="1661"/>
          </w:tcPr>
          <w:p>
            <w:pPr>
              <w:pStyle w:val="null3"/>
            </w:pPr>
            <w:r>
              <w:rPr>
                <w:rFonts w:ascii="仿宋_GB2312" w:hAnsi="仿宋_GB2312" w:cs="仿宋_GB2312" w:eastAsia="仿宋_GB2312"/>
              </w:rPr>
              <w:t>标的清单 分项报价明细表 技术参数响应及偏离表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 投标函 标的清单 分项报价明细表 技术参数响应及偏离表 商务条款响应偏离表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交货期、质保期、投标文件有效期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开标一览表 投标函 标的清单 商务条款响应偏离表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投标方案 技术参数响应及偏离表 商务条款响应偏离表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一、评审内容：投标人针对本项目特点提供完整详细的实施方案，内容包含：①实施计划及进度保障②供货组织及包装运输方案③产品质量管控方案④宣传资料印制保障方案⑤突发事件的应急处理等。 二、赋分标准：（满分20分） 每缺少一条评审内容扣4分，每一条评审内容存在一处缺陷扣1分，扣完为止。（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一、评审内容：投标人提供所投产品满足招标文件要求的佐证材料，不限于检测报告、产品说明书、官网截图等。 二、赋分标准：（满分10分） 每提供一个产品的佐证材料且完全满足招标文件要求得2分，满分10分；未提供或者不满足招标文件要求不得分。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一、评审内容：投标人提供所投农药及可降解粘虫黄板的供货渠道证明材料，不限于销售协议、代理协议、供应链条完整的厂家授权等证明材料。投标人为生产厂家的提供对应产品自证材料。 二、赋分标准：（满分10分） 每提供一个产品的证明材料得2分，满分10分，未提供不得分。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一、评审内容:投标人有储存货物的专用仓库，提供仓库的照片、购房合同或租赁合同等证明材料。 二、赋分标准：（满分5分） 资料齐全且仓储面积≥100㎡得5分；资料齐全，仓储面积＜100㎡得3分；资料不全或未提供不得分。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配送能力</w:t>
            </w:r>
          </w:p>
        </w:tc>
        <w:tc>
          <w:tcPr>
            <w:tcW w:type="dxa" w:w="2492"/>
          </w:tcPr>
          <w:p>
            <w:pPr>
              <w:pStyle w:val="null3"/>
            </w:pPr>
            <w:r>
              <w:rPr>
                <w:rFonts w:ascii="仿宋_GB2312" w:hAnsi="仿宋_GB2312" w:cs="仿宋_GB2312" w:eastAsia="仿宋_GB2312"/>
              </w:rPr>
              <w:t>一、评审内容:投标人有运输货物的专用车辆，提供车辆的照片、产权证明或租赁合同等证明材料。 二、赋分标准：（满分5分） 资料齐全且配送车辆≥2辆得5分；资料齐全，配送车辆＜2辆得3分；资料不全或未提供不得分。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一、评审内容：投标人针对本项目有专业的服务团队，包括但不限于①项目负责人②送货人员等。 二、赋分标准：（满分4分） ①项目负责人（满分3分）：提供在本单位近3个月任意一个月的社保缴纳证明、劳动合同等证明材料，资料齐全得1分；项目负责人具有林业相关中级证书得1分，具有林业相关高级证书得2分；资料不全或未提供不得分。 ②送货人员（满分1分）：提供在本单位近3个月任意一个月的社保缴纳证明、劳动合同、驾驶证等证明材料，资料齐全得1分；资料不全或未提供不得分。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一、评审内容：根据投标人提供的本项目的售后服务方案评审，内容包含：①售后服务网点及售后服务人员的设定明细表②售后服务保障措施及承诺书③产品出现质量问题的响应时间及调换货时间表。 二、赋分标准：（满分6分） 每完整提供一项内容得2分，满分6分；未提供或措施不完整不得分。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一、评审内容：提供投标人2023年1月1日至今类似项目的业绩证明（时间以合同签订时间为准）。 二、赋分标准：（满分10分） 每提供一个业绩得2分，最高得10分。投标人需提供完整的业绩合同复印件并加盖公章，未按照要求提供不得分。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招标文件要求的最低投标评审价为评标基准价，其价格为满分。其他投标人的价格分，统一按照下列公式计算： 投标评审价=投标报价×（1-投标报价扣除幅度）； 投标报价得分=(评标基准价／投标评审价)×100×30%。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详见附件：技术参数响应及偏离表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