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31E07">
      <w:pPr>
        <w:pStyle w:val="2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val="en-US" w:eastAsia="zh-CN"/>
        </w:rPr>
        <w:t>投标方案</w:t>
      </w:r>
    </w:p>
    <w:bookmarkEnd w:id="0"/>
    <w:p w14:paraId="57B7AE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供应商根据第五章的“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评标细则及标准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”结合第三章的招标项目技术、服务、商务及其他要求，供应商自行编写，格式自拟。</w:t>
      </w:r>
    </w:p>
    <w:p w14:paraId="529D18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72077B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E54A1" w:themeColor="accent1" w:themeShade="BF"/>
      <w:sz w:val="48"/>
      <w:szCs w:val="4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2026-07-17T10:59:40Z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