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版本号：BPRZB-2026051520260616001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城固县居家和社区基本养老服务提升行动家庭养老床位建设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BPRZB-20260515</w:t>
      </w:r>
      <w:r>
        <w:br/>
      </w:r>
      <w:r>
        <w:br/>
      </w:r>
      <w:r>
        <w:br/>
      </w:r>
    </w:p>
    <w:p>
      <w:pPr>
        <w:pStyle w:val="null3"/>
        <w:jc w:val="center"/>
        <w:outlineLvl w:val="2"/>
      </w:pPr>
      <w:r>
        <w:rPr>
          <w:rFonts w:ascii="仿宋_GB2312" w:hAnsi="仿宋_GB2312" w:cs="仿宋_GB2312" w:eastAsia="仿宋_GB2312"/>
          <w:sz w:val="28"/>
          <w:b/>
        </w:rPr>
        <w:t>城固县民政局</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城固县民政局</w:t>
      </w:r>
      <w:r>
        <w:rPr>
          <w:rFonts w:ascii="仿宋_GB2312" w:hAnsi="仿宋_GB2312" w:cs="仿宋_GB2312" w:eastAsia="仿宋_GB2312"/>
        </w:rPr>
        <w:t>委托，拟对</w:t>
      </w:r>
      <w:r>
        <w:rPr>
          <w:rFonts w:ascii="仿宋_GB2312" w:hAnsi="仿宋_GB2312" w:cs="仿宋_GB2312" w:eastAsia="仿宋_GB2312"/>
        </w:rPr>
        <w:t>城固县居家和社区基本养老服务提升行动家庭养老床位建设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BPRZB-20260515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城固县居家和社区基本养老服务提升行动家庭养老床位建设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老年人居家养老需求，对部分经济困难失能老年人住所的地面、卧室、如厕洗浴设备、物理环境等适老化改造，配备网络连接、紧急呼叫、活动监测等智能化设备，并针对老年人身体状况配备助行、助餐、助浴、感知等老年用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采购包1（城固县居家和社区基本养老服务提升行动家庭养老床位建设）：属于专门面向中小企业采购。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1、特定资格：供应商具有独立承担民事责任能力的法人、其他组织或自然人，出具合法有效的营业执照或事业单位法人证书等国家规定的相关证明，自然人参与的提供其身份证明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特定资格：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城固县北环一路民政局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7212073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陕西省汉中市汉台区陕西省汉中市汉台区中山街街道办事处滨江苑小区一号楼一单元904室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18109163581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采购包1：1,254,960.00元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城固县民政局</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符合国家相关规定、符合采购文件要求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联系电话：18109163581</w:t>
      </w:r>
    </w:p>
    <w:p>
      <w:pPr>
        <w:pStyle w:val="null3"/>
      </w:pPr>
      <w:r>
        <w:rPr>
          <w:rFonts w:ascii="仿宋_GB2312" w:hAnsi="仿宋_GB2312" w:cs="仿宋_GB2312" w:eastAsia="仿宋_GB2312"/>
        </w:rPr>
        <w:t>地址：汉台区兴汉路南缙颐·久玺台售楼部 2 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老年人居家养老需求，对部分经济困难失能老年人住所的地面、卧室、如厕洗浴设备、物理环境等适老化改造，配备网络连接、紧急呼叫、活动监测等智能化设备，并针对老年人身体状况配备助行、助餐、助浴、感知等老年用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1,254,960.00</w:t>
      </w:r>
    </w:p>
    <w:p>
      <w:pPr>
        <w:pStyle w:val="null3"/>
      </w:pPr>
      <w:r>
        <w:rPr>
          <w:rFonts w:ascii="仿宋_GB2312" w:hAnsi="仿宋_GB2312" w:cs="仿宋_GB2312" w:eastAsia="仿宋_GB2312"/>
        </w:rPr>
        <w:t>采购包最高限价（元）: 1,254,960.00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家庭养老床位建设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1,254,960.00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标的名称：家庭养老床位建设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rPr>
              <w:t>1、方案定制适配需求：服务前需对300户改造对象开展入户精准评估，结合老人身体状况（如残疾类型、失能程度）、居家户型结构、现有设施情况，制定“一户一策”个性化改造方案。</w:t>
            </w:r>
          </w:p>
          <w:p>
            <w:pPr>
              <w:pStyle w:val="null3"/>
              <w:jc w:val="both"/>
            </w:pPr>
            <w:r>
              <w:rPr>
                <w:rFonts w:ascii="仿宋_GB2312" w:hAnsi="仿宋_GB2312" w:cs="仿宋_GB2312" w:eastAsia="仿宋_GB2312"/>
                <w:sz w:val="22"/>
              </w:rPr>
              <w:t>2、产品质量达标需求：选用的改造产品需符合国家《无障碍设计规范》《适老化改造基本规范》等相关标准，具备产品合格证书。</w:t>
            </w:r>
          </w:p>
          <w:p>
            <w:pPr>
              <w:pStyle w:val="null3"/>
              <w:jc w:val="both"/>
            </w:pPr>
            <w:r>
              <w:rPr>
                <w:rFonts w:ascii="仿宋_GB2312" w:hAnsi="仿宋_GB2312" w:cs="仿宋_GB2312" w:eastAsia="仿宋_GB2312"/>
                <w:sz w:val="22"/>
              </w:rPr>
              <w:t>3、售后保障及时需求：建立不少于2年的售后服务保障机制，对改造后出现的产品故障、安装松动、设施损坏等问题，接到报修后24小时内响应，48小时内上门维修或更换；定期（改造后3个月、6个月）开展回访巡检，排查安全隐患，确保改造效果持续稳定。</w:t>
            </w:r>
          </w:p>
          <w:p>
            <w:pPr>
              <w:pStyle w:val="null3"/>
              <w:jc w:val="both"/>
            </w:pPr>
            <w:r>
              <w:rPr>
                <w:rFonts w:ascii="仿宋_GB2312" w:hAnsi="仿宋_GB2312" w:cs="仿宋_GB2312" w:eastAsia="仿宋_GB2312"/>
                <w:sz w:val="22"/>
              </w:rPr>
              <w:t>4、信息化档案管理需求：建立适老化改造信息化管理系统，为每位改造对象建立电子、纸质档案，涵盖入户评估报告、改造方案、产品合格证、施工记录、验收报告、售后服务记录等内容，档案实时更新并支持采购方在线查阅，实现改造全流程可追溯。</w:t>
            </w:r>
          </w:p>
          <w:p>
            <w:pPr>
              <w:pStyle w:val="null3"/>
            </w:pPr>
            <w:r>
              <w:rPr>
                <w:rFonts w:ascii="仿宋_GB2312" w:hAnsi="仿宋_GB2312" w:cs="仿宋_GB2312" w:eastAsia="仿宋_GB2312"/>
                <w:sz w:val="22"/>
              </w:rPr>
              <w:t>5、验收配合合规需求：改造完成后，主动配合采购方、社区（村）、老人及家属共同开展验收工作，提供完整的验收资料（含产品检测报告、施工记录等）；对验收不合格的部分，立即整改。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7"/>
              <w:gridCol w:w="237"/>
              <w:gridCol w:w="254"/>
              <w:gridCol w:w="356"/>
              <w:gridCol w:w="249"/>
              <w:gridCol w:w="299"/>
              <w:gridCol w:w="1184"/>
              <w:gridCol w:w="192"/>
              <w:gridCol w:w="245"/>
            </w:tblGrid>
            <w:tr>
              <w:tc>
                <w:tcPr>
                  <w:tcW w:type="dxa" w:w="3163"/>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适老化改造服务</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服务类别</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项目名称</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w:t>
                  </w:r>
                </w:p>
                <w:p>
                  <w:pPr>
                    <w:pStyle w:val="null3"/>
                    <w:jc w:val="center"/>
                  </w:pPr>
                  <w:r>
                    <w:rPr>
                      <w:rFonts w:ascii="仿宋_GB2312" w:hAnsi="仿宋_GB2312" w:cs="仿宋_GB2312" w:eastAsia="仿宋_GB2312"/>
                      <w:sz w:val="22"/>
                    </w:rPr>
                    <w:t>内容</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服务类型</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具体</w:t>
                  </w:r>
                </w:p>
                <w:p>
                  <w:pPr>
                    <w:pStyle w:val="null3"/>
                    <w:jc w:val="center"/>
                  </w:pPr>
                  <w:r>
                    <w:rPr>
                      <w:rFonts w:ascii="仿宋_GB2312" w:hAnsi="仿宋_GB2312" w:cs="仿宋_GB2312" w:eastAsia="仿宋_GB2312"/>
                      <w:sz w:val="22"/>
                    </w:rPr>
                    <w:t>内容</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服务标准与技术要求</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最高限价</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地面改造服务</w:t>
                  </w:r>
                </w:p>
              </w:tc>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防滑处理服务</w:t>
                  </w:r>
                </w:p>
              </w:tc>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对卫生间、厨房、卧室等区域进行防滑处理</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提供并铺设防滑地砖</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防滑地砖厚度</w:t>
                  </w:r>
                  <w:r>
                    <w:rPr>
                      <w:rFonts w:ascii="仿宋_GB2312" w:hAnsi="仿宋_GB2312" w:cs="仿宋_GB2312" w:eastAsia="仿宋_GB2312"/>
                      <w:sz w:val="22"/>
                    </w:rPr>
                    <w:t>≥1.8cm；耐磨度：≥7级；常规尺寸为400×400mm或600×600mm；符合国家全瓷砖标准，具备防滑、防水、耐磨、抗压、环保等性能。</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提供并铺设防滑地胶</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防滑地胶厚度：</w:t>
                  </w:r>
                  <w:r>
                    <w:rPr>
                      <w:rFonts w:ascii="仿宋_GB2312" w:hAnsi="仿宋_GB2312" w:cs="仿宋_GB2312" w:eastAsia="仿宋_GB2312"/>
                      <w:sz w:val="22"/>
                    </w:rPr>
                    <w:t>≥2.0mm；环保PVC材质；防湿滑系数≥R10；具备防滑、防水、耐磨、无异味、不起翘等特性。</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提供并铺设防滑地垫</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防滑地垫尺寸</w:t>
                  </w:r>
                  <w:r>
                    <w:rPr>
                      <w:rFonts w:ascii="仿宋_GB2312" w:hAnsi="仿宋_GB2312" w:cs="仿宋_GB2312" w:eastAsia="仿宋_GB2312"/>
                      <w:sz w:val="22"/>
                    </w:rPr>
                    <w:t>≥400×600mm；环保PVC材质；底部设吸盘设计，吸附牢固、透水快、防滑、不移位。</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提供并铺设防滑拼接垫</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防滑拼接垫为模块化设计，单块尺寸约</w:t>
                  </w:r>
                  <w:r>
                    <w:rPr>
                      <w:rFonts w:ascii="仿宋_GB2312" w:hAnsi="仿宋_GB2312" w:cs="仿宋_GB2312" w:eastAsia="仿宋_GB2312"/>
                      <w:sz w:val="22"/>
                    </w:rPr>
                    <w:t>300×300mm；环保PVC材质；可自由拼接、裁剪，防滑、隔水、柔韧耐折。</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37"/>
                  <w:vMerge/>
                  <w:tcBorders>
                    <w:top w:val="none" w:color="000000" w:sz="4"/>
                    <w:left w:val="single" w:color="000000" w:sz="4"/>
                    <w:bottom w:val="single" w:color="000000" w:sz="4"/>
                    <w:right w:val="single" w:color="000000" w:sz="4"/>
                  </w:tcBorders>
                </w:tcPr>
                <w:p/>
              </w:tc>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高差处理服务</w:t>
                  </w:r>
                </w:p>
              </w:tc>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提供并完成地面高差消除或坡道增设</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提供并浇筑水泥坡道</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水泥坡道坡度</w:t>
                  </w:r>
                  <w:r>
                    <w:rPr>
                      <w:rFonts w:ascii="仿宋_GB2312" w:hAnsi="仿宋_GB2312" w:cs="仿宋_GB2312" w:eastAsia="仿宋_GB2312"/>
                      <w:sz w:val="22"/>
                    </w:rPr>
                    <w:t>≤1:8（推荐1:12），表面做防滑处理；采用C15及以上混凝土浇筑，结构牢固；宽度满足轮椅通行，与地面平顺衔接。</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提供并安装橡胶坡道</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橡胶坡道尺寸可定制（如</w:t>
                  </w:r>
                  <w:r>
                    <w:rPr>
                      <w:rFonts w:ascii="仿宋_GB2312" w:hAnsi="仿宋_GB2312" w:cs="仿宋_GB2312" w:eastAsia="仿宋_GB2312"/>
                      <w:sz w:val="22"/>
                    </w:rPr>
                    <w:t>900×150×25mm等），安装简便，可移动使用，根据实际情况需要调整；天然橡胶材质；表面凹凸条纹防滑设计，耐水防滑，产品稳定性高，长期使用不变形，镶嵌简单方便，操作便捷；承重≥500kg</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卧室改造服务</w:t>
                  </w:r>
                </w:p>
              </w:tc>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床边护栏（抓杆）安装服务</w:t>
                  </w:r>
                </w:p>
              </w:tc>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辅助老年人起身、上下床，防止翻身滚下床</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p>
                  <w:pPr>
                    <w:pStyle w:val="null3"/>
                    <w:jc w:val="center"/>
                  </w:pPr>
                  <w:r>
                    <w:rPr>
                      <w:rFonts w:ascii="仿宋_GB2312" w:hAnsi="仿宋_GB2312" w:cs="仿宋_GB2312" w:eastAsia="仿宋_GB2312"/>
                      <w:sz w:val="22"/>
                    </w:rPr>
                    <w:t>（二选一）</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提供并安装床边护栏</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材质为不锈钢或碳钢</w:t>
                  </w:r>
                  <w:r>
                    <w:rPr>
                      <w:rFonts w:ascii="仿宋_GB2312" w:hAnsi="仿宋_GB2312" w:cs="仿宋_GB2312" w:eastAsia="仿宋_GB2312"/>
                      <w:sz w:val="22"/>
                    </w:rPr>
                    <w:t>+ABS扶手；免打孔安装，可折叠、高度可调；承重≥200kg，结构稳固无晃动。</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提供并安装可移动床边扶手</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底座稳固，高度可调（</w:t>
                  </w:r>
                  <w:r>
                    <w:rPr>
                      <w:rFonts w:ascii="仿宋_GB2312" w:hAnsi="仿宋_GB2312" w:cs="仿宋_GB2312" w:eastAsia="仿宋_GB2312"/>
                      <w:sz w:val="22"/>
                    </w:rPr>
                    <w:t>700–850mm）；扶手带防滑套，材质为钢管+海绵或ABS；可移动，便于多场景使用。</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如厕洗浴设备改造服务</w:t>
                  </w:r>
                </w:p>
              </w:tc>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扶手安装服务</w:t>
                  </w:r>
                </w:p>
              </w:tc>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在如厕区或者洗浴区安装扶手，包括一字形扶手、</w:t>
                  </w:r>
                  <w:r>
                    <w:rPr>
                      <w:rFonts w:ascii="仿宋_GB2312" w:hAnsi="仿宋_GB2312" w:cs="仿宋_GB2312" w:eastAsia="仿宋_GB2312"/>
                      <w:sz w:val="22"/>
                    </w:rPr>
                    <w:t>U形扶手、L形扶手、135°扶手、T形扶手或者助力扶手等</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提供并安装一字形扶手</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ABS或不锈钢材质，直径约35mm，内衬钢管；表面防滑，承重≥200kg；安装牢固，符合无障碍设计标准。</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提供并安装</w:t>
                  </w:r>
                  <w:r>
                    <w:rPr>
                      <w:rFonts w:ascii="仿宋_GB2312" w:hAnsi="仿宋_GB2312" w:cs="仿宋_GB2312" w:eastAsia="仿宋_GB2312"/>
                      <w:sz w:val="22"/>
                    </w:rPr>
                    <w:t>U形扶手</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ABS或不锈钢材质，直径约35mm，内衬钢管；表面防滑，承重≥200kg；结构形式按需设计，安装稳固，符合人体工学。</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提供并安装</w:t>
                  </w:r>
                  <w:r>
                    <w:rPr>
                      <w:rFonts w:ascii="仿宋_GB2312" w:hAnsi="仿宋_GB2312" w:cs="仿宋_GB2312" w:eastAsia="仿宋_GB2312"/>
                      <w:sz w:val="22"/>
                    </w:rPr>
                    <w:t>L形扶手</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ABS或不锈钢材质，直径约35mm，内衬钢管；表面防滑，承重≥200kg；结构形式按需设计，安装稳固，符合人体工学。</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提供并安装</w:t>
                  </w:r>
                  <w:r>
                    <w:rPr>
                      <w:rFonts w:ascii="仿宋_GB2312" w:hAnsi="仿宋_GB2312" w:cs="仿宋_GB2312" w:eastAsia="仿宋_GB2312"/>
                      <w:sz w:val="22"/>
                    </w:rPr>
                    <w:t>135°扶手</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ABS或不锈钢材质，直径约35mm，内衬钢管；表面防滑，承重≥200kg；结构形式按需设计，安装稳固，符合人体工学。</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提供并安装</w:t>
                  </w:r>
                  <w:r>
                    <w:rPr>
                      <w:rFonts w:ascii="仿宋_GB2312" w:hAnsi="仿宋_GB2312" w:cs="仿宋_GB2312" w:eastAsia="仿宋_GB2312"/>
                      <w:sz w:val="22"/>
                    </w:rPr>
                    <w:t>T形扶手</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ABS或不锈钢材质，直径约35mm，内衬钢管；表面防滑，承重≥200kg；结构形式按需设计，安装稳固，符合人体工学。</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37"/>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356"/>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提供并安装助力扶手</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可调高度（约</w:t>
                  </w:r>
                  <w:r>
                    <w:rPr>
                      <w:rFonts w:ascii="仿宋_GB2312" w:hAnsi="仿宋_GB2312" w:cs="仿宋_GB2312" w:eastAsia="仿宋_GB2312"/>
                      <w:sz w:val="22"/>
                    </w:rPr>
                    <w:t>500–800mm），材质为钢管+PP；可折叠，承重≥100kg。</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37"/>
                  <w:vMerge/>
                  <w:tcBorders>
                    <w:top w:val="none" w:color="000000" w:sz="4"/>
                    <w:left w:val="single" w:color="000000" w:sz="4"/>
                    <w:bottom w:val="single" w:color="000000" w:sz="4"/>
                    <w:right w:val="single" w:color="000000" w:sz="4"/>
                  </w:tcBorders>
                </w:tc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淋浴椅配置服务</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辅助老年人洗澡用，避免老年人滑倒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配备淋浴椅</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符合《淋浴辅助器具淋浴椅》（</w:t>
                  </w:r>
                  <w:r>
                    <w:rPr>
                      <w:rFonts w:ascii="仿宋_GB2312" w:hAnsi="仿宋_GB2312" w:cs="仿宋_GB2312" w:eastAsia="仿宋_GB2312"/>
                      <w:sz w:val="22"/>
                    </w:rPr>
                    <w:t>MZ/T 119-2018）标准；铝合金框架，PE坐板；高度可调，防滑脚垫；承重≥135kg。</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物理环境改造服务</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灯源改造服务</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安装自动感应灯，辅助老年人起夜使用</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自动感应灯配置服务</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感应距离</w:t>
                  </w:r>
                  <w:r>
                    <w:rPr>
                      <w:rFonts w:ascii="仿宋_GB2312" w:hAnsi="仿宋_GB2312" w:cs="仿宋_GB2312" w:eastAsia="仿宋_GB2312"/>
                      <w:sz w:val="22"/>
                    </w:rPr>
                    <w:t>3–6m，角度≥120°；人走自动延时关闭；电池或充电供电，安装便捷。</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3"/>
              <w:gridCol w:w="327"/>
              <w:gridCol w:w="392"/>
              <w:gridCol w:w="605"/>
              <w:gridCol w:w="245"/>
              <w:gridCol w:w="879"/>
              <w:gridCol w:w="204"/>
              <w:gridCol w:w="360"/>
            </w:tblGrid>
            <w:tr>
              <w:tc>
                <w:tcPr>
                  <w:tcW w:type="dxa" w:w="3175"/>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智能化改造服务</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类别</w:t>
                  </w:r>
                </w:p>
              </w:tc>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服务内容</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具体内容</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服务类型</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服务标准与技术要求</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最高</w:t>
                  </w:r>
                </w:p>
                <w:p>
                  <w:pPr>
                    <w:pStyle w:val="null3"/>
                    <w:jc w:val="center"/>
                  </w:pPr>
                  <w:r>
                    <w:rPr>
                      <w:rFonts w:ascii="仿宋_GB2312" w:hAnsi="仿宋_GB2312" w:cs="仿宋_GB2312" w:eastAsia="仿宋_GB2312"/>
                      <w:sz w:val="22"/>
                    </w:rPr>
                    <w:t>限价</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网络连接设备配置服务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配置</w:t>
                  </w:r>
                  <w:r>
                    <w:rPr>
                      <w:rFonts w:ascii="仿宋_GB2312" w:hAnsi="仿宋_GB2312" w:cs="仿宋_GB2312" w:eastAsia="仿宋_GB2312"/>
                      <w:sz w:val="22"/>
                    </w:rPr>
                    <w:t>WIFI路由器</w:t>
                  </w:r>
                </w:p>
              </w:tc>
              <w:tc>
                <w:tcPr>
                  <w:tcW w:type="dxa" w:w="6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保证相关智能设备数据的传送和服务响应</w:t>
                  </w:r>
                </w:p>
              </w:tc>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基础服务（二选一）</w:t>
                  </w:r>
                </w:p>
              </w:tc>
              <w:tc>
                <w:tcPr>
                  <w:tcW w:type="dxa" w:w="8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4G/5G或WiFi6；传输稳定，覆盖面积满足户型需求；支持多设备连接，操作简便。</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550元（包括1年的宽带）</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27"/>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配置无线网卡</w:t>
                  </w:r>
                </w:p>
              </w:tc>
              <w:tc>
                <w:tcPr>
                  <w:tcW w:type="dxa" w:w="605"/>
                  <w:vMerge/>
                  <w:tcBorders>
                    <w:top w:val="none" w:color="000000" w:sz="4"/>
                    <w:left w:val="single" w:color="000000" w:sz="4"/>
                    <w:bottom w:val="single" w:color="000000" w:sz="4"/>
                    <w:right w:val="single" w:color="000000" w:sz="4"/>
                  </w:tcBorders>
                </w:tcPr>
                <w:p/>
              </w:tc>
              <w:tc>
                <w:tcPr>
                  <w:tcW w:type="dxa" w:w="245"/>
                  <w:vMerge/>
                  <w:tcBorders>
                    <w:top w:val="none" w:color="000000" w:sz="4"/>
                    <w:left w:val="single" w:color="000000" w:sz="4"/>
                    <w:bottom w:val="single" w:color="000000" w:sz="4"/>
                    <w:right w:val="single" w:color="000000" w:sz="4"/>
                  </w:tcBorders>
                </w:tcPr>
                <w:p/>
              </w:tc>
              <w:tc>
                <w:tcPr>
                  <w:tcW w:type="dxa" w:w="879"/>
                  <w:vMerge/>
                  <w:tcBorders>
                    <w:top w:val="none" w:color="000000" w:sz="4"/>
                    <w:left w:val="single" w:color="000000" w:sz="4"/>
                    <w:bottom w:val="single" w:color="000000" w:sz="4"/>
                    <w:right w:val="single" w:color="000000" w:sz="4"/>
                  </w:tcBorders>
                </w:tc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380 元（含两年流量卡）</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紧急呼叫设备配置服务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配置紧急呼叫器</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在床头、卫生间等关键位置安装紧急呼叫器，老年人出现危机情况便于一键呼叫</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支持按键</w:t>
                  </w:r>
                  <w:r>
                    <w:rPr>
                      <w:rFonts w:ascii="仿宋_GB2312" w:hAnsi="仿宋_GB2312" w:cs="仿宋_GB2312" w:eastAsia="仿宋_GB2312"/>
                      <w:sz w:val="22"/>
                    </w:rPr>
                    <w:t>/拉绳报警；电池续航≥3年具备声光提示，通信稳定。</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200元（含3年流量卡）</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生命体征监测设备配置服务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配置智能腕表</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动态监测和记录老年人呼吸、心率等参数，发现异常自动提醒</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支持心率、血氧、步数监测；具备定位、一键呼叫功能；续航时间</w:t>
                  </w:r>
                  <w:r>
                    <w:rPr>
                      <w:rFonts w:ascii="仿宋_GB2312" w:hAnsi="仿宋_GB2312" w:cs="仿宋_GB2312" w:eastAsia="仿宋_GB2312"/>
                      <w:sz w:val="22"/>
                    </w:rPr>
                    <w:t>≥3天。</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500元包含1年通讯费和流量费（100M流量+50min语音每月）</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安全监控装置配置服务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配置烟雾报警器</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安装在居家应急响应位置，用于监测老年人居室环境，发生险情时及时报警</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响应灵敏，声音报警</w:t>
                  </w:r>
                  <w:r>
                    <w:rPr>
                      <w:rFonts w:ascii="仿宋_GB2312" w:hAnsi="仿宋_GB2312" w:cs="仿宋_GB2312" w:eastAsia="仿宋_GB2312"/>
                      <w:sz w:val="22"/>
                    </w:rPr>
                    <w:t>≥80dB；电池供电，续航≥3年；支持联网报警。</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视频或语音通话设备配置服务</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配置智能监控摄像头等设备</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双向实时视频或语音通话，及时准确掌握老人在家实时情况</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基础服务</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支持一键通话、语音对讲；安装简便，操作直观。</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3"/>
              <w:gridCol w:w="247"/>
              <w:gridCol w:w="271"/>
              <w:gridCol w:w="495"/>
              <w:gridCol w:w="239"/>
              <w:gridCol w:w="271"/>
              <w:gridCol w:w="909"/>
              <w:gridCol w:w="231"/>
              <w:gridCol w:w="280"/>
            </w:tblGrid>
            <w:tr>
              <w:tc>
                <w:tcPr>
                  <w:tcW w:type="dxa" w:w="3166"/>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老年用品适配服务</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服务类别</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服务项目</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具体内容</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项目类型</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名称</w:t>
                  </w:r>
                </w:p>
              </w:tc>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服务标准与技术要求</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最高限价</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老年用品适配服务</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手杖适配服务</w:t>
                  </w:r>
                </w:p>
              </w:tc>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辅助老年人平稳站立和行走，包含配置三脚或四脚手杖、凳拐等</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5项任选其三</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配置四脚</w:t>
                  </w:r>
                </w:p>
                <w:p>
                  <w:pPr>
                    <w:pStyle w:val="null3"/>
                    <w:jc w:val="center"/>
                  </w:pPr>
                  <w:r>
                    <w:rPr>
                      <w:rFonts w:ascii="仿宋_GB2312" w:hAnsi="仿宋_GB2312" w:cs="仿宋_GB2312" w:eastAsia="仿宋_GB2312"/>
                      <w:sz w:val="22"/>
                    </w:rPr>
                    <w:t>手杖</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高度可调（</w:t>
                  </w:r>
                  <w:r>
                    <w:rPr>
                      <w:rFonts w:ascii="仿宋_GB2312" w:hAnsi="仿宋_GB2312" w:cs="仿宋_GB2312" w:eastAsia="仿宋_GB2312"/>
                      <w:sz w:val="22"/>
                    </w:rPr>
                    <w:t>700–950mm）；承重≥100kg；防滑脚垫；握感舒适，结构稳固。</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4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配置凳拐</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高度可调（</w:t>
                  </w:r>
                  <w:r>
                    <w:rPr>
                      <w:rFonts w:ascii="仿宋_GB2312" w:hAnsi="仿宋_GB2312" w:cs="仿宋_GB2312" w:eastAsia="仿宋_GB2312"/>
                      <w:sz w:val="22"/>
                    </w:rPr>
                    <w:t>700–950mm）；承重≥100kg；防滑脚垫；握感舒适，结构稳固。</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4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配置伸缩</w:t>
                  </w:r>
                </w:p>
                <w:p>
                  <w:pPr>
                    <w:pStyle w:val="null3"/>
                    <w:jc w:val="center"/>
                  </w:pPr>
                  <w:r>
                    <w:rPr>
                      <w:rFonts w:ascii="仿宋_GB2312" w:hAnsi="仿宋_GB2312" w:cs="仿宋_GB2312" w:eastAsia="仿宋_GB2312"/>
                      <w:sz w:val="22"/>
                    </w:rPr>
                    <w:t>拐杖</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高度可调（</w:t>
                  </w:r>
                  <w:r>
                    <w:rPr>
                      <w:rFonts w:ascii="仿宋_GB2312" w:hAnsi="仿宋_GB2312" w:cs="仿宋_GB2312" w:eastAsia="仿宋_GB2312"/>
                      <w:sz w:val="22"/>
                    </w:rPr>
                    <w:t>700–950mm）；承重≥100kg；防滑脚垫；握感舒适，结构稳固。</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4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配置肘杖</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高度可调（</w:t>
                  </w:r>
                  <w:r>
                    <w:rPr>
                      <w:rFonts w:ascii="仿宋_GB2312" w:hAnsi="仿宋_GB2312" w:cs="仿宋_GB2312" w:eastAsia="仿宋_GB2312"/>
                      <w:sz w:val="22"/>
                    </w:rPr>
                    <w:t>700–950mm）；承重≥100kg；防滑脚垫；握感舒适，结构稳固。</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47"/>
                  <w:vMerge/>
                  <w:tcBorders>
                    <w:top w:val="none" w:color="000000" w:sz="4"/>
                    <w:left w:val="single" w:color="000000" w:sz="4"/>
                    <w:bottom w:val="single" w:color="000000" w:sz="4"/>
                    <w:right w:val="single" w:color="000000" w:sz="4"/>
                  </w:tcBorders>
                </w:tcP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轮椅</w:t>
                  </w:r>
                  <w:r>
                    <w:rPr>
                      <w:rFonts w:ascii="仿宋_GB2312" w:hAnsi="仿宋_GB2312" w:cs="仿宋_GB2312" w:eastAsia="仿宋_GB2312"/>
                      <w:sz w:val="22"/>
                    </w:rPr>
                    <w:t>/助行器适配服务</w:t>
                  </w:r>
                </w:p>
              </w:tc>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辅助家人、照护人员推行</w:t>
                  </w:r>
                  <w:r>
                    <w:rPr>
                      <w:rFonts w:ascii="仿宋_GB2312" w:hAnsi="仿宋_GB2312" w:cs="仿宋_GB2312" w:eastAsia="仿宋_GB2312"/>
                      <w:sz w:val="22"/>
                    </w:rPr>
                    <w:t>/帮助老年人站立行走，扩大老年人活动空间</w:t>
                  </w: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配置助行器</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铝合金框架，可折叠；高度可调；带刹车，推行平稳。</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4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配置轮椅</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符合《手动轮椅车</w:t>
                  </w:r>
                  <w:r>
                    <w:rPr>
                      <w:rFonts w:ascii="仿宋_GB2312" w:hAnsi="仿宋_GB2312" w:cs="仿宋_GB2312" w:eastAsia="仿宋_GB2312"/>
                      <w:sz w:val="22"/>
                    </w:rPr>
                    <w:t>GB/T 13800》标准；可折叠，带刹车、安全带；座宽≥460mm，承重≥100kg。</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47"/>
                  <w:vMerge/>
                  <w:tcBorders>
                    <w:top w:val="none" w:color="000000" w:sz="4"/>
                    <w:left w:val="single" w:color="000000" w:sz="4"/>
                    <w:bottom w:val="single" w:color="000000" w:sz="4"/>
                    <w:right w:val="single" w:color="000000" w:sz="4"/>
                  </w:tcBorders>
                </w:tcP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放大装置适配服务</w:t>
                  </w:r>
                </w:p>
              </w:tc>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运用光学</w:t>
                  </w:r>
                  <w:r>
                    <w:rPr>
                      <w:rFonts w:ascii="仿宋_GB2312" w:hAnsi="仿宋_GB2312" w:cs="仿宋_GB2312" w:eastAsia="仿宋_GB2312"/>
                      <w:sz w:val="22"/>
                    </w:rPr>
                    <w:t>/电子原理进行影像放大，方便老年人使用</w:t>
                  </w: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配置放大镜</w:t>
                  </w:r>
                </w:p>
              </w:tc>
              <w:tc>
                <w:tcPr>
                  <w:tcW w:type="dxa" w:w="9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光学镜片，放大倍数</w:t>
                  </w:r>
                  <w:r>
                    <w:rPr>
                      <w:rFonts w:ascii="仿宋_GB2312" w:hAnsi="仿宋_GB2312" w:cs="仿宋_GB2312" w:eastAsia="仿宋_GB2312"/>
                      <w:sz w:val="22"/>
                    </w:rPr>
                    <w:t>≥10倍；可选带LED照明；使用安全便捷。</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4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配置放大镜指甲钳</w:t>
                  </w:r>
                </w:p>
              </w:tc>
              <w:tc>
                <w:tcPr>
                  <w:tcW w:type="dxa" w:w="909"/>
                  <w:vMerge/>
                  <w:tcBorders>
                    <w:top w:val="none" w:color="000000" w:sz="4"/>
                    <w:left w:val="single" w:color="000000" w:sz="4"/>
                    <w:bottom w:val="single" w:color="000000" w:sz="4"/>
                    <w:right w:val="single" w:color="000000" w:sz="4"/>
                  </w:tcBorders>
                </w:tcP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47"/>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自助进食器具适配服务</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辅助老年人进食</w:t>
                  </w: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配置自助进食器具</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防洒碗（盘）、助食筷、弯柄勺（叉）、饮水杯（壶）等；食品级材质，易抓握、防滑、易清洗。</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47"/>
                  <w:vMerge/>
                  <w:tcBorders>
                    <w:top w:val="none" w:color="000000" w:sz="4"/>
                    <w:left w:val="single" w:color="000000" w:sz="4"/>
                    <w:bottom w:val="single" w:color="000000" w:sz="4"/>
                    <w:right w:val="single" w:color="000000" w:sz="4"/>
                  </w:tcBorders>
                </w:tcP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助听器适配服务</w:t>
                  </w:r>
                </w:p>
              </w:tc>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帮助老年人听清声音来源，增加与周围的交流，包括盒式助听器、耳内助听器、耳背助听器、骨传导助听器等</w:t>
                  </w: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配置盒式助听器</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符合国家助听器标准；音量可调，噪音抑制；续航时间</w:t>
                  </w:r>
                  <w:r>
                    <w:rPr>
                      <w:rFonts w:ascii="仿宋_GB2312" w:hAnsi="仿宋_GB2312" w:cs="仿宋_GB2312" w:eastAsia="仿宋_GB2312"/>
                      <w:sz w:val="22"/>
                    </w:rPr>
                    <w:t>≥8小时。</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4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配置耳内助听器</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符合国家助听器标准；音量可调，噪音抑制；续航时间</w:t>
                  </w:r>
                  <w:r>
                    <w:rPr>
                      <w:rFonts w:ascii="仿宋_GB2312" w:hAnsi="仿宋_GB2312" w:cs="仿宋_GB2312" w:eastAsia="仿宋_GB2312"/>
                      <w:sz w:val="22"/>
                    </w:rPr>
                    <w:t>≥8小时。</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4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配置耳背助听器</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符合国家助听器标准；音量可调，噪音抑制；续航时间</w:t>
                  </w:r>
                  <w:r>
                    <w:rPr>
                      <w:rFonts w:ascii="仿宋_GB2312" w:hAnsi="仿宋_GB2312" w:cs="仿宋_GB2312" w:eastAsia="仿宋_GB2312"/>
                      <w:sz w:val="22"/>
                    </w:rPr>
                    <w:t>≥8小时。</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4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495"/>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配置有线款（骨传导）</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符合国家助听器标准；音量可调，噪音抑制；续航时间</w:t>
                  </w:r>
                  <w:r>
                    <w:rPr>
                      <w:rFonts w:ascii="仿宋_GB2312" w:hAnsi="仿宋_GB2312" w:cs="仿宋_GB2312" w:eastAsia="仿宋_GB2312"/>
                      <w:sz w:val="22"/>
                    </w:rPr>
                    <w:t>≥8小时。</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1、国家规定相关行业验收执行办法；2、磋商文件，响应文件、合同、承诺书。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进度款，项目质量验收合格后，达到付款条件起10个工作日内，支付合同总金额的97.0%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进度款，剩余3%作为质保金，待质保期结束后支付，达到付款条件起10个工作日内，支付合同总金额的3.0%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合同执行过程中如发生争议，双方应及时协商解决，协商不成，双方均可向项目所在地或甲方所在地人民法院起诉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结算时按验收合格实际服务内容为准，参照供应商分项报价表所报产品单价进行结算。单户改造费用最高支付上限为4195.00元乘以报价下浮率。单户适老化改造费用如在最高支付上限以下据实结算，如超过最高支付上限按最高支付上限结算，超出部分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响应文件封面及签署、盖章；响应文件内容</w:t>
            </w:r>
          </w:p>
        </w:tc>
        <w:tc>
          <w:tcPr>
            <w:tcW w:type="dxa" w:w="3322"/>
          </w:tcPr>
          <w:p>
            <w:pPr>
              <w:pStyle w:val="null3"/>
            </w:pPr>
            <w:r>
              <w:rPr>
                <w:rFonts w:ascii="仿宋_GB2312" w:hAnsi="仿宋_GB2312" w:cs="仿宋_GB2312" w:eastAsia="仿宋_GB2312"/>
              </w:rPr>
              <w:t>响应文件的签署、盖章符合磋商文件要求；响应文件内容齐全、无遗漏；响应文件未含有采购人不能接受的附加条件</w:t>
            </w:r>
          </w:p>
        </w:tc>
        <w:tc>
          <w:tcPr>
            <w:tcW w:type="dxa" w:w="1661"/>
          </w:tcPr>
          <w:p>
            <w:pPr>
              <w:pStyle w:val="null3"/>
            </w:pPr>
            <w:r>
              <w:rPr>
                <w:rFonts w:ascii="仿宋_GB2312" w:hAnsi="仿宋_GB2312" w:cs="仿宋_GB2312" w:eastAsia="仿宋_GB2312"/>
              </w:rPr>
              <w:t>业绩.docx 投标人应提交的相关资格证明材料.pdf 中小企业声明函 商务应答表 服务内容及服务要求应答表 报价表 响应文件封面 分项报价表.docx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项目实施、供货及安装方案</w:t>
            </w:r>
          </w:p>
        </w:tc>
        <w:tc>
          <w:tcPr>
            <w:tcW w:type="dxa" w:w="2492"/>
          </w:tcPr>
          <w:p>
            <w:pPr>
              <w:pStyle w:val="null3"/>
            </w:pPr>
            <w:r>
              <w:rPr>
                <w:rFonts w:ascii="仿宋_GB2312" w:hAnsi="仿宋_GB2312" w:cs="仿宋_GB2312" w:eastAsia="仿宋_GB2312"/>
              </w:rPr>
              <w:t>1、根据服务内容，提供本项目组织实施方案，方案完善得9分、基本完善得5分，不完善得2分，未提供不得分； 2、根据服务目标，提供本项目供货、安装方案，方案完善得9分、基本完善得5分，不完善得2分，未提供不得分；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1、产品供应渠道正常；证明材料完善得5分、基本完善得3分，不完善得1分，未提供不得分； 2、质量有保证，符合相关标准及行业要求；证明材料完善得5分、基本完善得3分，不完善得1分，未提供不得分； 3、提供项目质量保证措施方案；方案完善得5分、基本完善得3分，不完善得1分，未提供不得分；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提供售后服务承诺、维护保修计划（包括具体的售后服务内容、响应方式、响应时间、故障服务管理、问题管理、设备返修管理等）每提供一项且合理得1分，基本合理得0.7分，不合理得0.3分，未提供不得分。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产品选型及配置要求</w:t>
            </w:r>
          </w:p>
        </w:tc>
        <w:tc>
          <w:tcPr>
            <w:tcW w:type="dxa" w:w="2492"/>
          </w:tcPr>
          <w:p>
            <w:pPr>
              <w:pStyle w:val="null3"/>
            </w:pPr>
            <w:r>
              <w:rPr>
                <w:rFonts w:ascii="仿宋_GB2312" w:hAnsi="仿宋_GB2312" w:cs="仿宋_GB2312" w:eastAsia="仿宋_GB2312"/>
              </w:rPr>
              <w:t>响应产品选型合理，参数完全满足或优于采购文件要求得20分，技术指标有1项负偏离扣1分，扣完为止。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出具体的培训方案，保证使用单位（或个人）能熟练操作和正常使用。方案内容包含：培训内容、培训对象与人员安排、培训方式与方法、培训时间安排、培训效果保障措施；每提供一项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拟投入人员，10人及以上得5分，8（含）-10人得3分，5（含）-8人得1分，5人以下或未提供不得分。2、项目拟投入人员包含5名及以上具有相关领域职称或其他证书人员得5分，2名及以上具有相关领域职称或其他证书人员得3分，其余不得分（需提供证书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供应商提供自2023年1月至今，供应商的同类项目业绩（以合同或中标通知书或验收协议为准），每提供1份得3分，最高得6分。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产品性价比</w:t>
            </w:r>
          </w:p>
        </w:tc>
        <w:tc>
          <w:tcPr>
            <w:tcW w:type="dxa" w:w="2492"/>
          </w:tcPr>
          <w:p>
            <w:pPr>
              <w:pStyle w:val="null3"/>
            </w:pPr>
            <w:r>
              <w:rPr>
                <w:rFonts w:ascii="仿宋_GB2312" w:hAnsi="仿宋_GB2312" w:cs="仿宋_GB2312" w:eastAsia="仿宋_GB2312"/>
              </w:rPr>
              <w:t>由评审小组随机抽取分项报价表中5种产品进行横向比较，每种产品分别对满足供货参数的供应商产品报价由低到高进行排序，第一名得1分，第二名得0.6分，第三名得0.3分，其余不得分。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1、最终磋商报价最高的报价下浮率为评审基准价，得15分。2、其他供应商按（(最终磋商报价/评审基准价）×15的公式计算其得分。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