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3CE4E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业绩</w:t>
      </w:r>
    </w:p>
    <w:p w14:paraId="3A9D68F3">
      <w:pPr>
        <w:jc w:val="left"/>
      </w:pPr>
      <w:r>
        <w:rPr>
          <w:rFonts w:hint="eastAsia" w:ascii="宋体" w:hAnsi="宋体" w:eastAsia="宋体" w:cs="宋体"/>
          <w:sz w:val="28"/>
          <w:szCs w:val="28"/>
        </w:rPr>
        <w:t>供应商提供自2023年1月至今，供应商的同类项目业绩（以合同或中标通知书或验收协议为准）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F2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2026-04-14T08:35:59Z</dcterms:created>
  <dc:creator>Administrator</dc:creator>
  <cp:lastModifiedBy>请叫我大熊</cp:lastModifiedBy>
  <dcterms:modified xsi:type="dcterms:W3CDTF">2026-04-14T08:37:25Z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eyJoZGlkIjoiNDUzNmQxZThmNDczNDgzOGYzYmRjOTVjOTE3OWNhZDYiLCJ1c2VySWQiOiI5NTIzMDQ4ODYifQ==</vt:lpwstr>
  </property>
  <property fmtid="{D5CDD505-2E9C-101B-9397-08002B2CF9AE}" pid="4" name="ICV">
    <vt:lpwstr>7C61016E7C664CE695A172FC45BD2E91_12</vt:lpwstr>
  </property>
</Properties>
</file>