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版本号：ZYGL-2026-HZ-21220260724001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西乡县骆家坝镇2026年中央财政以工代赈项目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ZYGL-2026-HZ-212</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西乡县骆家坝镇2026年中央财政以工代赈项目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ZYGL-2026-HZ-212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西乡县骆家坝镇2026年中央财政以工代赈项目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骆家坝镇2026年中央财政以工代赈项目位于西乡县骆家坝镇内，主要建设内容为新建中夏河右岸护岸700m，护岸采用重力式挡墙结构，高度4.5m，护岸下部基础采用C20埋石砼浇筑，上部采用具有生态效果的台阶式格宾笼石布置;新建下河踏步5处，基础为M7.5浆砌石，面层为C20钢筋混凝土浇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采购包1（西乡县骆家坝镇2026年中央财政以工代赈项目）：属于专门面向中小企业采购。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3、供应商资质和专业要求：供应商须具备行政主管部门颁发的水利水电工程施工总承包三级(含三级)及以上资质，并具有行政主管部门颁发的安全生产许可证;</w:t>
      </w:r>
    </w:p>
    <w:p>
      <w:pPr>
        <w:pStyle w:val="null3"/>
      </w:pPr>
      <w:r>
        <w:rPr>
          <w:rFonts w:ascii="仿宋_GB2312" w:hAnsi="仿宋_GB2312" w:cs="仿宋_GB2312" w:eastAsia="仿宋_GB2312"/>
        </w:rPr>
        <w:t>4、项目经理资质和专业要求：拟派项目经理须具备在本单位注册的水利水电工程专业二级及以上注册建造师证书和有效的安全考核合格B证，且无在建项目承诺；</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6、非联合体磋商：本项目不接受联合体磋商，单位负责人为同一人或者存在控股、管理关系的不同单位不得同时参与本项目磋商响应。注:供应商需提供“非联合体磋商声明函”(格式自拟)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西乡县骆家坝镇人民政府经办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0916-6438503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陕西省西安市雁塔区汉华曲江中心T1楼11223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西乡县政府采购管理股经办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采购包1：2,509,100.00元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开户名称：陕西众依项目管理有限公司</w:t>
            </w:r>
          </w:p>
          <w:p>
            <w:pPr>
              <w:pStyle w:val="null3"/>
            </w:pPr>
            <w:r>
              <w:rPr>
                <w:rFonts w:ascii="仿宋_GB2312" w:hAnsi="仿宋_GB2312" w:cs="仿宋_GB2312" w:eastAsia="仿宋_GB2312"/>
              </w:rPr>
              <w:t>开户银行：西安银行纺织城支行</w:t>
            </w:r>
          </w:p>
          <w:p>
            <w:pPr>
              <w:pStyle w:val="null3"/>
            </w:pPr>
            <w:r>
              <w:rPr>
                <w:rFonts w:ascii="仿宋_GB2312" w:hAnsi="仿宋_GB2312" w:cs="仿宋_GB2312" w:eastAsia="仿宋_GB2312"/>
              </w:rPr>
              <w:t>银行账号：381011580000304215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 ⼈委托第三⽅在该项⽬后续开发的使⽤权）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地址：陕西省西安市雁塔区汉华曲江中心T1楼11223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2,509,100.00</w:t>
      </w:r>
    </w:p>
    <w:p>
      <w:pPr>
        <w:pStyle w:val="null3"/>
      </w:pPr>
      <w:r>
        <w:rPr>
          <w:rFonts w:ascii="仿宋_GB2312" w:hAnsi="仿宋_GB2312" w:cs="仿宋_GB2312" w:eastAsia="仿宋_GB2312"/>
        </w:rPr>
        <w:t>采购包最高限价（元）: 2,509,100.00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西乡县骆家坝镇2026年中央财政以工代赈项目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2,509,100.00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标的名称：西乡县骆家坝镇2026年中央财政以工代赈项目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 xml:space="preserve">1. 工期：合同签订后45个日历天竣工、验收完毕。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缺陷责任期：3年，自合同工程完工验收合格之日起计算；</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 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8.合同争议的处理：合同在履行过程中发生的争议，当事人双方应协商解决，协商达不成一致时，可向采购方所在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9.违约责任： 9.1 按《中华人民共和国政府采购法》《中华人民共和 国民法典》中的相关条款执行；9.2 未按要求提供货物、质量、环保标准不能满足技术要求的，施工方必须无条件更换，否则，采购单位有权终 止 合同，并对施工方的违约行为报监管机构进行相应的处罚。</w:t>
            </w:r>
          </w:p>
          <w:p>
            <w:pPr>
              <w:pStyle w:val="null3"/>
            </w:pPr>
            <w:r>
              <w:rPr>
                <w:rFonts w:ascii="仿宋_GB2312" w:hAnsi="仿宋_GB2312" w:cs="仿宋_GB2312" w:eastAsia="仿宋_GB2312"/>
              </w:rPr>
              <w:t>10.付款方式：</w:t>
            </w:r>
          </w:p>
          <w:p>
            <w:pPr>
              <w:pStyle w:val="null3"/>
            </w:pPr>
            <w:r>
              <w:rPr>
                <w:rFonts w:ascii="仿宋_GB2312" w:hAnsi="仿宋_GB2312" w:cs="仿宋_GB2312" w:eastAsia="仿宋_GB2312"/>
              </w:rPr>
              <w:t>10.1合同签订，设备进场后，达到付款条件起7个工作日内，支付合同总金额的40.0%；</w:t>
            </w:r>
          </w:p>
          <w:p>
            <w:pPr>
              <w:pStyle w:val="null3"/>
            </w:pPr>
            <w:r>
              <w:rPr>
                <w:rFonts w:ascii="仿宋_GB2312" w:hAnsi="仿宋_GB2312" w:cs="仿宋_GB2312" w:eastAsia="仿宋_GB2312"/>
              </w:rPr>
              <w:t>10.2后期施工中，按工程进度次支付，达到付款条件起7个工作日内，支付合同总金额的40.0%；</w:t>
            </w:r>
          </w:p>
          <w:p>
            <w:pPr>
              <w:pStyle w:val="null3"/>
            </w:pPr>
            <w:r>
              <w:rPr>
                <w:rFonts w:ascii="仿宋_GB2312" w:hAnsi="仿宋_GB2312" w:cs="仿宋_GB2312" w:eastAsia="仿宋_GB2312"/>
              </w:rPr>
              <w:t>10.3工程竣工、验收合格后，达到付款条件起7个工作日内，支付合同总金额的12.0%；</w:t>
            </w:r>
          </w:p>
          <w:p>
            <w:pPr>
              <w:pStyle w:val="null3"/>
            </w:pPr>
            <w:r>
              <w:rPr>
                <w:rFonts w:ascii="仿宋_GB2312" w:hAnsi="仿宋_GB2312" w:cs="仿宋_GB2312" w:eastAsia="仿宋_GB2312"/>
              </w:rPr>
              <w:t>10.4工程审计结束后，达到付款条件起7个工作日内，支付合同总金额的5.0%；</w:t>
            </w:r>
          </w:p>
          <w:p>
            <w:pPr>
              <w:pStyle w:val="null3"/>
            </w:pPr>
            <w:r>
              <w:rPr>
                <w:rFonts w:ascii="仿宋_GB2312" w:hAnsi="仿宋_GB2312" w:cs="仿宋_GB2312" w:eastAsia="仿宋_GB2312"/>
              </w:rPr>
              <w:t>10.5责任缺陷期满后，达到付款条件起7个工作日内，支付合同总金额的3.0%。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1、所有工程须符合行业标准及相关规定； 2、所有工程须符合国家有关规范和执行标准。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 项⽬的磋商响应⽂件。 2.成交供应商在采购结果发布后3个⼯作⽇内向代理机构提交纸质版响应⽂件以便于存档，响应⽂件正 本1份，副本1份（可以使⽤签章⽂件直接打印），电⼦版⽂件1份（以U盘为载体，PDF格式）。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供应商须具备行政主管部门颁发的水利水电工程施工总承包三级(含三级)及以上资质，并具有行政主管部门颁发的安全生产许可证;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拟派项目经理须具备在本单位注册的水利水电工程专业二级及以上注册建造师证书和有效的安全考核合格B证，且无在建项目承诺；</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并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本项目不接受联合体磋商，单位负责人为同一人或者存在控股、管理关系的不同单位不得同时参与本项目磋商响应。注:供应商需提供“非联合体磋商声明函”(格式自拟)</w:t>
            </w:r>
          </w:p>
        </w:tc>
        <w:tc>
          <w:tcPr>
            <w:tcW w:type="dxa" w:w="1661"/>
          </w:tcPr>
          <w:p>
            <w:pPr>
              <w:pStyle w:val="null3"/>
            </w:pPr>
            <w:r>
              <w:rPr>
                <w:rFonts w:ascii="仿宋_GB2312" w:hAnsi="仿宋_GB2312" w:cs="仿宋_GB2312" w:eastAsia="仿宋_GB2312"/>
              </w:rPr>
              <w:t>企业控股关联关系说明.docx 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 xml:space="preserve"> 响应文件签署、盖章是否按竞争性磋商文件要求盖章。</w:t>
            </w:r>
          </w:p>
        </w:tc>
        <w:tc>
          <w:tcPr>
            <w:tcW w:type="dxa" w:w="1661"/>
          </w:tcPr>
          <w:p>
            <w:pPr>
              <w:pStyle w:val="null3"/>
            </w:pPr>
            <w:r>
              <w:rPr>
                <w:rFonts w:ascii="仿宋_GB2312" w:hAnsi="仿宋_GB2312" w:cs="仿宋_GB2312" w:eastAsia="仿宋_GB2312"/>
              </w:rPr>
              <w:t>主要管理措施.docx 企业控股关联关系说明.docx 项目组织管理机构及人员配置情况.docx 施工总进度计划.docx 供应商提供的相关资格证明文件.docx 商务响应偏离表.docx 安全施工要求及措施.docx 标的清单 质量技术措施.docx 环境保护措施.docx 监狱企业的证明文件 施工部署.docx 已标价工程量清单 中小企业声明函 文明施工措施.docx 响应文件封面 验收保修方案.docx 项目管理机构组成表 资源配置.docx 类似项目业绩.docx 残疾人福利性单位声明函 报价函 其他承诺.docx 应急措施.docx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2、可实施性：切合本项目实际情况，实施步骤清晰、合理；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施工总进度计划.docx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三、赋分标准（满分4.5分） ①质量管理目标：每完全满足一个评审标准得0.5分，满分1.5分； ②施工质量保障措施：每完全满足一个评审标准得1分，满分3分； ③施工质量检验制度：每完全满足一个评审标准得 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质量技术措施.docx</w:t>
            </w:r>
          </w:p>
        </w:tc>
      </w:tr>
      <w:tr>
        <w:tc>
          <w:tcPr>
            <w:tcW w:type="dxa" w:w="831"/>
            <w:vMerge/>
          </w:tcPr>
          <w:p/>
        </w:tc>
        <w:tc>
          <w:tcPr>
            <w:tcW w:type="dxa" w:w="1661"/>
          </w:tcPr>
          <w:p>
            <w:pPr>
              <w:pStyle w:val="null3"/>
            </w:pPr>
            <w:r>
              <w:rPr>
                <w:rFonts w:ascii="仿宋_GB2312" w:hAnsi="仿宋_GB2312" w:cs="仿宋_GB2312" w:eastAsia="仿宋_GB2312"/>
              </w:rPr>
              <w:t>安全施工要求及措施</w:t>
            </w:r>
          </w:p>
        </w:tc>
        <w:tc>
          <w:tcPr>
            <w:tcW w:type="dxa" w:w="2492"/>
          </w:tcPr>
          <w:p>
            <w:pPr>
              <w:pStyle w:val="null3"/>
            </w:pPr>
            <w:r>
              <w:rPr>
                <w:rFonts w:ascii="仿宋_GB2312" w:hAnsi="仿宋_GB2312" w:cs="仿宋_GB2312" w:eastAsia="仿宋_GB2312"/>
              </w:rPr>
              <w:t>一、评审内容 供应商编制完善的安全施工要求及措施，内容包含：①安全管理制度②安全责任归属划分③安全标识：安全警戒标语、施工人员安全警示服和安全帽穿配要求④安全教育培训。 二、评审标准 1、完整性：方案须全面，对评审内容中的各项要求有详细描述； 2、可实施性：切合本项目实际情况，实施步骤清晰、合理； 3、针对性：方案能够紧扣项目实际情况，内容科学合理。 三、赋分标准（满分 6 分） ①安全管理制度：每完全满足一个评审标准得 0.5 分，满分 1.5 分； ②安全责任归属划分：每完全满足一个评审标准得 0.5 分，满 1.5分； ③安全标识：每完全满足一个评审标准得 0.5 分，满分 1.5 分； ④安全教育培训：每完全满足一个评审标准得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安全施工要求及措施.docx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供应商编制完善的文明施工措施，内容包含：①文明施工管理制度②材料、机具的堆放管理③文明施工检查措施。 二、评审标准 1、完整性：方案须全面，对评审内容中的各项要求有详细描述； 2、可实施性：切合本项目实际情况，实施步骤清晰、合理； 3、针对性：方案能够紧扣项目实际情况，内容科学合理。 三、赋分标准（满分 6 分） ①文明施工管理制度：每完全满足一个评审标准得 1 分，满分 3 分； ②材料、机具的堆放管理：每完全满足一个评审标准得 0.5 分，满分 1.5 分； ③文明施工检查措施：每完全满足一个评审标准得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供应商针对本项目编制主要管理措施，内容包含：①施工材料保护措施②季节性施工措施③工程重难点及解决措施④施工质量通病防治措施。 二、评审标准 1、完整性：方案须全面，对评审内容中的各项要求有详细描述； 2、可实施性：切合本项目实际情况，实施步骤清晰、合理； 3、针对性：方案能够紧扣项目实际情况，内容科学合理。 三、赋分标准（满分 6 分） ①施工材料保护措施：每完全满足一个评审标准得 0.5 分，满分 1.5分； ②季节性施工措施：每完全满足一个评审标准得 0.5 分，满 1.5 分； ③工程重难点及解决措施：每完全满足一个评审标准得 0.5 分，满分 1.5 分； ④施工质量通病防治措施：每完全满足一个评审标准得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主要管理措施.docx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突发事件的应急措施②安全事故应急措施：高空坠落伤害应急措施、触电应急措施、人员伤亡应急措施。 二、评审标准 1、完整性：方案须全面，对评审内容中的各项要求有详细描述； 2、可实施性：切合本项目实际情况，实施步骤清晰、合理； 3、针对性：方案能够紧扣项目实际情况，内容科学合理。 三、赋分标准（满分 3 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 1分，满分 3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结合本项目的实际，供应商应依据国家相关规定提出工程验收保修方案，内容包含：①验收方案②维修措施③保修责任及保修承诺④响应时间。 二、评审标准 1、完整性：内容必须全面，对评审内容中的各项要求有详细描述； 2、可实施性：切合本项目实际情况，实施步骤清晰、合理； 3、针对性：内容能够紧扣项目实际情况，内容科学合理。 三、赋分标准（满分 6 分） ①验收方案：每完全满足一个评审标准得 0.5 分，满分 1.5 分； ②维修措施：每完全满足一个评审标准得 0.5 分，满分 1.5 分； ③保修责任及保修承诺：每完全满足一个评审标准得 0.5 分，满分1.5 分； ④响应时间：每完全满足一个评审标准得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验收保修方案.docx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项目组织管理机构及人员配置情况.docx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 2024年 01月01 日至今类似项目业绩（以合同签订日期为准），每份合格业绩合同计 1.5分，满分4.5分。 赋分依据：需同时提供完整合同业绩及对应中标通知书复印件。不提供或缺项不得分。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针对实际需求，在保证完成本项目的基础上，对降低工程造价、缩短施工周期等提供实质性承诺。 赋分依据：以加盖供应商公章的承诺为计分依据，每提供一条得 0.5分，满分 1 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详见附件：安全施工要求及措施.docx</w:t>
      </w:r>
    </w:p>
    <w:p>
      <w:pPr>
        <w:pStyle w:val="null3"/>
        <w:ind w:firstLine="960"/>
      </w:pPr>
      <w:r>
        <w:rPr>
          <w:rFonts w:ascii="仿宋_GB2312" w:hAnsi="仿宋_GB2312" w:cs="仿宋_GB2312" w:eastAsia="仿宋_GB2312"/>
        </w:rPr>
        <w:t>详见附件：环境保护措施.docx</w:t>
      </w:r>
    </w:p>
    <w:p>
      <w:pPr>
        <w:pStyle w:val="null3"/>
        <w:ind w:firstLine="960"/>
      </w:pPr>
      <w:r>
        <w:rPr>
          <w:rFonts w:ascii="仿宋_GB2312" w:hAnsi="仿宋_GB2312" w:cs="仿宋_GB2312" w:eastAsia="仿宋_GB2312"/>
        </w:rPr>
        <w:t>详见附件：其他承诺.docx</w:t>
      </w:r>
    </w:p>
    <w:p>
      <w:pPr>
        <w:pStyle w:val="null3"/>
        <w:ind w:firstLine="960"/>
      </w:pPr>
      <w:r>
        <w:rPr>
          <w:rFonts w:ascii="仿宋_GB2312" w:hAnsi="仿宋_GB2312" w:cs="仿宋_GB2312" w:eastAsia="仿宋_GB2312"/>
        </w:rPr>
        <w:t>详见附件：施工总进度计划.docx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详见附件：项目组织管理机构及人员配置情况.docx</w:t>
      </w:r>
    </w:p>
    <w:p>
      <w:pPr>
        <w:pStyle w:val="null3"/>
        <w:ind w:firstLine="960"/>
      </w:pPr>
      <w:r>
        <w:rPr>
          <w:rFonts w:ascii="仿宋_GB2312" w:hAnsi="仿宋_GB2312" w:cs="仿宋_GB2312" w:eastAsia="仿宋_GB2312"/>
        </w:rPr>
        <w:t>详见附件：验收保修方案.docx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详见附件：质量技术措施.docx</w:t>
      </w:r>
    </w:p>
    <w:p>
      <w:pPr>
        <w:pStyle w:val="null3"/>
        <w:ind w:firstLine="960"/>
      </w:pPr>
      <w:r>
        <w:rPr>
          <w:rFonts w:ascii="仿宋_GB2312" w:hAnsi="仿宋_GB2312" w:cs="仿宋_GB2312" w:eastAsia="仿宋_GB2312"/>
        </w:rPr>
        <w:t>详见附件：主要管理措施.docx</w:t>
      </w:r>
    </w:p>
    <w:p>
      <w:pPr>
        <w:pStyle w:val="null3"/>
        <w:ind w:firstLine="960"/>
      </w:pPr>
      <w:r>
        <w:rPr>
          <w:rFonts w:ascii="仿宋_GB2312" w:hAnsi="仿宋_GB2312" w:cs="仿宋_GB2312" w:eastAsia="仿宋_GB2312"/>
        </w:rPr>
        <w:t>详见附件：资源配置.docx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详见附件：商务响应偏离表.docx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