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4EDC5">
      <w:pPr>
        <w:jc w:val="left"/>
        <w:rPr>
          <w:rFonts w:hint="eastAsia" w:eastAsia="宋体"/>
          <w:lang w:val="en-US" w:eastAsia="zh-CN"/>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项目编号：SYHZ-2026-0</w:t>
      </w:r>
      <w:r>
        <w:rPr>
          <w:rFonts w:hint="eastAsia" w:hAnsi="宋体" w:cs="宋体"/>
          <w:b/>
          <w:bCs/>
          <w:color w:val="auto"/>
          <w:sz w:val="36"/>
          <w:szCs w:val="36"/>
          <w:lang w:val="en-US" w:eastAsia="zh-CN"/>
        </w:rPr>
        <w:t>4</w:t>
      </w:r>
    </w:p>
    <w:p w14:paraId="1686C5EF"/>
    <w:p w14:paraId="38428674"/>
    <w:p w14:paraId="2DAFCED7"/>
    <w:p w14:paraId="0E2F813C">
      <w:pPr>
        <w:spacing w:beforeAutospacing="0" w:line="360" w:lineRule="auto"/>
        <w:jc w:val="center"/>
        <w:rPr>
          <w:rFonts w:hint="eastAsia" w:ascii="宋体" w:hAnsi="宋体" w:eastAsia="宋体" w:cs="宋体"/>
          <w:b/>
          <w:bCs/>
          <w:color w:val="auto"/>
          <w:sz w:val="52"/>
          <w:szCs w:val="52"/>
          <w:lang w:val="en-US" w:eastAsia="zh-CN"/>
        </w:rPr>
      </w:pPr>
    </w:p>
    <w:p w14:paraId="66368C79">
      <w:pPr>
        <w:spacing w:beforeAutospacing="0" w:line="360" w:lineRule="auto"/>
        <w:jc w:val="center"/>
        <w:rPr>
          <w:rFonts w:hint="eastAsia" w:ascii="宋体" w:hAnsi="宋体" w:eastAsia="宋体" w:cs="宋体"/>
          <w:b/>
          <w:bCs/>
          <w:color w:val="auto"/>
          <w:sz w:val="52"/>
          <w:szCs w:val="52"/>
          <w:lang w:val="en-US" w:eastAsia="zh-CN"/>
        </w:rPr>
      </w:pPr>
      <w:r>
        <w:rPr>
          <w:rFonts w:hint="eastAsia" w:hAnsi="宋体" w:cs="宋体"/>
          <w:b/>
          <w:bCs/>
          <w:color w:val="auto"/>
          <w:sz w:val="52"/>
          <w:szCs w:val="52"/>
          <w:lang w:val="en-US" w:eastAsia="zh-CN"/>
        </w:rPr>
        <w:t>清涧县2025年黄河流域湿地保护与修复项目（二次）</w:t>
      </w:r>
    </w:p>
    <w:p w14:paraId="16B74E66">
      <w:pPr>
        <w:spacing w:beforeAutospacing="0" w:line="360" w:lineRule="auto"/>
        <w:jc w:val="center"/>
        <w:rPr>
          <w:rFonts w:hint="eastAsia" w:ascii="宋体" w:hAnsi="宋体" w:eastAsia="宋体" w:cs="宋体"/>
          <w:b/>
          <w:bCs/>
          <w:color w:val="auto"/>
          <w:sz w:val="60"/>
          <w:szCs w:val="60"/>
          <w:lang w:val="en-US" w:eastAsia="zh-CN"/>
        </w:rPr>
      </w:pPr>
      <w:r>
        <w:rPr>
          <w:rFonts w:hint="eastAsia" w:ascii="宋体" w:hAnsi="宋体" w:eastAsia="宋体" w:cs="宋体"/>
          <w:b/>
          <w:bCs/>
          <w:color w:val="auto"/>
          <w:sz w:val="60"/>
          <w:szCs w:val="60"/>
          <w:lang w:val="en-US" w:eastAsia="zh-CN"/>
        </w:rPr>
        <w:br w:type="textWrapping"/>
      </w:r>
    </w:p>
    <w:p w14:paraId="457A501A">
      <w:pPr>
        <w:spacing w:before="156" w:beforeLines="50" w:line="360" w:lineRule="auto"/>
        <w:jc w:val="center"/>
        <w:rPr>
          <w:rFonts w:hint="default" w:ascii="宋体" w:hAnsi="宋体" w:eastAsia="宋体" w:cs="宋体"/>
          <w:b/>
          <w:color w:val="auto"/>
          <w:sz w:val="32"/>
          <w:szCs w:val="32"/>
          <w:lang w:val="en-US" w:eastAsia="zh-CN"/>
        </w:rPr>
      </w:pPr>
      <w:r>
        <w:rPr>
          <w:rFonts w:hint="eastAsia" w:ascii="宋体" w:hAnsi="宋体" w:cs="宋体"/>
          <w:b/>
          <w:bCs/>
          <w:color w:val="auto"/>
          <w:sz w:val="72"/>
          <w:szCs w:val="72"/>
          <w:lang w:val="en-US" w:eastAsia="zh-CN"/>
        </w:rPr>
        <w:t xml:space="preserve"> 招 标</w:t>
      </w:r>
      <w:r>
        <w:rPr>
          <w:rFonts w:hint="eastAsia" w:hAnsi="宋体" w:cs="宋体"/>
          <w:b/>
          <w:bCs/>
          <w:color w:val="auto"/>
          <w:sz w:val="72"/>
          <w:szCs w:val="72"/>
          <w:lang w:val="en-US" w:eastAsia="zh-CN"/>
        </w:rPr>
        <w:t xml:space="preserve"> 文 件</w:t>
      </w:r>
    </w:p>
    <w:p w14:paraId="7F4A971B">
      <w:pPr>
        <w:tabs>
          <w:tab w:val="left" w:pos="3861"/>
        </w:tabs>
        <w:jc w:val="center"/>
        <w:rPr>
          <w:rFonts w:hint="eastAsia" w:ascii="宋体" w:hAnsi="宋体" w:cs="宋体"/>
          <w:color w:val="auto"/>
        </w:rPr>
      </w:pPr>
    </w:p>
    <w:p w14:paraId="2DABFC5F">
      <w:pPr>
        <w:pStyle w:val="9"/>
        <w:spacing w:after="0"/>
        <w:jc w:val="center"/>
        <w:rPr>
          <w:rFonts w:hint="eastAsia" w:eastAsia="宋体"/>
          <w:color w:val="auto"/>
          <w:lang w:eastAsia="zh-CN"/>
        </w:rPr>
      </w:pPr>
    </w:p>
    <w:p w14:paraId="024A6BDF">
      <w:pPr>
        <w:tabs>
          <w:tab w:val="left" w:pos="2520"/>
        </w:tabs>
        <w:spacing w:line="480" w:lineRule="auto"/>
        <w:jc w:val="both"/>
        <w:rPr>
          <w:rFonts w:hint="eastAsia" w:ascii="宋体" w:hAnsi="宋体" w:cs="宋体"/>
          <w:b/>
          <w:color w:val="auto"/>
          <w:sz w:val="32"/>
          <w:szCs w:val="32"/>
          <w:lang w:val="en-US" w:eastAsia="zh-CN"/>
        </w:rPr>
      </w:pPr>
    </w:p>
    <w:p w14:paraId="1B94D3E4">
      <w:pPr>
        <w:tabs>
          <w:tab w:val="left" w:pos="2520"/>
        </w:tabs>
        <w:spacing w:line="480" w:lineRule="auto"/>
        <w:jc w:val="both"/>
        <w:rPr>
          <w:rFonts w:hint="eastAsia" w:ascii="宋体" w:hAnsi="宋体" w:cs="宋体"/>
          <w:b/>
          <w:color w:val="auto"/>
          <w:sz w:val="32"/>
          <w:szCs w:val="32"/>
          <w:lang w:val="en-US" w:eastAsia="zh-CN"/>
        </w:rPr>
      </w:pPr>
    </w:p>
    <w:p w14:paraId="38AADBA8">
      <w:pPr>
        <w:pStyle w:val="7"/>
        <w:rPr>
          <w:rFonts w:hint="eastAsia"/>
          <w:lang w:val="en-US" w:eastAsia="zh-CN"/>
        </w:rPr>
      </w:pPr>
    </w:p>
    <w:p w14:paraId="55E352A9">
      <w:pPr>
        <w:keepNext w:val="0"/>
        <w:keepLines w:val="0"/>
        <w:widowControl/>
        <w:suppressLineNumbers w:val="0"/>
        <w:spacing w:line="360" w:lineRule="auto"/>
        <w:jc w:val="left"/>
        <w:rPr>
          <w:rFonts w:hint="eastAsia" w:ascii="宋体" w:hAnsi="宋体" w:cs="宋体"/>
          <w:b/>
          <w:bCs/>
          <w:color w:val="auto"/>
          <w:sz w:val="36"/>
          <w:szCs w:val="36"/>
          <w:lang w:val="en-US" w:eastAsia="zh-CN"/>
        </w:rPr>
      </w:pPr>
    </w:p>
    <w:p w14:paraId="3699A126">
      <w:pPr>
        <w:keepNext w:val="0"/>
        <w:keepLines w:val="0"/>
        <w:widowControl/>
        <w:suppressLineNumbers w:val="0"/>
        <w:spacing w:line="360" w:lineRule="auto"/>
        <w:jc w:val="left"/>
        <w:rPr>
          <w:rFonts w:hint="eastAsia" w:ascii="宋体" w:hAnsi="宋体" w:eastAsia="宋体" w:cs="宋体"/>
          <w:b/>
          <w:bCs/>
          <w:color w:val="auto"/>
          <w:sz w:val="36"/>
          <w:szCs w:val="36"/>
          <w:lang w:eastAsia="zh-CN"/>
        </w:rPr>
      </w:pPr>
      <w:r>
        <w:rPr>
          <w:rFonts w:hint="eastAsia" w:ascii="宋体" w:hAnsi="宋体" w:cs="宋体"/>
          <w:b/>
          <w:bCs/>
          <w:color w:val="auto"/>
          <w:sz w:val="36"/>
          <w:szCs w:val="36"/>
          <w:lang w:val="en-US" w:eastAsia="zh-CN"/>
        </w:rPr>
        <w:t>采购人</w:t>
      </w:r>
      <w:r>
        <w:rPr>
          <w:rFonts w:hint="eastAsia" w:ascii="宋体" w:hAnsi="宋体" w:cs="宋体"/>
          <w:b/>
          <w:bCs/>
          <w:color w:val="auto"/>
          <w:sz w:val="36"/>
          <w:szCs w:val="36"/>
        </w:rPr>
        <w:t>：</w:t>
      </w:r>
      <w:r>
        <w:rPr>
          <w:rFonts w:hint="eastAsia" w:hAnsi="宋体" w:cs="宋体"/>
          <w:b/>
          <w:bCs/>
          <w:color w:val="auto"/>
          <w:sz w:val="36"/>
          <w:szCs w:val="36"/>
          <w:lang w:val="en-US" w:eastAsia="zh-CN"/>
        </w:rPr>
        <w:t>清涧县林业工作站</w:t>
      </w:r>
    </w:p>
    <w:p w14:paraId="7E237E4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bCs/>
          <w:color w:val="auto"/>
          <w:sz w:val="36"/>
          <w:szCs w:val="36"/>
          <w:lang w:eastAsia="zh-CN"/>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代理机构：</w:t>
      </w:r>
      <w:r>
        <w:rPr>
          <w:rFonts w:hint="eastAsia" w:hAnsi="宋体" w:cs="宋体"/>
          <w:b/>
          <w:bCs/>
          <w:color w:val="auto"/>
          <w:sz w:val="36"/>
          <w:szCs w:val="36"/>
          <w:lang w:eastAsia="zh-CN"/>
        </w:rPr>
        <w:t>陕西盛誉恒正项目管理有限公司</w:t>
      </w:r>
    </w:p>
    <w:p w14:paraId="26D23075">
      <w:pPr>
        <w:spacing w:before="153" w:line="360" w:lineRule="auto"/>
        <w:rPr>
          <w:rFonts w:ascii="宋体" w:hAnsi="宋体" w:eastAsia="宋体" w:cs="宋体"/>
          <w:b/>
          <w:bCs/>
          <w:spacing w:val="-56"/>
          <w:sz w:val="47"/>
          <w:szCs w:val="47"/>
        </w:rPr>
      </w:pPr>
      <w:r>
        <w:rPr>
          <w:rFonts w:hint="eastAsia" w:ascii="宋体" w:hAnsi="宋体" w:cs="宋体"/>
          <w:b/>
          <w:bCs/>
          <w:color w:val="auto"/>
          <w:sz w:val="36"/>
          <w:szCs w:val="36"/>
        </w:rPr>
        <w:t>时     间：二〇二</w:t>
      </w:r>
      <w:r>
        <w:rPr>
          <w:rFonts w:hint="eastAsia" w:hAnsi="宋体" w:cs="宋体"/>
          <w:b/>
          <w:bCs/>
          <w:color w:val="auto"/>
          <w:sz w:val="36"/>
          <w:szCs w:val="36"/>
          <w:lang w:val="en-US" w:eastAsia="zh-CN"/>
        </w:rPr>
        <w:t>六</w:t>
      </w:r>
      <w:r>
        <w:rPr>
          <w:rFonts w:hint="eastAsia" w:ascii="宋体" w:hAnsi="宋体" w:cs="宋体"/>
          <w:b/>
          <w:bCs/>
          <w:color w:val="auto"/>
          <w:sz w:val="36"/>
          <w:szCs w:val="36"/>
        </w:rPr>
        <w:t>年</w:t>
      </w:r>
      <w:r>
        <w:rPr>
          <w:rFonts w:hint="eastAsia" w:hAnsi="宋体" w:cs="宋体"/>
          <w:b/>
          <w:bCs/>
          <w:color w:val="auto"/>
          <w:sz w:val="36"/>
          <w:szCs w:val="36"/>
          <w:lang w:val="en-US" w:eastAsia="zh-CN"/>
        </w:rPr>
        <w:t>九</w:t>
      </w:r>
      <w:r>
        <w:rPr>
          <w:rFonts w:hint="eastAsia" w:ascii="宋体" w:hAnsi="宋体" w:cs="宋体"/>
          <w:b/>
          <w:bCs/>
          <w:color w:val="auto"/>
          <w:sz w:val="36"/>
          <w:szCs w:val="36"/>
        </w:rPr>
        <w:t>月</w:t>
      </w:r>
    </w:p>
    <w:p w14:paraId="11EF0194">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sdt>
      <w:sdtPr>
        <w:rPr>
          <w:rFonts w:hint="eastAsia" w:ascii="宋体" w:hAnsi="宋体" w:eastAsia="宋体" w:cs="宋体"/>
          <w:b/>
          <w:bCs/>
          <w:color w:val="auto"/>
          <w:sz w:val="21"/>
        </w:rPr>
        <w:id w:val="147464001"/>
        <w15:color w:val="DBDBDB"/>
        <w:docPartObj>
          <w:docPartGallery w:val="Table of Contents"/>
          <w:docPartUnique/>
        </w:docPartObj>
      </w:sdtPr>
      <w:sdtEndPr>
        <w:rPr>
          <w:rFonts w:hint="eastAsia" w:ascii="宋体" w:hAnsi="宋体" w:eastAsia="宋体" w:cs="宋体"/>
          <w:b/>
          <w:bCs/>
          <w:color w:val="auto"/>
          <w:sz w:val="24"/>
        </w:rPr>
      </w:sdtEndPr>
      <w:sdtContent>
        <w:p w14:paraId="0247C053">
          <w:pPr>
            <w:jc w:val="center"/>
            <w:rPr>
              <w:rFonts w:hint="eastAsia" w:ascii="宋体" w:hAnsi="宋体" w:eastAsia="宋体" w:cs="宋体"/>
              <w:b/>
              <w:bCs/>
              <w:color w:val="auto"/>
            </w:rPr>
          </w:pPr>
          <w:r>
            <w:rPr>
              <w:rFonts w:hint="eastAsia" w:ascii="宋体" w:hAnsi="宋体" w:eastAsia="宋体" w:cs="宋体"/>
              <w:b/>
              <w:bCs/>
              <w:color w:val="auto"/>
              <w:sz w:val="32"/>
              <w:szCs w:val="32"/>
            </w:rPr>
            <w:t>目 录</w:t>
          </w:r>
        </w:p>
        <w:p w14:paraId="4AB7473E">
          <w:pPr>
            <w:pStyle w:val="50"/>
            <w:tabs>
              <w:tab w:val="right" w:leader="middleDot" w:pos="9120"/>
            </w:tabs>
            <w:spacing w:line="288" w:lineRule="auto"/>
            <w:rPr>
              <w:rFonts w:hint="eastAsia" w:ascii="宋体" w:hAnsi="宋体" w:eastAsia="宋体" w:cs="宋体"/>
              <w:color w:val="auto"/>
            </w:rPr>
          </w:pPr>
        </w:p>
        <w:p w14:paraId="77FEDAAB">
          <w:pPr>
            <w:pStyle w:val="50"/>
            <w:tabs>
              <w:tab w:val="right" w:leader="middleDot" w:pos="9120"/>
            </w:tabs>
            <w:spacing w:line="288" w:lineRule="auto"/>
            <w:rPr>
              <w:rFonts w:hint="eastAsia" w:ascii="宋体" w:hAnsi="宋体" w:eastAsia="宋体" w:cs="宋体"/>
              <w:b/>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TOC \o "1-2" \h \u </w:instrText>
          </w:r>
          <w:r>
            <w:rPr>
              <w:rFonts w:hint="eastAsia" w:ascii="宋体" w:hAnsi="宋体" w:eastAsia="宋体" w:cs="宋体"/>
              <w:color w:val="auto"/>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"_Toc25770" </w:instrText>
          </w:r>
          <w:r>
            <w:rPr>
              <w:rFonts w:hint="eastAsia" w:ascii="宋体" w:hAnsi="宋体" w:eastAsia="宋体" w:cs="宋体"/>
              <w:color w:val="auto"/>
            </w:rPr>
            <w:fldChar w:fldCharType="separate"/>
          </w:r>
          <w:r>
            <w:rPr>
              <w:rFonts w:hint="eastAsia" w:ascii="宋体" w:hAnsi="宋体" w:eastAsia="宋体" w:cs="宋体"/>
              <w:b/>
              <w:color w:val="auto"/>
              <w:sz w:val="28"/>
              <w:szCs w:val="28"/>
            </w:rPr>
            <w:t>第一章 招标公告</w:t>
          </w:r>
          <w:r>
            <w:rPr>
              <w:rFonts w:hint="eastAsia" w:ascii="宋体" w:hAnsi="宋体" w:eastAsia="宋体" w:cs="宋体"/>
              <w:b/>
              <w:color w:val="auto"/>
              <w:sz w:val="28"/>
              <w:szCs w:val="28"/>
            </w:rPr>
            <w:tab/>
          </w: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PAGEREF _Toc25770 </w:instrText>
          </w:r>
          <w:r>
            <w:rPr>
              <w:rFonts w:hint="eastAsia" w:ascii="宋体" w:hAnsi="宋体" w:eastAsia="宋体" w:cs="宋体"/>
              <w:b/>
              <w:color w:val="auto"/>
              <w:sz w:val="28"/>
              <w:szCs w:val="28"/>
            </w:rPr>
            <w:fldChar w:fldCharType="separate"/>
          </w:r>
          <w:r>
            <w:rPr>
              <w:rFonts w:hint="eastAsia" w:ascii="宋体" w:hAnsi="宋体" w:eastAsia="宋体" w:cs="宋体"/>
              <w:b/>
              <w:color w:val="auto"/>
              <w:sz w:val="28"/>
              <w:szCs w:val="28"/>
            </w:rPr>
            <w:t>1</w:t>
          </w:r>
          <w:r>
            <w:rPr>
              <w:rFonts w:hint="eastAsia" w:ascii="宋体" w:hAnsi="宋体" w:eastAsia="宋体" w:cs="宋体"/>
              <w:b/>
              <w:color w:val="auto"/>
              <w:sz w:val="28"/>
              <w:szCs w:val="28"/>
            </w:rPr>
            <w:fldChar w:fldCharType="end"/>
          </w:r>
          <w:r>
            <w:rPr>
              <w:rFonts w:hint="eastAsia" w:ascii="宋体" w:hAnsi="宋体" w:eastAsia="宋体" w:cs="宋体"/>
              <w:b/>
              <w:color w:val="auto"/>
              <w:sz w:val="28"/>
              <w:szCs w:val="28"/>
            </w:rPr>
            <w:fldChar w:fldCharType="end"/>
          </w:r>
        </w:p>
        <w:p w14:paraId="48BCCE3F">
          <w:pPr>
            <w:pStyle w:val="51"/>
            <w:tabs>
              <w:tab w:val="right" w:leader="middleDot" w:pos="9120"/>
            </w:tabs>
            <w:spacing w:line="288" w:lineRule="auto"/>
            <w:ind w:left="480"/>
            <w:rPr>
              <w:rFonts w:hint="eastAsia" w:ascii="宋体" w:hAnsi="宋体" w:eastAsia="宋体" w:cs="宋体"/>
              <w:color w:val="auto"/>
              <w:sz w:val="28"/>
              <w:szCs w:val="28"/>
            </w:rPr>
          </w:pPr>
        </w:p>
        <w:p w14:paraId="6FF91486">
          <w:pPr>
            <w:pStyle w:val="50"/>
            <w:tabs>
              <w:tab w:val="right" w:leader="middleDot" w:pos="9120"/>
            </w:tabs>
            <w:spacing w:line="288" w:lineRule="auto"/>
            <w:rPr>
              <w:rFonts w:hint="eastAsia" w:ascii="宋体" w:hAnsi="宋体" w:eastAsia="宋体" w:cs="宋体"/>
              <w:b/>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"_Toc3954" </w:instrText>
          </w:r>
          <w:r>
            <w:rPr>
              <w:rFonts w:hint="eastAsia" w:ascii="宋体" w:hAnsi="宋体" w:eastAsia="宋体" w:cs="宋体"/>
              <w:color w:val="auto"/>
            </w:rPr>
            <w:fldChar w:fldCharType="separate"/>
          </w:r>
          <w:r>
            <w:rPr>
              <w:rFonts w:hint="eastAsia" w:ascii="宋体" w:hAnsi="宋体" w:eastAsia="宋体" w:cs="宋体"/>
              <w:b/>
              <w:color w:val="auto"/>
              <w:sz w:val="28"/>
              <w:szCs w:val="28"/>
            </w:rPr>
            <w:t>第二章 投标人须知</w:t>
          </w:r>
          <w:r>
            <w:rPr>
              <w:rFonts w:hint="eastAsia" w:ascii="宋体" w:hAnsi="宋体" w:eastAsia="宋体" w:cs="宋体"/>
              <w:b/>
              <w:color w:val="auto"/>
              <w:sz w:val="28"/>
              <w:szCs w:val="28"/>
            </w:rPr>
            <w:tab/>
          </w:r>
          <w:r>
            <w:rPr>
              <w:rFonts w:hint="eastAsia" w:ascii="宋体" w:hAnsi="宋体" w:cs="宋体"/>
              <w:b/>
              <w:color w:val="auto"/>
              <w:sz w:val="28"/>
              <w:szCs w:val="28"/>
              <w:lang w:val="en-US" w:eastAsia="zh-CN"/>
            </w:rPr>
            <w:t>8</w:t>
          </w:r>
          <w:r>
            <w:rPr>
              <w:rFonts w:hint="eastAsia" w:ascii="宋体" w:hAnsi="宋体" w:eastAsia="宋体" w:cs="宋体"/>
              <w:b/>
              <w:color w:val="auto"/>
              <w:sz w:val="28"/>
              <w:szCs w:val="28"/>
            </w:rPr>
            <w:fldChar w:fldCharType="end"/>
          </w:r>
        </w:p>
        <w:p w14:paraId="21CA6CB7">
          <w:pPr>
            <w:pStyle w:val="51"/>
            <w:tabs>
              <w:tab w:val="right" w:leader="middleDot" w:pos="9660"/>
            </w:tabs>
            <w:spacing w:line="288" w:lineRule="auto"/>
            <w:ind w:left="480"/>
            <w:rPr>
              <w:rFonts w:hint="eastAsia" w:ascii="宋体" w:hAnsi="宋体" w:eastAsia="宋体" w:cs="宋体"/>
              <w:color w:val="auto"/>
              <w:sz w:val="28"/>
              <w:szCs w:val="28"/>
            </w:rPr>
          </w:pPr>
        </w:p>
        <w:p w14:paraId="0FCCB9AC">
          <w:pPr>
            <w:pStyle w:val="50"/>
            <w:tabs>
              <w:tab w:val="right" w:leader="middleDot" w:pos="9120"/>
            </w:tabs>
            <w:spacing w:line="288" w:lineRule="auto"/>
            <w:rPr>
              <w:rFonts w:hint="eastAsia" w:ascii="宋体" w:hAnsi="宋体" w:eastAsia="宋体" w:cs="宋体"/>
              <w:b/>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"_Toc19346" </w:instrText>
          </w:r>
          <w:r>
            <w:rPr>
              <w:rFonts w:hint="eastAsia" w:ascii="宋体" w:hAnsi="宋体" w:eastAsia="宋体" w:cs="宋体"/>
              <w:color w:val="auto"/>
            </w:rPr>
            <w:fldChar w:fldCharType="separate"/>
          </w:r>
          <w:r>
            <w:rPr>
              <w:rFonts w:hint="eastAsia" w:ascii="宋体" w:hAnsi="宋体" w:eastAsia="宋体" w:cs="宋体"/>
              <w:b/>
              <w:color w:val="auto"/>
              <w:sz w:val="28"/>
              <w:szCs w:val="28"/>
            </w:rPr>
            <w:t>第三章 评审办法及标准</w:t>
          </w:r>
          <w:r>
            <w:rPr>
              <w:rFonts w:hint="eastAsia" w:ascii="宋体" w:hAnsi="宋体" w:eastAsia="宋体" w:cs="宋体"/>
              <w:b/>
              <w:color w:val="auto"/>
              <w:sz w:val="28"/>
              <w:szCs w:val="28"/>
            </w:rPr>
            <w:tab/>
          </w: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PAGEREF _Toc19346 </w:instrText>
          </w:r>
          <w:r>
            <w:rPr>
              <w:rFonts w:hint="eastAsia" w:ascii="宋体" w:hAnsi="宋体" w:eastAsia="宋体" w:cs="宋体"/>
              <w:b/>
              <w:color w:val="auto"/>
              <w:sz w:val="28"/>
              <w:szCs w:val="28"/>
            </w:rPr>
            <w:fldChar w:fldCharType="separate"/>
          </w:r>
          <w:r>
            <w:rPr>
              <w:rFonts w:hint="eastAsia" w:ascii="宋体" w:hAnsi="宋体" w:eastAsia="宋体" w:cs="宋体"/>
              <w:b/>
              <w:color w:val="auto"/>
              <w:sz w:val="28"/>
              <w:szCs w:val="28"/>
            </w:rPr>
            <w:t>36</w:t>
          </w:r>
          <w:r>
            <w:rPr>
              <w:rFonts w:hint="eastAsia" w:ascii="宋体" w:hAnsi="宋体" w:eastAsia="宋体" w:cs="宋体"/>
              <w:b/>
              <w:color w:val="auto"/>
              <w:sz w:val="28"/>
              <w:szCs w:val="28"/>
            </w:rPr>
            <w:fldChar w:fldCharType="end"/>
          </w:r>
          <w:r>
            <w:rPr>
              <w:rFonts w:hint="eastAsia" w:ascii="宋体" w:hAnsi="宋体" w:eastAsia="宋体" w:cs="宋体"/>
              <w:b/>
              <w:color w:val="auto"/>
              <w:sz w:val="28"/>
              <w:szCs w:val="28"/>
            </w:rPr>
            <w:fldChar w:fldCharType="end"/>
          </w:r>
        </w:p>
        <w:p w14:paraId="6A08A6F8">
          <w:pPr>
            <w:pStyle w:val="51"/>
            <w:tabs>
              <w:tab w:val="right" w:leader="middleDot" w:pos="9660"/>
            </w:tabs>
            <w:spacing w:line="288" w:lineRule="auto"/>
            <w:ind w:left="480" w:firstLine="560" w:firstLineChars="200"/>
            <w:rPr>
              <w:rFonts w:hint="eastAsia" w:ascii="宋体" w:hAnsi="宋体" w:eastAsia="宋体" w:cs="宋体"/>
              <w:color w:val="auto"/>
              <w:sz w:val="28"/>
              <w:szCs w:val="28"/>
            </w:rPr>
          </w:pPr>
        </w:p>
        <w:p w14:paraId="206D4525">
          <w:pPr>
            <w:pStyle w:val="50"/>
            <w:tabs>
              <w:tab w:val="right" w:leader="middleDot" w:pos="9120"/>
            </w:tabs>
            <w:spacing w:line="288" w:lineRule="auto"/>
            <w:rPr>
              <w:rFonts w:hint="eastAsia" w:ascii="宋体" w:hAnsi="宋体" w:eastAsia="宋体" w:cs="宋体"/>
              <w:b/>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"_Toc1331" </w:instrText>
          </w:r>
          <w:r>
            <w:rPr>
              <w:rFonts w:hint="eastAsia" w:ascii="宋体" w:hAnsi="宋体" w:eastAsia="宋体" w:cs="宋体"/>
              <w:color w:val="auto"/>
            </w:rPr>
            <w:fldChar w:fldCharType="separate"/>
          </w:r>
          <w:r>
            <w:rPr>
              <w:rFonts w:hint="eastAsia" w:ascii="宋体" w:hAnsi="宋体" w:eastAsia="宋体" w:cs="宋体"/>
              <w:b/>
              <w:color w:val="auto"/>
              <w:sz w:val="28"/>
              <w:szCs w:val="28"/>
            </w:rPr>
            <w:t>第四章 招标采购内容及要求</w:t>
          </w:r>
          <w:r>
            <w:rPr>
              <w:rFonts w:hint="eastAsia" w:ascii="宋体" w:hAnsi="宋体" w:eastAsia="宋体" w:cs="宋体"/>
              <w:b/>
              <w:color w:val="auto"/>
              <w:sz w:val="28"/>
              <w:szCs w:val="28"/>
            </w:rPr>
            <w:tab/>
          </w: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PAGEREF _Toc1331 </w:instrText>
          </w:r>
          <w:r>
            <w:rPr>
              <w:rFonts w:hint="eastAsia" w:ascii="宋体" w:hAnsi="宋体" w:eastAsia="宋体" w:cs="宋体"/>
              <w:b/>
              <w:color w:val="auto"/>
              <w:sz w:val="28"/>
              <w:szCs w:val="28"/>
            </w:rPr>
            <w:fldChar w:fldCharType="separate"/>
          </w:r>
          <w:r>
            <w:rPr>
              <w:rFonts w:hint="eastAsia" w:ascii="宋体" w:hAnsi="宋体" w:eastAsia="宋体" w:cs="宋体"/>
              <w:b/>
              <w:color w:val="auto"/>
              <w:sz w:val="28"/>
              <w:szCs w:val="28"/>
            </w:rPr>
            <w:t>41</w:t>
          </w:r>
          <w:r>
            <w:rPr>
              <w:rFonts w:hint="eastAsia" w:ascii="宋体" w:hAnsi="宋体" w:eastAsia="宋体" w:cs="宋体"/>
              <w:b/>
              <w:color w:val="auto"/>
              <w:sz w:val="28"/>
              <w:szCs w:val="28"/>
            </w:rPr>
            <w:fldChar w:fldCharType="end"/>
          </w:r>
          <w:r>
            <w:rPr>
              <w:rFonts w:hint="eastAsia" w:ascii="宋体" w:hAnsi="宋体" w:eastAsia="宋体" w:cs="宋体"/>
              <w:b/>
              <w:color w:val="auto"/>
              <w:sz w:val="28"/>
              <w:szCs w:val="28"/>
            </w:rPr>
            <w:fldChar w:fldCharType="end"/>
          </w:r>
        </w:p>
        <w:p w14:paraId="1B9594C6">
          <w:pPr>
            <w:pStyle w:val="51"/>
            <w:tabs>
              <w:tab w:val="right" w:leader="middleDot" w:pos="9660"/>
            </w:tabs>
            <w:spacing w:line="288" w:lineRule="auto"/>
            <w:ind w:left="480"/>
            <w:rPr>
              <w:rFonts w:hint="eastAsia" w:ascii="宋体" w:hAnsi="宋体" w:eastAsia="宋体" w:cs="宋体"/>
              <w:color w:val="auto"/>
              <w:sz w:val="28"/>
              <w:szCs w:val="28"/>
            </w:rPr>
          </w:pPr>
        </w:p>
        <w:p w14:paraId="75B74597">
          <w:pPr>
            <w:pStyle w:val="50"/>
            <w:tabs>
              <w:tab w:val="right" w:leader="middleDot" w:pos="9120"/>
            </w:tabs>
            <w:spacing w:line="288" w:lineRule="auto"/>
            <w:rPr>
              <w:rFonts w:hint="default" w:ascii="宋体" w:hAnsi="宋体" w:eastAsia="宋体" w:cs="宋体"/>
              <w:b/>
              <w:color w:val="auto"/>
              <w:sz w:val="28"/>
              <w:szCs w:val="28"/>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"_Toc5522" </w:instrText>
          </w:r>
          <w:r>
            <w:rPr>
              <w:rFonts w:hint="eastAsia" w:ascii="宋体" w:hAnsi="宋体" w:eastAsia="宋体" w:cs="宋体"/>
              <w:color w:val="auto"/>
            </w:rPr>
            <w:fldChar w:fldCharType="separate"/>
          </w:r>
          <w:r>
            <w:rPr>
              <w:rFonts w:hint="eastAsia" w:ascii="宋体" w:hAnsi="宋体" w:eastAsia="宋体" w:cs="宋体"/>
              <w:b/>
              <w:color w:val="auto"/>
              <w:sz w:val="28"/>
              <w:szCs w:val="28"/>
            </w:rPr>
            <w:t>第五章 合同基本条款及格式</w:t>
          </w:r>
          <w:r>
            <w:rPr>
              <w:rFonts w:hint="eastAsia" w:ascii="宋体" w:hAnsi="宋体" w:eastAsia="宋体" w:cs="宋体"/>
              <w:b/>
              <w:color w:val="auto"/>
              <w:sz w:val="28"/>
              <w:szCs w:val="28"/>
            </w:rPr>
            <w:tab/>
          </w:r>
          <w:r>
            <w:rPr>
              <w:rFonts w:hint="eastAsia" w:ascii="宋体" w:hAnsi="宋体" w:eastAsia="宋体" w:cs="宋体"/>
              <w:b/>
              <w:color w:val="auto"/>
              <w:sz w:val="28"/>
              <w:szCs w:val="28"/>
            </w:rPr>
            <w:fldChar w:fldCharType="end"/>
          </w:r>
          <w:r>
            <w:rPr>
              <w:rFonts w:hint="eastAsia" w:ascii="宋体" w:hAnsi="宋体" w:cs="宋体"/>
              <w:b/>
              <w:color w:val="auto"/>
              <w:sz w:val="28"/>
              <w:szCs w:val="28"/>
              <w:lang w:val="en-US" w:eastAsia="zh-CN"/>
            </w:rPr>
            <w:t>49</w:t>
          </w:r>
        </w:p>
        <w:p w14:paraId="621E716F">
          <w:pPr>
            <w:pStyle w:val="50"/>
            <w:tabs>
              <w:tab w:val="right" w:leader="middleDot" w:pos="9660"/>
            </w:tabs>
            <w:spacing w:line="288" w:lineRule="auto"/>
            <w:rPr>
              <w:rFonts w:hint="eastAsia" w:ascii="宋体" w:hAnsi="宋体" w:eastAsia="宋体" w:cs="宋体"/>
              <w:b/>
              <w:color w:val="auto"/>
              <w:sz w:val="28"/>
              <w:szCs w:val="28"/>
            </w:rPr>
          </w:pPr>
        </w:p>
        <w:p w14:paraId="5D01D5C8">
          <w:pPr>
            <w:pStyle w:val="50"/>
            <w:tabs>
              <w:tab w:val="right" w:leader="middleDot" w:pos="9120"/>
            </w:tabs>
            <w:spacing w:line="288" w:lineRule="auto"/>
            <w:rPr>
              <w:rFonts w:hint="eastAsia" w:ascii="宋体" w:hAnsi="宋体" w:eastAsia="宋体" w:cs="宋体"/>
              <w:b/>
              <w:color w:val="auto"/>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"_Toc20606" </w:instrText>
          </w:r>
          <w:r>
            <w:rPr>
              <w:rFonts w:hint="eastAsia" w:ascii="宋体" w:hAnsi="宋体" w:eastAsia="宋体" w:cs="宋体"/>
              <w:color w:val="auto"/>
            </w:rPr>
            <w:fldChar w:fldCharType="separate"/>
          </w:r>
          <w:r>
            <w:rPr>
              <w:rFonts w:hint="eastAsia" w:ascii="宋体" w:hAnsi="宋体" w:eastAsia="宋体" w:cs="宋体"/>
              <w:b/>
              <w:color w:val="auto"/>
              <w:sz w:val="28"/>
              <w:szCs w:val="28"/>
            </w:rPr>
            <w:t>第六章 投标文件构成及格式</w:t>
          </w:r>
          <w:r>
            <w:rPr>
              <w:rFonts w:hint="eastAsia" w:ascii="宋体" w:hAnsi="宋体" w:eastAsia="宋体" w:cs="宋体"/>
              <w:b/>
              <w:color w:val="auto"/>
              <w:sz w:val="28"/>
              <w:szCs w:val="28"/>
            </w:rPr>
            <w:tab/>
          </w: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fldChar w:fldCharType="end"/>
          </w:r>
          <w:r>
            <w:rPr>
              <w:rFonts w:hint="eastAsia" w:ascii="宋体" w:hAnsi="宋体" w:cs="宋体"/>
              <w:b/>
              <w:color w:val="auto"/>
              <w:sz w:val="28"/>
              <w:szCs w:val="28"/>
              <w:lang w:val="en-US" w:eastAsia="zh-CN"/>
            </w:rPr>
            <w:t>4</w:t>
          </w:r>
        </w:p>
        <w:p w14:paraId="6F464E7E">
          <w:pPr>
            <w:pStyle w:val="22"/>
            <w:ind w:firstLine="0" w:firstLineChars="0"/>
            <w:rPr>
              <w:rFonts w:hint="eastAsia" w:ascii="宋体" w:hAnsi="宋体" w:eastAsia="宋体" w:cs="宋体"/>
              <w:b/>
              <w:bCs/>
              <w:color w:val="auto"/>
            </w:rPr>
          </w:pPr>
          <w:r>
            <w:rPr>
              <w:rFonts w:hint="eastAsia" w:ascii="宋体" w:hAnsi="宋体" w:eastAsia="宋体" w:cs="宋体"/>
              <w:b/>
              <w:color w:val="auto"/>
            </w:rPr>
            <w:fldChar w:fldCharType="end"/>
          </w:r>
        </w:p>
      </w:sdtContent>
    </w:sdt>
    <w:p w14:paraId="1DE00CC1">
      <w:pPr>
        <w:rPr>
          <w:rFonts w:hint="eastAsia" w:ascii="宋体" w:hAnsi="宋体" w:eastAsia="宋体" w:cs="宋体"/>
          <w:color w:val="auto"/>
        </w:rPr>
      </w:pPr>
    </w:p>
    <w:p w14:paraId="340A184E">
      <w:pPr>
        <w:rPr>
          <w:rFonts w:hint="eastAsia" w:ascii="宋体" w:hAnsi="宋体" w:eastAsia="宋体" w:cs="宋体"/>
          <w:color w:val="auto"/>
        </w:rPr>
      </w:pPr>
    </w:p>
    <w:p w14:paraId="78ED7035">
      <w:pPr>
        <w:rPr>
          <w:rFonts w:hint="eastAsia" w:ascii="宋体" w:hAnsi="宋体" w:eastAsia="宋体" w:cs="宋体"/>
          <w:color w:val="auto"/>
        </w:rPr>
      </w:pPr>
    </w:p>
    <w:p w14:paraId="6DD77249">
      <w:pPr>
        <w:rPr>
          <w:rFonts w:hint="eastAsia" w:ascii="宋体" w:hAnsi="宋体" w:eastAsia="宋体" w:cs="宋体"/>
          <w:color w:val="auto"/>
        </w:rPr>
      </w:pPr>
    </w:p>
    <w:p w14:paraId="196A9F13">
      <w:pPr>
        <w:rPr>
          <w:rFonts w:hint="eastAsia" w:ascii="宋体" w:hAnsi="宋体" w:eastAsia="宋体" w:cs="宋体"/>
          <w:color w:val="auto"/>
        </w:rPr>
      </w:pPr>
    </w:p>
    <w:p w14:paraId="59D98974">
      <w:pPr>
        <w:rPr>
          <w:rFonts w:hint="eastAsia" w:ascii="宋体" w:hAnsi="宋体" w:eastAsia="宋体" w:cs="宋体"/>
          <w:color w:val="auto"/>
        </w:rPr>
      </w:pPr>
    </w:p>
    <w:p w14:paraId="0D71864E">
      <w:pPr>
        <w:rPr>
          <w:rFonts w:hint="eastAsia" w:ascii="宋体" w:hAnsi="宋体" w:eastAsia="宋体" w:cs="宋体"/>
          <w:color w:val="auto"/>
        </w:rPr>
      </w:pPr>
    </w:p>
    <w:p w14:paraId="1836A239">
      <w:pPr>
        <w:rPr>
          <w:rFonts w:hint="eastAsia" w:ascii="宋体" w:hAnsi="宋体" w:eastAsia="宋体" w:cs="宋体"/>
          <w:color w:val="auto"/>
        </w:rPr>
      </w:pPr>
    </w:p>
    <w:p w14:paraId="2CB2DEBD">
      <w:pPr>
        <w:tabs>
          <w:tab w:val="left" w:pos="2820"/>
        </w:tabs>
        <w:jc w:val="left"/>
        <w:rPr>
          <w:rFonts w:hint="eastAsia" w:ascii="宋体" w:hAnsi="宋体" w:eastAsia="宋体" w:cs="宋体"/>
          <w:color w:val="auto"/>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rPr>
        <w:tab/>
      </w:r>
    </w:p>
    <w:p w14:paraId="501471D6">
      <w:pPr>
        <w:pStyle w:val="2"/>
        <w:rPr>
          <w:rFonts w:hint="eastAsia" w:ascii="宋体" w:hAnsi="宋体" w:eastAsia="宋体" w:cs="宋体"/>
          <w:color w:val="auto"/>
          <w:sz w:val="32"/>
          <w:szCs w:val="21"/>
        </w:rPr>
      </w:pPr>
      <w:bookmarkStart w:id="0" w:name="_Toc25770"/>
      <w:r>
        <w:rPr>
          <w:rFonts w:hint="eastAsia" w:ascii="宋体" w:hAnsi="宋体" w:eastAsia="宋体" w:cs="宋体"/>
          <w:color w:val="auto"/>
          <w:sz w:val="36"/>
          <w:szCs w:val="36"/>
        </w:rPr>
        <w:t>第一章 招标公告</w:t>
      </w:r>
      <w:bookmarkEnd w:id="0"/>
    </w:p>
    <w:p w14:paraId="689D6D9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宋体" w:hAnsi="宋体" w:eastAsia="宋体" w:cs="宋体"/>
          <w:b w:val="0"/>
          <w:bCs w:val="0"/>
          <w:color w:val="auto"/>
          <w:sz w:val="24"/>
          <w:szCs w:val="24"/>
        </w:rPr>
      </w:pPr>
      <w:bookmarkStart w:id="1" w:name="_Toc3954"/>
      <w:r>
        <w:rPr>
          <w:rStyle w:val="26"/>
          <w:rFonts w:hint="eastAsia" w:ascii="宋体" w:hAnsi="宋体" w:eastAsia="宋体" w:cs="宋体"/>
          <w:b/>
          <w:bCs/>
          <w:i w:val="0"/>
          <w:iCs w:val="0"/>
          <w:caps w:val="0"/>
          <w:color w:val="auto"/>
          <w:spacing w:val="0"/>
          <w:sz w:val="24"/>
          <w:szCs w:val="24"/>
          <w:shd w:val="clear" w:color="auto" w:fill="FFFFFF"/>
        </w:rPr>
        <w:t>项目概况</w:t>
      </w:r>
    </w:p>
    <w:p w14:paraId="4F7C12B3">
      <w:pPr>
        <w:keepNext w:val="0"/>
        <w:keepLines w:val="0"/>
        <w:widowControl/>
        <w:suppressLineNumbers w:val="0"/>
        <w:ind w:firstLine="720" w:firstLineChars="300"/>
        <w:jc w:val="left"/>
        <w:rPr>
          <w:rFonts w:hint="eastAsia" w:ascii="宋体" w:hAnsi="宋体" w:eastAsia="宋体" w:cs="宋体"/>
          <w:b w:val="0"/>
          <w:bCs w:val="0"/>
          <w:i w:val="0"/>
          <w:iCs w:val="0"/>
          <w:caps w:val="0"/>
          <w:color w:val="auto"/>
          <w:spacing w:val="0"/>
          <w:sz w:val="24"/>
          <w:szCs w:val="24"/>
        </w:rPr>
      </w:pPr>
      <w:r>
        <w:rPr>
          <w:rFonts w:hint="eastAsia" w:hAnsi="宋体" w:cs="宋体"/>
          <w:i w:val="0"/>
          <w:iCs w:val="0"/>
          <w:caps w:val="0"/>
          <w:color w:val="auto"/>
          <w:spacing w:val="0"/>
          <w:sz w:val="24"/>
          <w:szCs w:val="24"/>
          <w:shd w:val="clear" w:color="auto" w:fill="FFFFFF"/>
          <w:lang w:val="en-US" w:eastAsia="zh-CN"/>
        </w:rPr>
        <w:t>清涧县2025年黄河流域湿地保护与修复项目（二次）</w:t>
      </w:r>
      <w:r>
        <w:rPr>
          <w:rFonts w:hint="eastAsia" w:ascii="宋体" w:hAnsi="宋体" w:eastAsia="宋体" w:cs="宋体"/>
          <w:i w:val="0"/>
          <w:iCs w:val="0"/>
          <w:caps w:val="0"/>
          <w:color w:val="auto"/>
          <w:spacing w:val="0"/>
          <w:sz w:val="24"/>
          <w:szCs w:val="24"/>
          <w:shd w:val="clear" w:color="auto" w:fill="FFFFFF"/>
        </w:rPr>
        <w:t>的潜在投标人应在CA锁自行下载获取获取招标文件，并于</w:t>
      </w:r>
      <w:r>
        <w:rPr>
          <w:rFonts w:hint="eastAsia" w:hAnsi="宋体" w:cs="宋体"/>
          <w:i w:val="0"/>
          <w:iCs w:val="0"/>
          <w:caps w:val="0"/>
          <w:color w:val="auto"/>
          <w:spacing w:val="0"/>
          <w:sz w:val="24"/>
          <w:szCs w:val="24"/>
          <w:shd w:val="clear" w:color="auto" w:fill="FFFFFF"/>
          <w:lang w:val="en-US" w:eastAsia="zh-CN"/>
        </w:rPr>
        <w:t>2026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日 09时30分（北京时间）前递交投标文件。</w:t>
      </w:r>
      <w:r>
        <w:rPr>
          <w:rFonts w:hint="eastAsia" w:ascii="宋体" w:hAnsi="宋体" w:eastAsia="宋体" w:cs="宋体"/>
          <w:i w:val="0"/>
          <w:iCs w:val="0"/>
          <w:caps w:val="0"/>
          <w:color w:val="auto"/>
          <w:spacing w:val="0"/>
          <w:sz w:val="24"/>
          <w:szCs w:val="24"/>
          <w:shd w:val="clear" w:color="auto" w:fill="FFFFFF"/>
        </w:rPr>
        <w:br w:type="textWrapping"/>
      </w:r>
      <w:r>
        <w:rPr>
          <w:rStyle w:val="26"/>
          <w:rFonts w:hint="eastAsia" w:ascii="宋体" w:hAnsi="宋体" w:eastAsia="宋体" w:cs="宋体"/>
          <w:b/>
          <w:bCs/>
          <w:i w:val="0"/>
          <w:iCs w:val="0"/>
          <w:caps w:val="0"/>
          <w:color w:val="auto"/>
          <w:spacing w:val="0"/>
          <w:sz w:val="24"/>
          <w:szCs w:val="24"/>
          <w:shd w:val="clear" w:color="auto" w:fill="FFFFFF"/>
        </w:rPr>
        <w:t>一、项目基本情况</w:t>
      </w:r>
    </w:p>
    <w:p w14:paraId="5E6F5F7E">
      <w:pPr>
        <w:keepNext w:val="0"/>
        <w:keepLines w:val="0"/>
        <w:widowControl/>
        <w:suppressLineNumbers w:val="0"/>
        <w:spacing w:line="360" w:lineRule="auto"/>
        <w:ind w:left="418" w:leftChars="174" w:firstLine="0" w:firstLineChars="0"/>
        <w:jc w:val="lef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项目编号：</w:t>
      </w:r>
      <w:r>
        <w:rPr>
          <w:rFonts w:hint="eastAsia" w:hAnsi="宋体" w:cs="宋体"/>
          <w:i w:val="0"/>
          <w:iCs w:val="0"/>
          <w:caps w:val="0"/>
          <w:color w:val="auto"/>
          <w:spacing w:val="0"/>
          <w:sz w:val="24"/>
          <w:szCs w:val="24"/>
          <w:shd w:val="clear" w:color="auto" w:fill="FFFFFF"/>
          <w:lang w:eastAsia="zh-CN"/>
        </w:rPr>
        <w:t>SYHZ-2026-04</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rPr>
        <w:t>项目名称：</w:t>
      </w:r>
      <w:r>
        <w:rPr>
          <w:rFonts w:hint="eastAsia" w:hAnsi="宋体" w:cs="宋体"/>
          <w:i w:val="0"/>
          <w:iCs w:val="0"/>
          <w:caps w:val="0"/>
          <w:color w:val="auto"/>
          <w:spacing w:val="0"/>
          <w:sz w:val="24"/>
          <w:szCs w:val="24"/>
          <w:shd w:val="clear" w:color="auto" w:fill="FFFFFF"/>
          <w:lang w:val="en-US" w:eastAsia="zh-CN" w:bidi="ar-SA"/>
        </w:rPr>
        <w:t>清涧县2025年黄河流域湿地保护与修复项目（二次）</w:t>
      </w:r>
      <w:r>
        <w:rPr>
          <w:rFonts w:hint="eastAsia" w:ascii="宋体" w:hAnsi="宋体" w:eastAsia="宋体" w:cs="宋体"/>
          <w:i w:val="0"/>
          <w:iCs w:val="0"/>
          <w:caps w:val="0"/>
          <w:color w:val="auto"/>
          <w:spacing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sz w:val="24"/>
          <w:szCs w:val="24"/>
          <w:shd w:val="clear" w:color="auto" w:fill="FFFFFF"/>
        </w:rPr>
        <w:t>采购方式：公开招标</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val="en-US" w:eastAsia="zh-CN"/>
        </w:rPr>
        <w:t>3,000,000.00</w:t>
      </w:r>
      <w:r>
        <w:rPr>
          <w:rFonts w:hint="eastAsia" w:ascii="宋体" w:hAnsi="宋体" w:eastAsia="宋体" w:cs="宋体"/>
          <w:i w:val="0"/>
          <w:iCs w:val="0"/>
          <w:caps w:val="0"/>
          <w:color w:val="auto"/>
          <w:spacing w:val="0"/>
          <w:sz w:val="24"/>
          <w:szCs w:val="24"/>
          <w:shd w:val="clear" w:color="auto" w:fill="FFFFFF"/>
        </w:rPr>
        <w:t>元</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采购需求：</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合同包1(</w:t>
      </w:r>
      <w:r>
        <w:rPr>
          <w:rFonts w:hint="eastAsia" w:hAnsi="宋体" w:cs="宋体"/>
          <w:i w:val="0"/>
          <w:iCs w:val="0"/>
          <w:caps w:val="0"/>
          <w:color w:val="auto"/>
          <w:spacing w:val="0"/>
          <w:sz w:val="24"/>
          <w:szCs w:val="24"/>
          <w:shd w:val="clear" w:color="auto" w:fill="FFFFFF"/>
          <w:lang w:val="en-US" w:eastAsia="zh-CN"/>
        </w:rPr>
        <w:t>清涧县2025年黄河流域湿地保护与修复项目（二次）</w:t>
      </w:r>
      <w:r>
        <w:rPr>
          <w:rFonts w:hint="eastAsia" w:ascii="宋体" w:hAnsi="宋体" w:eastAsia="宋体" w:cs="宋体"/>
          <w:i w:val="0"/>
          <w:iCs w:val="0"/>
          <w:caps w:val="0"/>
          <w:color w:val="auto"/>
          <w:spacing w:val="0"/>
          <w:sz w:val="24"/>
          <w:szCs w:val="24"/>
          <w:shd w:val="clear" w:color="auto" w:fill="FFFFFF"/>
        </w:rPr>
        <w:t>):</w:t>
      </w:r>
    </w:p>
    <w:p w14:paraId="1995871F">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val="en-US" w:eastAsia="zh-CN"/>
        </w:rPr>
        <w:t>3,000,000.00</w:t>
      </w:r>
      <w:r>
        <w:rPr>
          <w:rFonts w:hint="eastAsia" w:ascii="宋体" w:hAnsi="宋体" w:eastAsia="宋体" w:cs="宋体"/>
          <w:i w:val="0"/>
          <w:iCs w:val="0"/>
          <w:caps w:val="0"/>
          <w:color w:val="auto"/>
          <w:spacing w:val="0"/>
          <w:sz w:val="24"/>
          <w:szCs w:val="24"/>
          <w:shd w:val="clear" w:color="auto" w:fill="FFFFFF"/>
        </w:rPr>
        <w:t>元</w:t>
      </w:r>
    </w:p>
    <w:p w14:paraId="2D14DDC9">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val="en-US" w:eastAsia="zh-CN"/>
        </w:rPr>
        <w:t>3,000,000.00</w:t>
      </w:r>
      <w:r>
        <w:rPr>
          <w:rFonts w:hint="eastAsia" w:ascii="宋体" w:hAnsi="宋体" w:eastAsia="宋体" w:cs="宋体"/>
          <w:i w:val="0"/>
          <w:iCs w:val="0"/>
          <w:caps w:val="0"/>
          <w:color w:val="auto"/>
          <w:spacing w:val="0"/>
          <w:sz w:val="24"/>
          <w:szCs w:val="24"/>
          <w:shd w:val="clear" w:color="auto" w:fill="FFFFFF"/>
        </w:rPr>
        <w:t>元</w:t>
      </w:r>
    </w:p>
    <w:tbl>
      <w:tblPr>
        <w:tblStyle w:val="23"/>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2168"/>
        <w:gridCol w:w="2179"/>
        <w:gridCol w:w="722"/>
        <w:gridCol w:w="1307"/>
        <w:gridCol w:w="1680"/>
      </w:tblGrid>
      <w:tr w14:paraId="15148C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8E8A1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4B9D5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3948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91750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26E16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69153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71E23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DA607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BD736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其他生态环境保护服务</w:t>
            </w:r>
          </w:p>
        </w:tc>
        <w:tc>
          <w:tcPr>
            <w:tcW w:w="136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F086DE">
            <w:pPr>
              <w:keepNext w:val="0"/>
              <w:keepLines w:val="0"/>
              <w:widowControl/>
              <w:suppressLineNumbers w:val="0"/>
              <w:jc w:val="center"/>
              <w:rPr>
                <w:rFonts w:hint="eastAsia" w:ascii="宋体" w:hAnsi="宋体" w:eastAsia="宋体" w:cs="宋体"/>
                <w:color w:val="auto"/>
                <w:sz w:val="24"/>
                <w:szCs w:val="24"/>
                <w:lang w:eastAsia="zh-CN"/>
              </w:rPr>
            </w:pPr>
            <w:r>
              <w:rPr>
                <w:rFonts w:hint="eastAsia" w:hAnsi="宋体" w:cs="宋体"/>
                <w:color w:val="auto"/>
                <w:sz w:val="24"/>
                <w:szCs w:val="24"/>
                <w:lang w:eastAsia="zh-CN"/>
              </w:rPr>
              <w:t>清涧县2025年黄河流域湿地保护与修复项目（二次）</w:t>
            </w:r>
          </w:p>
        </w:tc>
        <w:tc>
          <w:tcPr>
            <w:tcW w:w="45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1F6C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90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6D393E">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详见采购文件</w:t>
            </w:r>
          </w:p>
        </w:tc>
        <w:tc>
          <w:tcPr>
            <w:tcW w:w="54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0FFC43">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color w:val="auto"/>
                <w:sz w:val="24"/>
                <w:szCs w:val="24"/>
              </w:rPr>
            </w:pPr>
            <w:r>
              <w:rPr>
                <w:rFonts w:hint="eastAsia" w:ascii="宋体" w:hAnsi="宋体" w:eastAsia="宋体" w:cs="宋体"/>
                <w:color w:val="auto"/>
                <w:sz w:val="24"/>
                <w:szCs w:val="24"/>
              </w:rPr>
              <w:t>3,000,000.00</w:t>
            </w:r>
          </w:p>
        </w:tc>
      </w:tr>
    </w:tbl>
    <w:p w14:paraId="332A848F">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4C2E13FA">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合同履行期限：详见招标文件</w:t>
      </w:r>
    </w:p>
    <w:p w14:paraId="6416B5D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6"/>
          <w:rFonts w:hint="eastAsia" w:ascii="宋体" w:hAnsi="宋体" w:eastAsia="宋体" w:cs="宋体"/>
          <w:b/>
          <w:bCs/>
          <w:i w:val="0"/>
          <w:iCs w:val="0"/>
          <w:caps w:val="0"/>
          <w:color w:val="auto"/>
          <w:spacing w:val="0"/>
          <w:sz w:val="24"/>
          <w:szCs w:val="24"/>
          <w:shd w:val="clear" w:color="auto" w:fill="FFFFFF"/>
        </w:rPr>
        <w:t>二、申请人的资格要求：</w:t>
      </w:r>
    </w:p>
    <w:p w14:paraId="0812EB34">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02909D3B">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03B7BF59">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hAnsi="宋体" w:cs="宋体"/>
          <w:i w:val="0"/>
          <w:iCs w:val="0"/>
          <w:caps w:val="0"/>
          <w:color w:val="auto"/>
          <w:spacing w:val="0"/>
          <w:sz w:val="24"/>
          <w:szCs w:val="24"/>
          <w:shd w:val="clear" w:color="auto" w:fill="FFFFFF"/>
          <w:lang w:val="en-US" w:eastAsia="zh-CN"/>
        </w:rPr>
        <w:t>清涧县2025年黄河流域湿地保护与修复项目（二次）</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293DCB1">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（1）《政府采购促进中小企业发展管理办法》（财库〔2020〕46号）；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（4）《节能产品政府采购实施意见》（财库[2004]185号）；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（5）《环境标志产品政府采购实施的意见》（财库[2006]90号）；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（7）陕西省财政厅关于印发《陕西省中小企业政府采购信用融资办法》（陕财办采〔2018〕23号）；相关政策、业务流程、办理平台(http://www.ccgpshaanxi.gov.cn/zcdservice/zcd/shanxi/)；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（9）《榆阳区财政局关于进一步加大政府采购支持中小企业力度的通知》（榆政财采发〔2022〕10号)；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（10）《陕西省财政厅关于进一步加大政府采购支持中小企业力度的通知》(陕财采发〔2022〕5号)；</w:t>
      </w:r>
    </w:p>
    <w:p w14:paraId="2DA265B8">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2E419DCF">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hAnsi="宋体" w:cs="宋体"/>
          <w:i w:val="0"/>
          <w:iCs w:val="0"/>
          <w:caps w:val="0"/>
          <w:color w:val="auto"/>
          <w:spacing w:val="0"/>
          <w:sz w:val="24"/>
          <w:szCs w:val="24"/>
          <w:shd w:val="clear" w:color="auto" w:fill="FFFFFF"/>
          <w:lang w:val="en-US" w:eastAsia="zh-CN"/>
        </w:rPr>
        <w:t>清涧县2025年黄河流域湿地保护与修复项目（二次）</w:t>
      </w:r>
      <w:r>
        <w:rPr>
          <w:rFonts w:hint="eastAsia" w:ascii="宋体" w:hAnsi="宋体" w:eastAsia="宋体" w:cs="宋体"/>
          <w:i w:val="0"/>
          <w:iCs w:val="0"/>
          <w:caps w:val="0"/>
          <w:color w:val="auto"/>
          <w:spacing w:val="0"/>
          <w:sz w:val="24"/>
          <w:szCs w:val="24"/>
          <w:shd w:val="clear" w:color="auto" w:fill="FFFFFF"/>
        </w:rPr>
        <w:t>)特定资格要求如下:</w:t>
      </w:r>
    </w:p>
    <w:p w14:paraId="33E2F8D9">
      <w:pPr>
        <w:numPr>
          <w:ilvl w:val="0"/>
          <w:numId w:val="0"/>
        </w:numPr>
        <w:spacing w:before="182" w:line="313" w:lineRule="auto"/>
        <w:ind w:left="-95" w:leftChars="0" w:right="207" w:rightChars="0" w:firstLine="515" w:firstLineChars="0"/>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投标人为具有独立承担民事责任能力的法人、事业法人、其他组织或自然人。企业法人应提供合法有效的标识有统一社会信用代码的营业执照；事业法人应提供事业单位法人证书；其他组织应提供合法登记证明文件； 自然人应提供身份证；</w:t>
      </w:r>
    </w:p>
    <w:p w14:paraId="03628262">
      <w:pPr>
        <w:spacing w:before="182" w:line="340" w:lineRule="auto"/>
        <w:ind w:right="207" w:firstLine="540"/>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（2）参加政府采购活动前3年内经营活动中没有重大违法记录声明书；投标时限内“信用中国”(</w:t>
      </w:r>
      <w:r>
        <w:rPr>
          <w:rFonts w:hint="eastAsia" w:ascii="宋体" w:hAnsi="宋体" w:eastAsia="宋体" w:cs="宋体"/>
          <w:i w:val="0"/>
          <w:iCs w:val="0"/>
          <w:caps w:val="0"/>
          <w:color w:val="auto"/>
          <w:spacing w:val="0"/>
          <w:sz w:val="24"/>
          <w:szCs w:val="24"/>
          <w:shd w:val="clear" w:color="auto" w:fill="FFFFFF"/>
          <w:lang w:val="en-US" w:eastAsia="zh-CN" w:bidi="ar-SA"/>
        </w:rPr>
        <w:fldChar w:fldCharType="begin"/>
      </w:r>
      <w:r>
        <w:rPr>
          <w:rFonts w:hint="eastAsia" w:ascii="宋体" w:hAnsi="宋体" w:eastAsia="宋体" w:cs="宋体"/>
          <w:i w:val="0"/>
          <w:iCs w:val="0"/>
          <w:caps w:val="0"/>
          <w:color w:val="auto"/>
          <w:spacing w:val="0"/>
          <w:sz w:val="24"/>
          <w:szCs w:val="24"/>
          <w:shd w:val="clear" w:color="auto" w:fill="FFFFFF"/>
          <w:lang w:val="en-US" w:eastAsia="zh-CN" w:bidi="ar-SA"/>
        </w:rPr>
        <w:instrText xml:space="preserve"> HYPERLINK "https://www.creditchina.gov.cn" </w:instrText>
      </w:r>
      <w:r>
        <w:rPr>
          <w:rFonts w:hint="eastAsia" w:ascii="宋体" w:hAnsi="宋体" w:eastAsia="宋体" w:cs="宋体"/>
          <w:i w:val="0"/>
          <w:iCs w:val="0"/>
          <w:caps w:val="0"/>
          <w:color w:val="auto"/>
          <w:spacing w:val="0"/>
          <w:sz w:val="24"/>
          <w:szCs w:val="24"/>
          <w:shd w:val="clear" w:color="auto" w:fill="FFFFFF"/>
          <w:lang w:val="en-US" w:eastAsia="zh-CN" w:bidi="ar-SA"/>
        </w:rPr>
        <w:fldChar w:fldCharType="separate"/>
      </w:r>
      <w:r>
        <w:rPr>
          <w:rFonts w:hint="eastAsia" w:ascii="宋体" w:hAnsi="宋体" w:eastAsia="宋体" w:cs="宋体"/>
          <w:i w:val="0"/>
          <w:iCs w:val="0"/>
          <w:caps w:val="0"/>
          <w:color w:val="auto"/>
          <w:spacing w:val="0"/>
          <w:sz w:val="24"/>
          <w:szCs w:val="24"/>
          <w:shd w:val="clear" w:color="auto" w:fill="FFFFFF"/>
          <w:lang w:val="en-US" w:eastAsia="zh-CN" w:bidi="ar-SA"/>
        </w:rPr>
        <w:t>www.creditchina.gov.cn</w:t>
      </w:r>
      <w:r>
        <w:rPr>
          <w:rFonts w:hint="eastAsia" w:ascii="宋体" w:hAnsi="宋体" w:eastAsia="宋体" w:cs="宋体"/>
          <w:i w:val="0"/>
          <w:iCs w:val="0"/>
          <w:caps w:val="0"/>
          <w:color w:val="auto"/>
          <w:spacing w:val="0"/>
          <w:sz w:val="24"/>
          <w:szCs w:val="24"/>
          <w:shd w:val="clear" w:color="auto" w:fill="FFFFFF"/>
          <w:lang w:val="en-US" w:eastAsia="zh-CN" w:bidi="ar-SA"/>
        </w:rPr>
        <w:fldChar w:fldCharType="end"/>
      </w:r>
      <w:r>
        <w:rPr>
          <w:rFonts w:hint="eastAsia" w:ascii="宋体" w:hAnsi="宋体" w:eastAsia="宋体" w:cs="宋体"/>
          <w:i w:val="0"/>
          <w:iCs w:val="0"/>
          <w:caps w:val="0"/>
          <w:color w:val="auto"/>
          <w:spacing w:val="0"/>
          <w:sz w:val="24"/>
          <w:szCs w:val="24"/>
          <w:shd w:val="clear" w:color="auto" w:fill="FFFFFF"/>
          <w:lang w:val="en-US" w:eastAsia="zh-CN" w:bidi="ar-SA"/>
        </w:rPr>
        <w:t>)网站生成的带水印信用报告，供应商不得为“信用中国”网站（</w:t>
      </w:r>
      <w:r>
        <w:rPr>
          <w:rFonts w:hint="eastAsia" w:ascii="宋体" w:hAnsi="宋体" w:eastAsia="宋体" w:cs="宋体"/>
          <w:i w:val="0"/>
          <w:iCs w:val="0"/>
          <w:caps w:val="0"/>
          <w:color w:val="auto"/>
          <w:spacing w:val="0"/>
          <w:sz w:val="24"/>
          <w:szCs w:val="24"/>
          <w:shd w:val="clear" w:color="auto" w:fill="FFFFFF"/>
          <w:lang w:val="en-US" w:eastAsia="zh-CN" w:bidi="ar-SA"/>
        </w:rPr>
        <w:fldChar w:fldCharType="begin"/>
      </w:r>
      <w:r>
        <w:rPr>
          <w:rFonts w:hint="eastAsia" w:ascii="宋体" w:hAnsi="宋体" w:eastAsia="宋体" w:cs="宋体"/>
          <w:i w:val="0"/>
          <w:iCs w:val="0"/>
          <w:caps w:val="0"/>
          <w:color w:val="auto"/>
          <w:spacing w:val="0"/>
          <w:sz w:val="24"/>
          <w:szCs w:val="24"/>
          <w:shd w:val="clear" w:color="auto" w:fill="FFFFFF"/>
          <w:lang w:val="en-US" w:eastAsia="zh-CN" w:bidi="ar-SA"/>
        </w:rPr>
        <w:instrText xml:space="preserve"> HYPERLINK "https://www.creditchina.gov.cn" </w:instrText>
      </w:r>
      <w:r>
        <w:rPr>
          <w:rFonts w:hint="eastAsia" w:ascii="宋体" w:hAnsi="宋体" w:eastAsia="宋体" w:cs="宋体"/>
          <w:i w:val="0"/>
          <w:iCs w:val="0"/>
          <w:caps w:val="0"/>
          <w:color w:val="auto"/>
          <w:spacing w:val="0"/>
          <w:sz w:val="24"/>
          <w:szCs w:val="24"/>
          <w:shd w:val="clear" w:color="auto" w:fill="FFFFFF"/>
          <w:lang w:val="en-US" w:eastAsia="zh-CN" w:bidi="ar-SA"/>
        </w:rPr>
        <w:fldChar w:fldCharType="separate"/>
      </w:r>
      <w:r>
        <w:rPr>
          <w:rFonts w:hint="eastAsia" w:ascii="宋体" w:hAnsi="宋体" w:eastAsia="宋体" w:cs="宋体"/>
          <w:i w:val="0"/>
          <w:iCs w:val="0"/>
          <w:caps w:val="0"/>
          <w:color w:val="auto"/>
          <w:spacing w:val="0"/>
          <w:sz w:val="24"/>
          <w:szCs w:val="24"/>
          <w:shd w:val="clear" w:color="auto" w:fill="FFFFFF"/>
          <w:lang w:val="en-US" w:eastAsia="zh-CN" w:bidi="ar-SA"/>
        </w:rPr>
        <w:t>www.creditchina.gov.cn</w:t>
      </w:r>
      <w:r>
        <w:rPr>
          <w:rFonts w:hint="eastAsia" w:ascii="宋体" w:hAnsi="宋体" w:eastAsia="宋体" w:cs="宋体"/>
          <w:i w:val="0"/>
          <w:iCs w:val="0"/>
          <w:caps w:val="0"/>
          <w:color w:val="auto"/>
          <w:spacing w:val="0"/>
          <w:sz w:val="24"/>
          <w:szCs w:val="24"/>
          <w:shd w:val="clear" w:color="auto" w:fill="FFFFFF"/>
          <w:lang w:val="en-US" w:eastAsia="zh-CN" w:bidi="ar-SA"/>
        </w:rPr>
        <w:fldChar w:fldCharType="end"/>
      </w:r>
      <w:r>
        <w:rPr>
          <w:rFonts w:hint="eastAsia" w:ascii="宋体" w:hAnsi="宋体" w:eastAsia="宋体" w:cs="宋体"/>
          <w:i w:val="0"/>
          <w:iCs w:val="0"/>
          <w:caps w:val="0"/>
          <w:color w:val="auto"/>
          <w:spacing w:val="0"/>
          <w:sz w:val="24"/>
          <w:szCs w:val="24"/>
          <w:shd w:val="clear" w:color="auto" w:fill="FFFFFF"/>
          <w:lang w:val="en-US" w:eastAsia="zh-CN" w:bidi="ar-SA"/>
        </w:rPr>
        <w:t>）中列入重大税收违法失信主体、政府采购严重违法失信行为记录名单，不得为中国政府采购网（</w:t>
      </w:r>
      <w:r>
        <w:rPr>
          <w:rFonts w:hint="eastAsia" w:ascii="宋体" w:hAnsi="宋体" w:eastAsia="宋体" w:cs="宋体"/>
          <w:i w:val="0"/>
          <w:iCs w:val="0"/>
          <w:caps w:val="0"/>
          <w:color w:val="auto"/>
          <w:spacing w:val="0"/>
          <w:sz w:val="24"/>
          <w:szCs w:val="24"/>
          <w:shd w:val="clear" w:color="auto" w:fill="FFFFFF"/>
          <w:lang w:val="en-US" w:eastAsia="zh-CN" w:bidi="ar-SA"/>
        </w:rPr>
        <w:fldChar w:fldCharType="begin"/>
      </w:r>
      <w:r>
        <w:rPr>
          <w:rFonts w:hint="eastAsia" w:ascii="宋体" w:hAnsi="宋体" w:eastAsia="宋体" w:cs="宋体"/>
          <w:i w:val="0"/>
          <w:iCs w:val="0"/>
          <w:caps w:val="0"/>
          <w:color w:val="auto"/>
          <w:spacing w:val="0"/>
          <w:sz w:val="24"/>
          <w:szCs w:val="24"/>
          <w:shd w:val="clear" w:color="auto" w:fill="FFFFFF"/>
          <w:lang w:val="en-US" w:eastAsia="zh-CN" w:bidi="ar-SA"/>
        </w:rPr>
        <w:instrText xml:space="preserve"> HYPERLINK "https://www.ccgp.gov.cn" </w:instrText>
      </w:r>
      <w:r>
        <w:rPr>
          <w:rFonts w:hint="eastAsia" w:ascii="宋体" w:hAnsi="宋体" w:eastAsia="宋体" w:cs="宋体"/>
          <w:i w:val="0"/>
          <w:iCs w:val="0"/>
          <w:caps w:val="0"/>
          <w:color w:val="auto"/>
          <w:spacing w:val="0"/>
          <w:sz w:val="24"/>
          <w:szCs w:val="24"/>
          <w:shd w:val="clear" w:color="auto" w:fill="FFFFFF"/>
          <w:lang w:val="en-US" w:eastAsia="zh-CN" w:bidi="ar-SA"/>
        </w:rPr>
        <w:fldChar w:fldCharType="separate"/>
      </w:r>
      <w:r>
        <w:rPr>
          <w:rFonts w:hint="eastAsia" w:ascii="宋体" w:hAnsi="宋体" w:eastAsia="宋体" w:cs="宋体"/>
          <w:i w:val="0"/>
          <w:iCs w:val="0"/>
          <w:caps w:val="0"/>
          <w:color w:val="auto"/>
          <w:spacing w:val="0"/>
          <w:sz w:val="24"/>
          <w:szCs w:val="24"/>
          <w:shd w:val="clear" w:color="auto" w:fill="FFFFFF"/>
          <w:lang w:val="en-US" w:eastAsia="zh-CN" w:bidi="ar-SA"/>
        </w:rPr>
        <w:t>www.ccgp.gov.cn</w:t>
      </w:r>
      <w:r>
        <w:rPr>
          <w:rFonts w:hint="eastAsia" w:ascii="宋体" w:hAnsi="宋体" w:eastAsia="宋体" w:cs="宋体"/>
          <w:i w:val="0"/>
          <w:iCs w:val="0"/>
          <w:caps w:val="0"/>
          <w:color w:val="auto"/>
          <w:spacing w:val="0"/>
          <w:sz w:val="24"/>
          <w:szCs w:val="24"/>
          <w:shd w:val="clear" w:color="auto" w:fill="FFFFFF"/>
          <w:lang w:val="en-US" w:eastAsia="zh-CN" w:bidi="ar-SA"/>
        </w:rPr>
        <w:fldChar w:fldCharType="end"/>
      </w:r>
      <w:r>
        <w:rPr>
          <w:rFonts w:hint="eastAsia" w:ascii="宋体" w:hAnsi="宋体" w:eastAsia="宋体" w:cs="宋体"/>
          <w:i w:val="0"/>
          <w:iCs w:val="0"/>
          <w:caps w:val="0"/>
          <w:color w:val="auto"/>
          <w:spacing w:val="0"/>
          <w:sz w:val="24"/>
          <w:szCs w:val="24"/>
          <w:shd w:val="clear" w:color="auto" w:fill="FFFFFF"/>
          <w:lang w:val="en-US" w:eastAsia="zh-CN" w:bidi="ar-SA"/>
        </w:rPr>
        <w:t>）政府采购严重违法失信行为记录名单中被财政部门禁止参加政府采购活动的供应商（提供查询结果网页截图并加盖供应商公章）；同时提供榆林市政府采购</w:t>
      </w:r>
      <w:r>
        <w:rPr>
          <w:rFonts w:hint="eastAsia" w:hAnsi="宋体" w:cs="宋体"/>
          <w:i w:val="0"/>
          <w:iCs w:val="0"/>
          <w:caps w:val="0"/>
          <w:color w:val="auto"/>
          <w:spacing w:val="0"/>
          <w:sz w:val="24"/>
          <w:szCs w:val="24"/>
          <w:shd w:val="clear" w:color="auto" w:fill="FFFFFF"/>
          <w:lang w:val="en-US" w:eastAsia="zh-CN" w:bidi="ar-SA"/>
        </w:rPr>
        <w:t>货物</w:t>
      </w:r>
      <w:r>
        <w:rPr>
          <w:rFonts w:hint="eastAsia" w:ascii="宋体" w:hAnsi="宋体" w:eastAsia="宋体" w:cs="宋体"/>
          <w:i w:val="0"/>
          <w:iCs w:val="0"/>
          <w:caps w:val="0"/>
          <w:color w:val="auto"/>
          <w:spacing w:val="0"/>
          <w:sz w:val="24"/>
          <w:szCs w:val="24"/>
          <w:shd w:val="clear" w:color="auto" w:fill="FFFFFF"/>
          <w:lang w:val="en-US" w:eastAsia="zh-CN" w:bidi="ar-SA"/>
        </w:rPr>
        <w:t>类项目供应商信用承诺书。</w:t>
      </w:r>
    </w:p>
    <w:p w14:paraId="7648373C">
      <w:pPr>
        <w:spacing w:before="121" w:line="353" w:lineRule="auto"/>
        <w:ind w:left="1" w:right="193" w:firstLine="480" w:firstLineChars="200"/>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（3）财务状况报告：经会计事务所或审计机构出具的202</w:t>
      </w:r>
      <w:r>
        <w:rPr>
          <w:rFonts w:hint="eastAsia" w:hAnsi="宋体" w:cs="宋体"/>
          <w:i w:val="0"/>
          <w:iCs w:val="0"/>
          <w:caps w:val="0"/>
          <w:color w:val="auto"/>
          <w:spacing w:val="0"/>
          <w:sz w:val="24"/>
          <w:szCs w:val="24"/>
          <w:shd w:val="clear" w:color="auto" w:fill="FFFFFF"/>
          <w:lang w:val="en-US" w:eastAsia="zh-CN" w:bidi="ar-SA"/>
        </w:rPr>
        <w:t>5</w:t>
      </w:r>
      <w:r>
        <w:rPr>
          <w:rFonts w:hint="eastAsia" w:ascii="宋体" w:hAnsi="宋体" w:eastAsia="宋体" w:cs="宋体"/>
          <w:i w:val="0"/>
          <w:iCs w:val="0"/>
          <w:caps w:val="0"/>
          <w:color w:val="auto"/>
          <w:spacing w:val="0"/>
          <w:sz w:val="24"/>
          <w:szCs w:val="24"/>
          <w:shd w:val="clear" w:color="auto" w:fill="FFFFFF"/>
          <w:lang w:val="en-US" w:eastAsia="zh-CN" w:bidi="ar-SA"/>
        </w:rPr>
        <w:t>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0822412F">
      <w:pPr>
        <w:spacing w:before="183" w:line="313" w:lineRule="auto"/>
        <w:ind w:left="1" w:right="193" w:firstLine="514"/>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（4）税收缴纳证明：提供2025年</w:t>
      </w:r>
      <w:r>
        <w:rPr>
          <w:rFonts w:hint="eastAsia" w:hAnsi="宋体" w:cs="宋体"/>
          <w:i w:val="0"/>
          <w:iCs w:val="0"/>
          <w:caps w:val="0"/>
          <w:color w:val="auto"/>
          <w:spacing w:val="0"/>
          <w:sz w:val="24"/>
          <w:szCs w:val="24"/>
          <w:shd w:val="clear" w:color="auto" w:fill="FFFFFF"/>
          <w:lang w:val="en-US" w:eastAsia="zh-CN" w:bidi="ar-SA"/>
        </w:rPr>
        <w:t>8</w:t>
      </w:r>
      <w:r>
        <w:rPr>
          <w:rFonts w:hint="eastAsia" w:ascii="宋体" w:hAnsi="宋体" w:eastAsia="宋体" w:cs="宋体"/>
          <w:i w:val="0"/>
          <w:iCs w:val="0"/>
          <w:caps w:val="0"/>
          <w:color w:val="auto"/>
          <w:spacing w:val="0"/>
          <w:sz w:val="24"/>
          <w:szCs w:val="24"/>
          <w:shd w:val="clear" w:color="auto" w:fill="FFFFFF"/>
          <w:lang w:val="en-US" w:eastAsia="zh-CN" w:bidi="ar-SA"/>
        </w:rPr>
        <w:t>月至投标截止时间止任意一个月完税证明，完税证明上应有税务机关的公章（加盖公章复印件）；依法免税的供应商应提供相关文件证明；</w:t>
      </w:r>
    </w:p>
    <w:p w14:paraId="12C7AED2">
      <w:pPr>
        <w:spacing w:before="183" w:line="360" w:lineRule="auto"/>
        <w:ind w:left="1" w:right="193" w:firstLine="514"/>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（5）社会保障资金缴纳证明：提供2025年</w:t>
      </w:r>
      <w:r>
        <w:rPr>
          <w:rFonts w:hint="eastAsia" w:hAnsi="宋体" w:cs="宋体"/>
          <w:i w:val="0"/>
          <w:iCs w:val="0"/>
          <w:caps w:val="0"/>
          <w:color w:val="auto"/>
          <w:spacing w:val="0"/>
          <w:sz w:val="24"/>
          <w:szCs w:val="24"/>
          <w:shd w:val="clear" w:color="auto" w:fill="FFFFFF"/>
          <w:lang w:val="en-US" w:eastAsia="zh-CN" w:bidi="ar-SA"/>
        </w:rPr>
        <w:t>8</w:t>
      </w:r>
      <w:r>
        <w:rPr>
          <w:rFonts w:hint="eastAsia" w:ascii="宋体" w:hAnsi="宋体" w:eastAsia="宋体" w:cs="宋体"/>
          <w:i w:val="0"/>
          <w:iCs w:val="0"/>
          <w:caps w:val="0"/>
          <w:color w:val="auto"/>
          <w:spacing w:val="0"/>
          <w:sz w:val="24"/>
          <w:szCs w:val="24"/>
          <w:shd w:val="clear" w:color="auto" w:fill="FFFFFF"/>
          <w:lang w:val="en-US" w:eastAsia="zh-CN" w:bidi="ar-SA"/>
        </w:rPr>
        <w:t>月至投标截止时间止任意一个月的社会保障资金缴存单据或社保机构开具的社会保险参保缴费情况证明；依法不需要缴纳社会保障资金的应提供相关文件证明；</w:t>
      </w:r>
    </w:p>
    <w:p w14:paraId="77A47225">
      <w:pPr>
        <w:spacing w:before="183" w:line="360" w:lineRule="auto"/>
        <w:ind w:left="1" w:right="193" w:firstLine="514"/>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（6）提供具有履行合同所必需的设备和专业技术能力的证明资料或承诺书；</w:t>
      </w:r>
    </w:p>
    <w:p w14:paraId="39CFAE31">
      <w:pPr>
        <w:spacing w:before="183" w:line="360" w:lineRule="auto"/>
        <w:ind w:right="193" w:firstLine="480" w:firstLineChars="200"/>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（7）本项目以“投标信用承诺书 ”代替投标保证金；</w:t>
      </w:r>
    </w:p>
    <w:p w14:paraId="130704B2">
      <w:pPr>
        <w:spacing w:before="183" w:line="360" w:lineRule="auto"/>
        <w:ind w:left="418" w:leftChars="174" w:right="193" w:firstLine="31" w:firstLineChars="13"/>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（8）本项目</w:t>
      </w:r>
      <w:r>
        <w:rPr>
          <w:rFonts w:hint="eastAsia" w:hAnsi="宋体" w:cs="宋体"/>
          <w:i w:val="0"/>
          <w:iCs w:val="0"/>
          <w:caps w:val="0"/>
          <w:color w:val="auto"/>
          <w:spacing w:val="0"/>
          <w:sz w:val="24"/>
          <w:szCs w:val="24"/>
          <w:shd w:val="clear" w:color="auto" w:fill="FFFFFF"/>
          <w:lang w:val="en-US" w:eastAsia="zh-CN" w:bidi="ar-SA"/>
        </w:rPr>
        <w:t>不</w:t>
      </w:r>
      <w:r>
        <w:rPr>
          <w:rFonts w:hint="eastAsia" w:ascii="宋体" w:hAnsi="宋体" w:eastAsia="宋体" w:cs="宋体"/>
          <w:i w:val="0"/>
          <w:iCs w:val="0"/>
          <w:caps w:val="0"/>
          <w:color w:val="auto"/>
          <w:spacing w:val="0"/>
          <w:sz w:val="24"/>
          <w:szCs w:val="24"/>
          <w:shd w:val="clear" w:color="auto" w:fill="FFFFFF"/>
          <w:lang w:val="en-US" w:eastAsia="zh-CN" w:bidi="ar-SA"/>
        </w:rPr>
        <w:t>专门面向中小企业采购；</w:t>
      </w:r>
      <w:r>
        <w:rPr>
          <w:rFonts w:hint="eastAsia" w:ascii="宋体" w:hAnsi="宋体" w:eastAsia="宋体" w:cs="宋体"/>
          <w:i w:val="0"/>
          <w:iCs w:val="0"/>
          <w:caps w:val="0"/>
          <w:color w:val="auto"/>
          <w:spacing w:val="0"/>
          <w:sz w:val="24"/>
          <w:szCs w:val="24"/>
          <w:shd w:val="clear" w:color="auto" w:fill="FFFFFF"/>
          <w:lang w:val="en-US" w:eastAsia="zh-CN" w:bidi="ar-SA"/>
        </w:rPr>
        <w:br w:type="textWrapping"/>
      </w:r>
      <w:r>
        <w:rPr>
          <w:rFonts w:hint="eastAsia" w:ascii="宋体" w:hAnsi="宋体" w:eastAsia="宋体" w:cs="宋体"/>
          <w:i w:val="0"/>
          <w:iCs w:val="0"/>
          <w:caps w:val="0"/>
          <w:color w:val="auto"/>
          <w:spacing w:val="0"/>
          <w:sz w:val="24"/>
          <w:szCs w:val="24"/>
          <w:shd w:val="clear" w:color="auto" w:fill="FFFFFF"/>
          <w:lang w:val="en-US" w:eastAsia="zh-CN" w:bidi="ar-SA"/>
        </w:rPr>
        <w:t>（9）本项目不接受联合体投标，单位负责人为同一人或者存在直接控股、管理关系的不同供应商，不得参加同一合同项下的政府采购活动；</w:t>
      </w:r>
    </w:p>
    <w:p w14:paraId="4AD28D0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6"/>
          <w:rFonts w:hint="eastAsia" w:ascii="宋体" w:hAnsi="宋体" w:eastAsia="宋体" w:cs="宋体"/>
          <w:b/>
          <w:bCs/>
          <w:i w:val="0"/>
          <w:iCs w:val="0"/>
          <w:caps w:val="0"/>
          <w:color w:val="auto"/>
          <w:spacing w:val="0"/>
          <w:sz w:val="24"/>
          <w:szCs w:val="24"/>
          <w:shd w:val="clear" w:color="auto" w:fill="FFFFFF"/>
        </w:rPr>
        <w:t>三、获取招标文件</w:t>
      </w:r>
    </w:p>
    <w:p w14:paraId="628B1894">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val="en-US" w:eastAsia="zh-CN"/>
        </w:rPr>
        <w:t>2026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16</w:t>
      </w:r>
      <w:r>
        <w:rPr>
          <w:rFonts w:hint="eastAsia" w:ascii="宋体" w:hAnsi="宋体" w:eastAsia="宋体" w:cs="宋体"/>
          <w:i w:val="0"/>
          <w:iCs w:val="0"/>
          <w:caps w:val="0"/>
          <w:color w:val="auto"/>
          <w:spacing w:val="0"/>
          <w:sz w:val="24"/>
          <w:szCs w:val="24"/>
          <w:shd w:val="clear" w:color="auto" w:fill="FFFFFF"/>
        </w:rPr>
        <w:t>日，每天上午08:</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:00至12:00:00，下午12:00:00至 </w:t>
      </w:r>
      <w:r>
        <w:rPr>
          <w:rFonts w:hint="eastAsia" w:ascii="宋体" w:hAnsi="宋体" w:eastAsia="宋体" w:cs="宋体"/>
          <w:i w:val="0"/>
          <w:iCs w:val="0"/>
          <w:caps w:val="0"/>
          <w:color w:val="auto"/>
          <w:spacing w:val="0"/>
          <w:sz w:val="24"/>
          <w:szCs w:val="24"/>
          <w:shd w:val="clear" w:color="auto" w:fill="FFFFFF"/>
          <w:lang w:val="en-US" w:eastAsia="zh-CN"/>
        </w:rPr>
        <w:t>18</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:00（北京时间）</w:t>
      </w:r>
    </w:p>
    <w:p w14:paraId="3504C9D4">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途径：CA锁自行下载获取</w:t>
      </w:r>
    </w:p>
    <w:p w14:paraId="67634958">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51CC3B24">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 0元</w:t>
      </w:r>
    </w:p>
    <w:p w14:paraId="3D15DC2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6"/>
          <w:rFonts w:hint="eastAsia" w:ascii="宋体" w:hAnsi="宋体" w:eastAsia="宋体" w:cs="宋体"/>
          <w:b/>
          <w:bCs/>
          <w:i w:val="0"/>
          <w:iCs w:val="0"/>
          <w:caps w:val="0"/>
          <w:color w:val="auto"/>
          <w:spacing w:val="0"/>
          <w:sz w:val="24"/>
          <w:szCs w:val="24"/>
          <w:shd w:val="clear" w:color="auto" w:fill="FFFFFF"/>
        </w:rPr>
        <w:t>四、提交投标文件截止时间、开标时间和地点</w:t>
      </w:r>
    </w:p>
    <w:p w14:paraId="5AF049E0">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日 09时30分00秒 （北京时间）</w:t>
      </w:r>
    </w:p>
    <w:p w14:paraId="2A87F893">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提交投标文件地点：通过《陕西省公共资源交易平台》在线递交投标。</w:t>
      </w:r>
    </w:p>
    <w:p w14:paraId="45E942FF">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shd w:val="clear" w:color="auto" w:fill="FFFFFF"/>
        </w:rPr>
        <w:t>开标地点：</w:t>
      </w:r>
      <w:r>
        <w:rPr>
          <w:rFonts w:hint="eastAsia" w:ascii="宋体" w:hAnsi="宋体" w:eastAsia="宋体" w:cs="宋体"/>
          <w:i w:val="0"/>
          <w:iCs w:val="0"/>
          <w:caps w:val="0"/>
          <w:color w:val="auto"/>
          <w:spacing w:val="0"/>
          <w:sz w:val="24"/>
          <w:szCs w:val="24"/>
          <w:shd w:val="clear" w:color="auto" w:fill="FFFFFF"/>
          <w:lang w:val="en-US" w:eastAsia="zh-CN"/>
        </w:rPr>
        <w:t>榆林市公共资源交易中心18楼开标室1801C</w:t>
      </w:r>
    </w:p>
    <w:p w14:paraId="135D90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6"/>
          <w:rFonts w:hint="eastAsia" w:ascii="宋体" w:hAnsi="宋体" w:eastAsia="宋体" w:cs="宋体"/>
          <w:b/>
          <w:bCs/>
          <w:i w:val="0"/>
          <w:iCs w:val="0"/>
          <w:caps w:val="0"/>
          <w:color w:val="auto"/>
          <w:spacing w:val="0"/>
          <w:sz w:val="24"/>
          <w:szCs w:val="24"/>
          <w:shd w:val="clear" w:color="auto" w:fill="FFFFFF"/>
        </w:rPr>
        <w:t>五、公告期限</w:t>
      </w:r>
    </w:p>
    <w:p w14:paraId="21785F9A">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自本公告发布之日起5个工作日。</w:t>
      </w:r>
    </w:p>
    <w:p w14:paraId="5A8CA50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4"/>
          <w:szCs w:val="24"/>
        </w:rPr>
      </w:pPr>
      <w:r>
        <w:rPr>
          <w:rStyle w:val="26"/>
          <w:rFonts w:hint="eastAsia" w:ascii="宋体" w:hAnsi="宋体" w:eastAsia="宋体" w:cs="宋体"/>
          <w:b/>
          <w:bCs/>
          <w:i w:val="0"/>
          <w:iCs w:val="0"/>
          <w:caps w:val="0"/>
          <w:color w:val="auto"/>
          <w:spacing w:val="0"/>
          <w:sz w:val="24"/>
          <w:szCs w:val="24"/>
          <w:shd w:val="clear" w:color="auto" w:fill="FFFFFF"/>
        </w:rPr>
        <w:t>六、其他补充事宜</w:t>
      </w:r>
    </w:p>
    <w:p w14:paraId="4B6FB0A8">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1.供应商可登录全国公共资源交易中心平台(陕西省) (http://www.sxggzyjy.cn/) ,选择“电子交易平台-陕西政府采购交易系统-陕西省公共资源交易平台-供应商”进行登录，登录后选择“交易乙方”身份进入供应商界面进行报名并免费下载招标文件。</w:t>
      </w:r>
    </w:p>
    <w:p w14:paraId="5F3538D5">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2.本项目采用电子化招投标的方式，供应商使用数字认证证书(CA锁)对投标文件进行签章、加密、递交及开标时解密等相关招投标事宜。</w:t>
      </w:r>
    </w:p>
    <w:p w14:paraId="0CD61240">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3.电子投标文件制作软件技术支持热线：400-998-0000，CA锁购买：榆林市市民大厦三楼窗口,电话：0912-3515031。</w:t>
      </w:r>
    </w:p>
    <w:p w14:paraId="37361448">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4.请各供应商获取采购文件后，按照陕西省财政厅《关于政府采购投标供应商注册登记有关事项的通知》要求，通过陕西省政府采购 (http://www.ccgp-shaanxi.gov.cn/) 注册登记加入陕西省政府采购投标供应商库。</w:t>
      </w:r>
    </w:p>
    <w:p w14:paraId="22920873">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5.本项目采用“不见面”开标形式，不见面开标系统操作手册下载方式：登录【全国公共资源交易平台 (陕西省) 】 网站首页选择【服务指南】-【下载专区】 -点击【关于陕西省公共资源交易平台多CA 互认系统正式上线运行的通知】进行下载。</w:t>
      </w:r>
    </w:p>
    <w:p w14:paraId="71C432CD">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b w:val="0"/>
          <w:bCs w:val="0"/>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6.当澄清或修改的内容影响投标文件编制时，采购代理机构将在交易平台上发布答疑文件，投标人应随时关注项目信息，如有答疑文件，投标人应使用最新发布的答疑文件（*.SXSCF格式）制做电子投标文件（*.SXSTF格式），使用旧版电子招标文件或旧版答疑文件制作的电子投标文件，系统将拒绝接收，因投标人未及时关注项目信息造成的后果投标人自行承担。</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w:t>
      </w:r>
      <w:r>
        <w:rPr>
          <w:rStyle w:val="26"/>
          <w:rFonts w:hint="eastAsia" w:ascii="宋体" w:hAnsi="宋体" w:eastAsia="宋体" w:cs="宋体"/>
          <w:b/>
          <w:bCs/>
          <w:i w:val="0"/>
          <w:iCs w:val="0"/>
          <w:caps w:val="0"/>
          <w:color w:val="auto"/>
          <w:spacing w:val="0"/>
          <w:sz w:val="24"/>
          <w:szCs w:val="24"/>
          <w:shd w:val="clear" w:color="auto" w:fill="FFFFFF"/>
        </w:rPr>
        <w:t>七、对本次招标提出询问，请按以下方式联系。</w:t>
      </w:r>
    </w:p>
    <w:p w14:paraId="6D2FF47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i w:val="0"/>
          <w:iCs w:val="0"/>
          <w:caps w:val="0"/>
          <w:color w:val="auto"/>
          <w:spacing w:val="0"/>
          <w:sz w:val="24"/>
          <w:szCs w:val="24"/>
          <w:shd w:val="clear" w:color="auto" w:fill="FFFFFF"/>
        </w:rPr>
      </w:pPr>
    </w:p>
    <w:p w14:paraId="2C96363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i w:val="0"/>
          <w:iCs w:val="0"/>
          <w:caps w:val="0"/>
          <w:color w:val="auto"/>
          <w:spacing w:val="0"/>
          <w:sz w:val="24"/>
          <w:szCs w:val="24"/>
          <w:shd w:val="clear" w:color="auto" w:fill="FFFFFF"/>
        </w:rPr>
      </w:pPr>
    </w:p>
    <w:p w14:paraId="0397291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57C51A59">
      <w:pPr>
        <w:pStyle w:val="19"/>
        <w:keepNext w:val="0"/>
        <w:keepLines w:val="0"/>
        <w:widowControl/>
        <w:suppressLineNumbers w:val="0"/>
        <w:spacing w:before="0" w:beforeAutospacing="0" w:after="0" w:afterAutospacing="0" w:line="480" w:lineRule="atLeast"/>
        <w:ind w:left="0" w:right="0" w:firstLine="480"/>
        <w:jc w:val="both"/>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名称：清涧县林业工作站</w:t>
      </w:r>
    </w:p>
    <w:p w14:paraId="48C540D8">
      <w:pPr>
        <w:keepNext w:val="0"/>
        <w:keepLines w:val="0"/>
        <w:widowControl/>
        <w:suppressLineNumbers w:val="0"/>
        <w:spacing w:before="0" w:beforeAutospacing="0" w:after="0" w:afterAutospacing="0" w:line="480" w:lineRule="atLeast"/>
        <w:ind w:left="0" w:leftChars="0" w:right="0" w:rightChars="0" w:firstLine="480" w:firstLineChars="0"/>
        <w:jc w:val="both"/>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地址：清涧县岔口林业站</w:t>
      </w:r>
    </w:p>
    <w:p w14:paraId="4E24DB33">
      <w:pPr>
        <w:keepNext w:val="0"/>
        <w:keepLines w:val="0"/>
        <w:widowControl/>
        <w:suppressLineNumbers w:val="0"/>
        <w:spacing w:before="0" w:beforeAutospacing="0" w:after="0" w:afterAutospacing="0" w:line="480" w:lineRule="atLeast"/>
        <w:ind w:left="0" w:leftChars="0" w:right="0" w:rightChars="0" w:firstLine="480" w:firstLineChars="0"/>
        <w:jc w:val="both"/>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联系方式：13891226622</w:t>
      </w:r>
    </w:p>
    <w:p w14:paraId="685B971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3B8C0533">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18" w:leftChars="174" w:right="0" w:firstLine="0" w:firstLineChars="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hAnsi="宋体" w:cs="宋体"/>
          <w:i w:val="0"/>
          <w:iCs w:val="0"/>
          <w:caps w:val="0"/>
          <w:color w:val="auto"/>
          <w:spacing w:val="0"/>
          <w:sz w:val="24"/>
          <w:szCs w:val="24"/>
          <w:shd w:val="clear" w:color="auto" w:fill="FFFFFF"/>
          <w:lang w:eastAsia="zh-CN"/>
        </w:rPr>
        <w:t>陕西盛誉恒正项目管理有限公司</w:t>
      </w:r>
    </w:p>
    <w:p w14:paraId="27957A8D">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18" w:leftChars="174" w:right="0" w:firstLine="0" w:firstLineChars="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地址：陕西省榆林市市辖区陕西省榆林市高新技术产业园区兴达路高新悦府13幢2单元2301室</w:t>
      </w:r>
    </w:p>
    <w:p w14:paraId="3173F966">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val="en-US" w:eastAsia="zh-CN"/>
        </w:rPr>
        <w:t>18717696566</w:t>
      </w:r>
    </w:p>
    <w:p w14:paraId="35FEEB6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FEDB849">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18" w:leftChars="174" w:right="0" w:firstLine="0" w:firstLineChars="0"/>
        <w:jc w:val="both"/>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hAnsi="宋体" w:cs="宋体"/>
          <w:i w:val="0"/>
          <w:iCs w:val="0"/>
          <w:caps w:val="0"/>
          <w:color w:val="auto"/>
          <w:spacing w:val="0"/>
          <w:sz w:val="24"/>
          <w:szCs w:val="24"/>
          <w:shd w:val="clear" w:color="auto" w:fill="FFFFFF"/>
          <w:lang w:val="en-US" w:eastAsia="zh-CN"/>
        </w:rPr>
        <w:t>王浩南</w:t>
      </w:r>
    </w:p>
    <w:p w14:paraId="51886450">
      <w:pPr>
        <w:pStyle w:val="1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18" w:leftChars="174" w:right="0" w:firstLine="0" w:firstLineChars="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电话：</w:t>
      </w:r>
      <w:r>
        <w:rPr>
          <w:rFonts w:hint="eastAsia" w:hAnsi="宋体" w:cs="宋体"/>
          <w:i w:val="0"/>
          <w:iCs w:val="0"/>
          <w:caps w:val="0"/>
          <w:color w:val="auto"/>
          <w:spacing w:val="0"/>
          <w:sz w:val="24"/>
          <w:szCs w:val="24"/>
          <w:shd w:val="clear" w:color="auto" w:fill="FFFFFF"/>
          <w:lang w:val="en-US" w:eastAsia="zh-CN"/>
        </w:rPr>
        <w:t>18717696566</w:t>
      </w:r>
    </w:p>
    <w:p w14:paraId="388EF465">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right"/>
        <w:rPr>
          <w:rFonts w:hint="eastAsia" w:ascii="宋体" w:hAnsi="宋体" w:eastAsia="宋体" w:cs="宋体"/>
          <w:i w:val="0"/>
          <w:iCs w:val="0"/>
          <w:caps w:val="0"/>
          <w:color w:val="auto"/>
          <w:spacing w:val="0"/>
          <w:sz w:val="24"/>
          <w:szCs w:val="24"/>
          <w:shd w:val="clear" w:color="auto" w:fill="FFFFFF"/>
          <w:lang w:eastAsia="zh-CN"/>
        </w:rPr>
      </w:pPr>
      <w:r>
        <w:rPr>
          <w:rFonts w:hint="eastAsia" w:hAnsi="宋体" w:cs="宋体"/>
          <w:i w:val="0"/>
          <w:iCs w:val="0"/>
          <w:caps w:val="0"/>
          <w:color w:val="auto"/>
          <w:spacing w:val="0"/>
          <w:sz w:val="24"/>
          <w:szCs w:val="24"/>
          <w:shd w:val="clear" w:color="auto" w:fill="FFFFFF"/>
          <w:lang w:eastAsia="zh-CN"/>
        </w:rPr>
        <w:t>陕西盛誉恒正项目管理有限公司</w:t>
      </w:r>
    </w:p>
    <w:p w14:paraId="4509762C">
      <w:pPr>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4C48B2F9">
      <w:pPr>
        <w:pStyle w:val="2"/>
        <w:spacing w:line="240" w:lineRule="auto"/>
        <w:rPr>
          <w:rFonts w:hint="eastAsia" w:ascii="宋体" w:hAnsi="宋体" w:eastAsia="宋体" w:cs="宋体"/>
          <w:color w:val="auto"/>
        </w:rPr>
      </w:pPr>
      <w:r>
        <w:rPr>
          <w:rFonts w:hint="eastAsia" w:ascii="宋体" w:hAnsi="宋体" w:eastAsia="宋体" w:cs="宋体"/>
          <w:color w:val="auto"/>
          <w:sz w:val="32"/>
          <w:szCs w:val="32"/>
        </w:rPr>
        <w:t>第二章 投标人须知</w:t>
      </w:r>
      <w:bookmarkEnd w:id="1"/>
    </w:p>
    <w:p w14:paraId="3FBD9DC6">
      <w:pPr>
        <w:pStyle w:val="3"/>
        <w:jc w:val="center"/>
        <w:rPr>
          <w:rFonts w:hint="eastAsia" w:ascii="宋体" w:hAnsi="宋体" w:eastAsia="宋体" w:cs="宋体"/>
          <w:color w:val="auto"/>
        </w:rPr>
      </w:pPr>
      <w:bookmarkStart w:id="2" w:name="_Toc9544"/>
      <w:r>
        <w:rPr>
          <w:rFonts w:hint="eastAsia" w:ascii="宋体" w:hAnsi="宋体" w:eastAsia="宋体" w:cs="宋体"/>
          <w:color w:val="auto"/>
          <w:sz w:val="28"/>
          <w:szCs w:val="28"/>
        </w:rPr>
        <w:t>投标人须知前附表</w:t>
      </w:r>
      <w:bookmarkEnd w:id="2"/>
    </w:p>
    <w:p w14:paraId="4D6FF531">
      <w:pPr>
        <w:ind w:firstLine="240" w:firstLineChars="100"/>
        <w:rPr>
          <w:rFonts w:hint="eastAsia" w:ascii="宋体" w:hAnsi="宋体" w:eastAsia="宋体" w:cs="宋体"/>
          <w:color w:val="auto"/>
          <w:szCs w:val="24"/>
        </w:rPr>
      </w:pPr>
      <w:r>
        <w:rPr>
          <w:rFonts w:hint="eastAsia" w:ascii="宋体" w:hAnsi="宋体" w:eastAsia="宋体" w:cs="宋体"/>
          <w:color w:val="auto"/>
          <w:szCs w:val="24"/>
        </w:rPr>
        <w:t>本表是对投标人须知的具体补充和修改，如有矛盾，应以本资料表为准。</w:t>
      </w:r>
    </w:p>
    <w:tbl>
      <w:tblPr>
        <w:tblStyle w:val="23"/>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932"/>
        <w:gridCol w:w="6735"/>
      </w:tblGrid>
      <w:tr w14:paraId="2BD1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51" w:type="dxa"/>
            <w:vAlign w:val="center"/>
          </w:tcPr>
          <w:p w14:paraId="2F47AD3F">
            <w:pPr>
              <w:spacing w:line="288" w:lineRule="auto"/>
              <w:jc w:val="center"/>
              <w:rPr>
                <w:rFonts w:hint="eastAsia" w:ascii="宋体" w:hAnsi="宋体" w:eastAsia="宋体" w:cs="宋体"/>
                <w:b/>
                <w:color w:val="auto"/>
                <w:szCs w:val="24"/>
              </w:rPr>
            </w:pPr>
            <w:r>
              <w:rPr>
                <w:rFonts w:hint="eastAsia" w:ascii="宋体" w:hAnsi="宋体" w:eastAsia="宋体" w:cs="宋体"/>
                <w:b/>
                <w:color w:val="auto"/>
                <w:szCs w:val="24"/>
              </w:rPr>
              <w:t>序号</w:t>
            </w:r>
          </w:p>
        </w:tc>
        <w:tc>
          <w:tcPr>
            <w:tcW w:w="1932" w:type="dxa"/>
            <w:vAlign w:val="center"/>
          </w:tcPr>
          <w:p w14:paraId="5B76A850">
            <w:pPr>
              <w:spacing w:line="288" w:lineRule="auto"/>
              <w:jc w:val="center"/>
              <w:rPr>
                <w:rFonts w:hint="eastAsia" w:ascii="宋体" w:hAnsi="宋体" w:eastAsia="宋体" w:cs="宋体"/>
                <w:b/>
                <w:color w:val="auto"/>
                <w:szCs w:val="24"/>
              </w:rPr>
            </w:pPr>
            <w:r>
              <w:rPr>
                <w:rFonts w:hint="eastAsia" w:ascii="宋体" w:hAnsi="宋体" w:eastAsia="宋体" w:cs="宋体"/>
                <w:b/>
                <w:color w:val="auto"/>
                <w:szCs w:val="24"/>
              </w:rPr>
              <w:t>条款名称</w:t>
            </w:r>
          </w:p>
        </w:tc>
        <w:tc>
          <w:tcPr>
            <w:tcW w:w="6735" w:type="dxa"/>
            <w:vAlign w:val="center"/>
          </w:tcPr>
          <w:p w14:paraId="6BC161E6">
            <w:pPr>
              <w:spacing w:line="288" w:lineRule="auto"/>
              <w:jc w:val="center"/>
              <w:rPr>
                <w:rFonts w:hint="eastAsia" w:ascii="宋体" w:hAnsi="宋体" w:eastAsia="宋体" w:cs="宋体"/>
                <w:b/>
                <w:color w:val="auto"/>
                <w:szCs w:val="24"/>
              </w:rPr>
            </w:pPr>
            <w:r>
              <w:rPr>
                <w:rFonts w:hint="eastAsia" w:ascii="宋体" w:hAnsi="宋体" w:eastAsia="宋体" w:cs="宋体"/>
                <w:b/>
                <w:color w:val="auto"/>
                <w:szCs w:val="24"/>
              </w:rPr>
              <w:t>说明和要求</w:t>
            </w:r>
          </w:p>
        </w:tc>
      </w:tr>
      <w:tr w14:paraId="50A1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Align w:val="center"/>
          </w:tcPr>
          <w:p w14:paraId="0CC7457F">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1</w:t>
            </w:r>
          </w:p>
        </w:tc>
        <w:tc>
          <w:tcPr>
            <w:tcW w:w="1932" w:type="dxa"/>
            <w:vAlign w:val="center"/>
          </w:tcPr>
          <w:p w14:paraId="4213377C">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采购人</w:t>
            </w:r>
          </w:p>
        </w:tc>
        <w:tc>
          <w:tcPr>
            <w:tcW w:w="6735" w:type="dxa"/>
            <w:vAlign w:val="center"/>
          </w:tcPr>
          <w:p w14:paraId="4C0DD307">
            <w:pPr>
              <w:spacing w:line="288" w:lineRule="auto"/>
              <w:rPr>
                <w:rFonts w:hint="eastAsia" w:ascii="宋体" w:hAnsi="宋体" w:eastAsia="宋体" w:cs="宋体"/>
                <w:color w:val="auto"/>
                <w:szCs w:val="24"/>
                <w:lang w:eastAsia="zh-CN"/>
              </w:rPr>
            </w:pPr>
            <w:r>
              <w:rPr>
                <w:rFonts w:hint="eastAsia" w:hAnsi="宋体" w:cs="宋体"/>
                <w:color w:val="auto"/>
                <w:szCs w:val="24"/>
                <w:lang w:eastAsia="zh-CN"/>
              </w:rPr>
              <w:t>清涧县林业工作站</w:t>
            </w:r>
          </w:p>
        </w:tc>
      </w:tr>
      <w:tr w14:paraId="2108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51" w:type="dxa"/>
            <w:vAlign w:val="center"/>
          </w:tcPr>
          <w:p w14:paraId="37157322">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2</w:t>
            </w:r>
          </w:p>
        </w:tc>
        <w:tc>
          <w:tcPr>
            <w:tcW w:w="1932" w:type="dxa"/>
            <w:vAlign w:val="center"/>
          </w:tcPr>
          <w:p w14:paraId="7CF74F4D">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采购代理机构</w:t>
            </w:r>
          </w:p>
        </w:tc>
        <w:tc>
          <w:tcPr>
            <w:tcW w:w="6735" w:type="dxa"/>
            <w:vAlign w:val="center"/>
          </w:tcPr>
          <w:p w14:paraId="0F274CF0">
            <w:pPr>
              <w:spacing w:line="288" w:lineRule="auto"/>
              <w:rPr>
                <w:rFonts w:hint="eastAsia" w:ascii="宋体" w:hAnsi="宋体" w:eastAsia="宋体" w:cs="宋体"/>
                <w:color w:val="auto"/>
                <w:szCs w:val="24"/>
                <w:lang w:eastAsia="zh-CN"/>
              </w:rPr>
            </w:pPr>
            <w:r>
              <w:rPr>
                <w:rFonts w:hint="eastAsia" w:hAnsi="宋体" w:cs="宋体"/>
                <w:color w:val="auto"/>
                <w:szCs w:val="24"/>
                <w:lang w:eastAsia="zh-CN"/>
              </w:rPr>
              <w:t>陕西盛誉恒正项目管理有限公司</w:t>
            </w:r>
          </w:p>
        </w:tc>
      </w:tr>
      <w:tr w14:paraId="0B8B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651" w:type="dxa"/>
            <w:vAlign w:val="center"/>
          </w:tcPr>
          <w:p w14:paraId="6787E23A">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3</w:t>
            </w:r>
          </w:p>
        </w:tc>
        <w:tc>
          <w:tcPr>
            <w:tcW w:w="1932" w:type="dxa"/>
            <w:vAlign w:val="center"/>
          </w:tcPr>
          <w:p w14:paraId="640C16B7">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监督管理机构</w:t>
            </w:r>
          </w:p>
        </w:tc>
        <w:tc>
          <w:tcPr>
            <w:tcW w:w="6735" w:type="dxa"/>
            <w:vAlign w:val="center"/>
          </w:tcPr>
          <w:p w14:paraId="065E8B61">
            <w:pPr>
              <w:spacing w:line="288" w:lineRule="auto"/>
              <w:rPr>
                <w:rFonts w:hint="eastAsia" w:ascii="宋体" w:hAnsi="宋体" w:eastAsia="宋体" w:cs="宋体"/>
                <w:color w:val="auto"/>
                <w:szCs w:val="24"/>
              </w:rPr>
            </w:pPr>
            <w:r>
              <w:rPr>
                <w:rFonts w:hint="eastAsia" w:hAnsi="宋体" w:cs="宋体"/>
                <w:color w:val="auto"/>
                <w:szCs w:val="24"/>
                <w:lang w:eastAsia="zh-CN"/>
              </w:rPr>
              <w:t>清涧县</w:t>
            </w:r>
            <w:r>
              <w:rPr>
                <w:rFonts w:hint="eastAsia" w:ascii="宋体" w:hAnsi="宋体" w:eastAsia="宋体" w:cs="宋体"/>
                <w:color w:val="auto"/>
                <w:szCs w:val="24"/>
              </w:rPr>
              <w:t>财政局</w:t>
            </w:r>
          </w:p>
        </w:tc>
      </w:tr>
      <w:tr w14:paraId="0F9E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651" w:type="dxa"/>
            <w:vAlign w:val="center"/>
          </w:tcPr>
          <w:p w14:paraId="3E206943">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4</w:t>
            </w:r>
          </w:p>
        </w:tc>
        <w:tc>
          <w:tcPr>
            <w:tcW w:w="1932" w:type="dxa"/>
            <w:vAlign w:val="center"/>
          </w:tcPr>
          <w:p w14:paraId="6989BF86">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项目名称</w:t>
            </w:r>
          </w:p>
        </w:tc>
        <w:tc>
          <w:tcPr>
            <w:tcW w:w="6735" w:type="dxa"/>
            <w:vAlign w:val="center"/>
          </w:tcPr>
          <w:p w14:paraId="5E1F87C1">
            <w:pPr>
              <w:spacing w:line="288" w:lineRule="auto"/>
              <w:rPr>
                <w:rFonts w:hint="eastAsia" w:ascii="宋体" w:hAnsi="宋体" w:eastAsia="宋体" w:cs="宋体"/>
                <w:color w:val="auto"/>
                <w:szCs w:val="24"/>
                <w:lang w:eastAsia="zh-CN"/>
              </w:rPr>
            </w:pPr>
            <w:r>
              <w:rPr>
                <w:rFonts w:hint="eastAsia" w:hAnsi="宋体" w:cs="宋体"/>
                <w:color w:val="auto"/>
                <w:szCs w:val="24"/>
                <w:lang w:eastAsia="zh-CN"/>
              </w:rPr>
              <w:t>清涧县2025年黄河流域湿地保护与修复项目（二次）</w:t>
            </w:r>
          </w:p>
        </w:tc>
      </w:tr>
      <w:tr w14:paraId="6EDC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51" w:type="dxa"/>
            <w:vAlign w:val="center"/>
          </w:tcPr>
          <w:p w14:paraId="07626E1B">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5</w:t>
            </w:r>
          </w:p>
        </w:tc>
        <w:tc>
          <w:tcPr>
            <w:tcW w:w="1932" w:type="dxa"/>
            <w:vAlign w:val="center"/>
          </w:tcPr>
          <w:p w14:paraId="5BB540D5">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项目编号</w:t>
            </w:r>
          </w:p>
        </w:tc>
        <w:tc>
          <w:tcPr>
            <w:tcW w:w="6735" w:type="dxa"/>
            <w:vAlign w:val="center"/>
          </w:tcPr>
          <w:p w14:paraId="20E55C0A">
            <w:pPr>
              <w:spacing w:line="288" w:lineRule="auto"/>
              <w:rPr>
                <w:rFonts w:hint="default" w:ascii="宋体" w:hAnsi="宋体" w:eastAsia="宋体" w:cs="宋体"/>
                <w:color w:val="auto"/>
                <w:szCs w:val="24"/>
                <w:lang w:val="en-US" w:eastAsia="zh-CN"/>
              </w:rPr>
            </w:pPr>
            <w:r>
              <w:rPr>
                <w:rFonts w:hint="eastAsia" w:hAnsi="宋体" w:cs="宋体"/>
                <w:color w:val="auto"/>
                <w:szCs w:val="24"/>
                <w:lang w:val="en-US" w:eastAsia="zh-CN"/>
              </w:rPr>
              <w:t>SYHZ-2026-04</w:t>
            </w:r>
          </w:p>
        </w:tc>
      </w:tr>
      <w:tr w14:paraId="2FC2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51" w:type="dxa"/>
            <w:vAlign w:val="center"/>
          </w:tcPr>
          <w:p w14:paraId="030C0A74">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6</w:t>
            </w:r>
          </w:p>
        </w:tc>
        <w:tc>
          <w:tcPr>
            <w:tcW w:w="1932" w:type="dxa"/>
            <w:vAlign w:val="center"/>
          </w:tcPr>
          <w:p w14:paraId="2CFF17F5">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采购内容及要求</w:t>
            </w:r>
          </w:p>
        </w:tc>
        <w:tc>
          <w:tcPr>
            <w:tcW w:w="6735" w:type="dxa"/>
            <w:vAlign w:val="center"/>
          </w:tcPr>
          <w:p w14:paraId="4513EB75">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详见招标文件第四章采购内容及要求</w:t>
            </w:r>
          </w:p>
        </w:tc>
      </w:tr>
      <w:tr w14:paraId="1551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6" w:hRule="atLeast"/>
          <w:jc w:val="center"/>
        </w:trPr>
        <w:tc>
          <w:tcPr>
            <w:tcW w:w="651" w:type="dxa"/>
            <w:vAlign w:val="center"/>
          </w:tcPr>
          <w:p w14:paraId="47CE4A8C">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7</w:t>
            </w:r>
          </w:p>
        </w:tc>
        <w:tc>
          <w:tcPr>
            <w:tcW w:w="1932" w:type="dxa"/>
            <w:vAlign w:val="center"/>
          </w:tcPr>
          <w:p w14:paraId="658280DC">
            <w:pPr>
              <w:spacing w:line="288" w:lineRule="auto"/>
              <w:rPr>
                <w:rFonts w:hint="eastAsia" w:ascii="宋体" w:hAnsi="宋体" w:eastAsia="宋体" w:cs="宋体"/>
                <w:color w:val="auto"/>
                <w:szCs w:val="24"/>
                <w:highlight w:val="red"/>
              </w:rPr>
            </w:pPr>
            <w:r>
              <w:rPr>
                <w:rFonts w:hint="eastAsia" w:ascii="宋体" w:hAnsi="宋体" w:eastAsia="宋体" w:cs="宋体"/>
                <w:color w:val="auto"/>
                <w:szCs w:val="24"/>
              </w:rPr>
              <w:t>投标人资格要求</w:t>
            </w:r>
          </w:p>
        </w:tc>
        <w:tc>
          <w:tcPr>
            <w:tcW w:w="6735" w:type="dxa"/>
          </w:tcPr>
          <w:p w14:paraId="6AC52F54">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1、满足《中华人民共和国政府采购法》第二十二条规定；</w:t>
            </w:r>
          </w:p>
          <w:p w14:paraId="25054184">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2、本项目的特定资格要求：</w:t>
            </w:r>
          </w:p>
          <w:p w14:paraId="77E9A5ED">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（1）投标人为具有独立承担民事责任能力的法人、事业法人、其他组织或自然人。企业法人应提供合法有效的标识有统一社会信用代码的营业执照；事业法人应提 供事业单位法人证书；其他组织应提供合法登记证明文件； 自然人应提供身份证；</w:t>
            </w:r>
          </w:p>
          <w:p w14:paraId="1026D31E">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（2）参加政府采购活动前 3 年内经营活动中没有重大违法记录声明书；投标时限内“信用中国”(</w:t>
            </w:r>
            <w:r>
              <w:rPr>
                <w:rFonts w:hint="eastAsia" w:ascii="宋体" w:hAnsi="宋体" w:eastAsia="宋体" w:cs="宋体"/>
                <w:color w:val="auto"/>
                <w:szCs w:val="24"/>
                <w:lang w:val="en-US" w:eastAsia="zh-CN"/>
              </w:rPr>
              <w:fldChar w:fldCharType="begin"/>
            </w:r>
            <w:r>
              <w:rPr>
                <w:rFonts w:hint="eastAsia" w:ascii="宋体" w:hAnsi="宋体" w:eastAsia="宋体" w:cs="宋体"/>
                <w:color w:val="auto"/>
                <w:szCs w:val="24"/>
                <w:lang w:val="en-US" w:eastAsia="zh-CN"/>
              </w:rPr>
              <w:instrText xml:space="preserve"> HYPERLINK "https://www.creditchina.gov.cn" </w:instrText>
            </w:r>
            <w:r>
              <w:rPr>
                <w:rFonts w:hint="eastAsia" w:ascii="宋体" w:hAnsi="宋体" w:eastAsia="宋体" w:cs="宋体"/>
                <w:color w:val="auto"/>
                <w:szCs w:val="24"/>
                <w:lang w:val="en-US" w:eastAsia="zh-CN"/>
              </w:rPr>
              <w:fldChar w:fldCharType="separate"/>
            </w:r>
            <w:r>
              <w:rPr>
                <w:rFonts w:hint="eastAsia" w:ascii="宋体" w:hAnsi="宋体" w:eastAsia="宋体" w:cs="宋体"/>
                <w:color w:val="auto"/>
                <w:szCs w:val="24"/>
                <w:lang w:val="en-US" w:eastAsia="zh-CN"/>
              </w:rPr>
              <w:t>www.creditchina.gov.cn</w:t>
            </w:r>
            <w:r>
              <w:rPr>
                <w:rFonts w:hint="eastAsia" w:ascii="宋体" w:hAnsi="宋体" w:eastAsia="宋体" w:cs="宋体"/>
                <w:color w:val="auto"/>
                <w:szCs w:val="24"/>
                <w:lang w:val="en-US" w:eastAsia="zh-CN"/>
              </w:rPr>
              <w:fldChar w:fldCharType="end"/>
            </w:r>
            <w:r>
              <w:rPr>
                <w:rFonts w:hint="eastAsia" w:ascii="宋体" w:hAnsi="宋体" w:eastAsia="宋体" w:cs="宋体"/>
                <w:color w:val="auto"/>
                <w:szCs w:val="24"/>
                <w:lang w:val="en-US" w:eastAsia="zh-CN"/>
              </w:rPr>
              <w:t>)网站生成的带水印信用报告，供应商不得为“信用中国”网站（</w:t>
            </w:r>
            <w:r>
              <w:rPr>
                <w:rFonts w:hint="eastAsia" w:ascii="宋体" w:hAnsi="宋体" w:eastAsia="宋体" w:cs="宋体"/>
                <w:color w:val="auto"/>
                <w:szCs w:val="24"/>
                <w:lang w:val="en-US" w:eastAsia="zh-CN"/>
              </w:rPr>
              <w:fldChar w:fldCharType="begin"/>
            </w:r>
            <w:r>
              <w:rPr>
                <w:rFonts w:hint="eastAsia" w:ascii="宋体" w:hAnsi="宋体" w:eastAsia="宋体" w:cs="宋体"/>
                <w:color w:val="auto"/>
                <w:szCs w:val="24"/>
                <w:lang w:val="en-US" w:eastAsia="zh-CN"/>
              </w:rPr>
              <w:instrText xml:space="preserve"> HYPERLINK "https://www.creditchina.gov.cn" </w:instrText>
            </w:r>
            <w:r>
              <w:rPr>
                <w:rFonts w:hint="eastAsia" w:ascii="宋体" w:hAnsi="宋体" w:eastAsia="宋体" w:cs="宋体"/>
                <w:color w:val="auto"/>
                <w:szCs w:val="24"/>
                <w:lang w:val="en-US" w:eastAsia="zh-CN"/>
              </w:rPr>
              <w:fldChar w:fldCharType="separate"/>
            </w:r>
            <w:r>
              <w:rPr>
                <w:rFonts w:hint="eastAsia" w:ascii="宋体" w:hAnsi="宋体" w:eastAsia="宋体" w:cs="宋体"/>
                <w:color w:val="auto"/>
                <w:szCs w:val="24"/>
                <w:lang w:val="en-US" w:eastAsia="zh-CN"/>
              </w:rPr>
              <w:t>www.creditchina.gov.cn</w:t>
            </w:r>
            <w:r>
              <w:rPr>
                <w:rFonts w:hint="eastAsia" w:ascii="宋体" w:hAnsi="宋体" w:eastAsia="宋体" w:cs="宋体"/>
                <w:color w:val="auto"/>
                <w:szCs w:val="24"/>
                <w:lang w:val="en-US" w:eastAsia="zh-CN"/>
              </w:rPr>
              <w:fldChar w:fldCharType="end"/>
            </w:r>
            <w:r>
              <w:rPr>
                <w:rFonts w:hint="eastAsia" w:ascii="宋体" w:hAnsi="宋体" w:eastAsia="宋体" w:cs="宋体"/>
                <w:color w:val="auto"/>
                <w:szCs w:val="24"/>
                <w:lang w:val="en-US" w:eastAsia="zh-CN"/>
              </w:rPr>
              <w:t>）中列入重大税收违法失信主体、政府采购严重违法失信行为记录名单，不得为中国政府采购网（</w:t>
            </w:r>
            <w:r>
              <w:rPr>
                <w:rFonts w:hint="eastAsia" w:ascii="宋体" w:hAnsi="宋体" w:eastAsia="宋体" w:cs="宋体"/>
                <w:color w:val="auto"/>
                <w:szCs w:val="24"/>
                <w:lang w:val="en-US" w:eastAsia="zh-CN"/>
              </w:rPr>
              <w:fldChar w:fldCharType="begin"/>
            </w:r>
            <w:r>
              <w:rPr>
                <w:rFonts w:hint="eastAsia" w:ascii="宋体" w:hAnsi="宋体" w:eastAsia="宋体" w:cs="宋体"/>
                <w:color w:val="auto"/>
                <w:szCs w:val="24"/>
                <w:lang w:val="en-US" w:eastAsia="zh-CN"/>
              </w:rPr>
              <w:instrText xml:space="preserve"> HYPERLINK "https://www.ccgp.gov.cn" </w:instrText>
            </w:r>
            <w:r>
              <w:rPr>
                <w:rFonts w:hint="eastAsia" w:ascii="宋体" w:hAnsi="宋体" w:eastAsia="宋体" w:cs="宋体"/>
                <w:color w:val="auto"/>
                <w:szCs w:val="24"/>
                <w:lang w:val="en-US" w:eastAsia="zh-CN"/>
              </w:rPr>
              <w:fldChar w:fldCharType="separate"/>
            </w:r>
            <w:r>
              <w:rPr>
                <w:rFonts w:hint="eastAsia" w:ascii="宋体" w:hAnsi="宋体" w:eastAsia="宋体" w:cs="宋体"/>
                <w:color w:val="auto"/>
                <w:szCs w:val="24"/>
                <w:lang w:val="en-US" w:eastAsia="zh-CN"/>
              </w:rPr>
              <w:t>www.ccgp.gov.cn</w:t>
            </w:r>
            <w:r>
              <w:rPr>
                <w:rFonts w:hint="eastAsia" w:ascii="宋体" w:hAnsi="宋体" w:eastAsia="宋体" w:cs="宋体"/>
                <w:color w:val="auto"/>
                <w:szCs w:val="24"/>
                <w:lang w:val="en-US" w:eastAsia="zh-CN"/>
              </w:rPr>
              <w:fldChar w:fldCharType="end"/>
            </w:r>
            <w:r>
              <w:rPr>
                <w:rFonts w:hint="eastAsia" w:ascii="宋体" w:hAnsi="宋体" w:eastAsia="宋体" w:cs="宋体"/>
                <w:color w:val="auto"/>
                <w:szCs w:val="24"/>
                <w:lang w:val="en-US" w:eastAsia="zh-CN"/>
              </w:rPr>
              <w:t>）政府采购严重违法失信行为记录名单中被财政部门禁止参加政府采购活动的供应商（提供查询结果网页截图并加盖供应商公章）；同时提供榆林市政府采购货物类项目供应商信用承诺书。</w:t>
            </w:r>
          </w:p>
          <w:p w14:paraId="68A42A0B">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3）财务状况报告：经会计事务所或审计机构出具的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6012EF4E">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（4）税收缴纳证明：提供 2025 年 8 月至投标截止时间止任意一个月完税证明，完税证明上应有税务机关的公章（加盖公章复印件）；依法免税的供应商应提供相关文件证明；</w:t>
            </w:r>
          </w:p>
          <w:p w14:paraId="5D4287DA">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（5）社会保障资金缴纳证明：提供2025年8月至投标截止时间止任意一个月的社会保障资金缴存单据或社保机构开具的社会保险参保缴费情况证明；依法不需要缴纳社会保障资金的应提供相关文件证明；</w:t>
            </w:r>
          </w:p>
          <w:p w14:paraId="420FE773">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（6）提供具有履行合同所必需的设备和专业技术能力的证明资料或承诺书；</w:t>
            </w:r>
          </w:p>
          <w:p w14:paraId="66ABB9EB">
            <w:pPr>
              <w:spacing w:line="288"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（7）本项目以“投标信用承诺书 ”代替投标保证金；</w:t>
            </w:r>
          </w:p>
          <w:p w14:paraId="25853461">
            <w:pPr>
              <w:spacing w:line="288" w:lineRule="auto"/>
              <w:rPr>
                <w:rFonts w:hint="eastAsia" w:ascii="宋体" w:hAnsi="宋体" w:eastAsia="宋体" w:cs="宋体"/>
                <w:color w:val="auto"/>
                <w:szCs w:val="24"/>
                <w:lang w:eastAsia="zh-CN"/>
              </w:rPr>
            </w:pPr>
            <w:r>
              <w:rPr>
                <w:rFonts w:hint="eastAsia" w:ascii="宋体" w:hAnsi="宋体" w:eastAsia="宋体" w:cs="宋体"/>
                <w:color w:val="auto"/>
                <w:szCs w:val="24"/>
                <w:lang w:val="en-US" w:eastAsia="zh-CN"/>
              </w:rPr>
              <w:t>（8）本项目不专门面向中小企业采购</w:t>
            </w:r>
            <w:r>
              <w:rPr>
                <w:rFonts w:hint="eastAsia" w:ascii="宋体" w:hAnsi="宋体" w:eastAsia="宋体" w:cs="宋体"/>
                <w:color w:val="auto"/>
                <w:szCs w:val="24"/>
                <w:lang w:val="en-US" w:eastAsia="zh-CN"/>
              </w:rPr>
              <w:br w:type="textWrapping"/>
            </w:r>
            <w:r>
              <w:rPr>
                <w:rFonts w:hint="eastAsia" w:ascii="宋体" w:hAnsi="宋体" w:eastAsia="宋体" w:cs="宋体"/>
                <w:color w:val="auto"/>
                <w:szCs w:val="24"/>
                <w:lang w:val="en-US" w:eastAsia="zh-CN"/>
              </w:rPr>
              <w:t>（9）本项目不接受联合体投标，单位负责人为同一人或者存在直接控股、管理关系的不同供应商，不得参加同一合同项下的政府采购活动；</w:t>
            </w:r>
          </w:p>
        </w:tc>
      </w:tr>
      <w:tr w14:paraId="1B55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jc w:val="center"/>
        </w:trPr>
        <w:tc>
          <w:tcPr>
            <w:tcW w:w="651" w:type="dxa"/>
            <w:vAlign w:val="center"/>
          </w:tcPr>
          <w:p w14:paraId="02DEA277">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8</w:t>
            </w:r>
          </w:p>
        </w:tc>
        <w:tc>
          <w:tcPr>
            <w:tcW w:w="1932" w:type="dxa"/>
            <w:vAlign w:val="center"/>
          </w:tcPr>
          <w:p w14:paraId="23BCBC7A">
            <w:pPr>
              <w:spacing w:line="288" w:lineRule="auto"/>
              <w:jc w:val="center"/>
              <w:rPr>
                <w:rFonts w:hint="default" w:ascii="宋体" w:hAnsi="宋体" w:eastAsia="宋体" w:cs="宋体"/>
                <w:color w:val="auto"/>
                <w:szCs w:val="24"/>
                <w:lang w:val="en-US" w:eastAsia="zh-CN"/>
              </w:rPr>
            </w:pPr>
            <w:r>
              <w:rPr>
                <w:rFonts w:hint="eastAsia" w:hAnsi="宋体" w:cs="宋体"/>
                <w:color w:val="auto"/>
                <w:szCs w:val="24"/>
                <w:lang w:val="en-US" w:eastAsia="zh-CN"/>
              </w:rPr>
              <w:t>供货期</w:t>
            </w:r>
          </w:p>
        </w:tc>
        <w:tc>
          <w:tcPr>
            <w:tcW w:w="6735" w:type="dxa"/>
            <w:vAlign w:val="center"/>
          </w:tcPr>
          <w:p w14:paraId="3E136347">
            <w:pPr>
              <w:spacing w:line="288" w:lineRule="auto"/>
              <w:jc w:val="left"/>
              <w:rPr>
                <w:rFonts w:hint="default" w:ascii="宋体" w:hAnsi="宋体" w:eastAsia="宋体" w:cs="宋体"/>
                <w:color w:val="auto"/>
                <w:szCs w:val="24"/>
                <w:lang w:val="en-US" w:eastAsia="zh-CN"/>
              </w:rPr>
            </w:pPr>
            <w:r>
              <w:rPr>
                <w:rFonts w:hint="eastAsia" w:hAnsi="宋体" w:cs="宋体"/>
                <w:color w:val="auto"/>
                <w:szCs w:val="24"/>
                <w:lang w:val="en-US" w:eastAsia="zh-CN"/>
              </w:rPr>
              <w:t>30天</w:t>
            </w:r>
          </w:p>
        </w:tc>
      </w:tr>
      <w:tr w14:paraId="2D95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jc w:val="center"/>
        </w:trPr>
        <w:tc>
          <w:tcPr>
            <w:tcW w:w="651" w:type="dxa"/>
            <w:vAlign w:val="center"/>
          </w:tcPr>
          <w:p w14:paraId="40476409">
            <w:pPr>
              <w:spacing w:line="288" w:lineRule="auto"/>
              <w:jc w:val="center"/>
              <w:rPr>
                <w:rFonts w:hint="eastAsia" w:ascii="宋体" w:hAnsi="宋体" w:eastAsia="宋体" w:cs="宋体"/>
                <w:color w:val="auto"/>
                <w:szCs w:val="24"/>
                <w:lang w:val="en-US" w:eastAsia="zh-CN"/>
              </w:rPr>
            </w:pPr>
            <w:r>
              <w:rPr>
                <w:rFonts w:hint="eastAsia" w:hAnsi="宋体" w:cs="宋体"/>
                <w:color w:val="auto"/>
                <w:szCs w:val="24"/>
                <w:lang w:val="en-US" w:eastAsia="zh-CN"/>
              </w:rPr>
              <w:t>9</w:t>
            </w:r>
          </w:p>
        </w:tc>
        <w:tc>
          <w:tcPr>
            <w:tcW w:w="1932" w:type="dxa"/>
            <w:vAlign w:val="center"/>
          </w:tcPr>
          <w:p w14:paraId="211B191E">
            <w:pPr>
              <w:spacing w:line="288" w:lineRule="auto"/>
              <w:jc w:val="center"/>
              <w:rPr>
                <w:rFonts w:hint="default" w:ascii="宋体" w:hAnsi="宋体" w:eastAsia="宋体" w:cs="宋体"/>
                <w:color w:val="auto"/>
                <w:szCs w:val="24"/>
                <w:lang w:val="en-US" w:eastAsia="zh-CN"/>
              </w:rPr>
            </w:pPr>
            <w:r>
              <w:rPr>
                <w:rFonts w:hint="eastAsia" w:ascii="宋体" w:hAnsi="宋体" w:eastAsia="宋体" w:cs="宋体"/>
                <w:color w:val="auto"/>
                <w:szCs w:val="24"/>
                <w:lang w:val="en-US" w:eastAsia="zh-CN"/>
              </w:rPr>
              <w:t>质保期</w:t>
            </w:r>
          </w:p>
        </w:tc>
        <w:tc>
          <w:tcPr>
            <w:tcW w:w="6735" w:type="dxa"/>
            <w:vAlign w:val="center"/>
          </w:tcPr>
          <w:p w14:paraId="177F392D">
            <w:pPr>
              <w:spacing w:line="288" w:lineRule="auto"/>
              <w:jc w:val="left"/>
              <w:rPr>
                <w:rFonts w:hint="default" w:ascii="宋体" w:hAnsi="宋体" w:eastAsia="宋体" w:cs="宋体"/>
                <w:color w:val="auto"/>
                <w:szCs w:val="24"/>
                <w:lang w:val="en-US" w:eastAsia="zh-CN"/>
              </w:rPr>
            </w:pPr>
            <w:r>
              <w:rPr>
                <w:rFonts w:hint="eastAsia" w:ascii="宋体" w:hAnsi="宋体" w:eastAsia="宋体" w:cs="宋体"/>
                <w:color w:val="auto"/>
                <w:szCs w:val="24"/>
                <w:lang w:val="en-US" w:eastAsia="zh-CN"/>
              </w:rPr>
              <w:t>一年</w:t>
            </w:r>
          </w:p>
        </w:tc>
      </w:tr>
      <w:tr w14:paraId="585FB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Align w:val="center"/>
          </w:tcPr>
          <w:p w14:paraId="19655361">
            <w:pPr>
              <w:spacing w:line="288" w:lineRule="auto"/>
              <w:jc w:val="center"/>
              <w:rPr>
                <w:rFonts w:hint="default" w:ascii="宋体" w:hAnsi="宋体" w:eastAsia="宋体" w:cs="宋体"/>
                <w:color w:val="auto"/>
                <w:szCs w:val="24"/>
                <w:lang w:val="en-US" w:eastAsia="zh-CN"/>
              </w:rPr>
            </w:pPr>
            <w:r>
              <w:rPr>
                <w:rFonts w:hint="eastAsia" w:hAnsi="宋体" w:cs="宋体"/>
                <w:color w:val="auto"/>
                <w:szCs w:val="24"/>
                <w:lang w:val="en-US" w:eastAsia="zh-CN"/>
              </w:rPr>
              <w:t>10</w:t>
            </w:r>
          </w:p>
        </w:tc>
        <w:tc>
          <w:tcPr>
            <w:tcW w:w="1932" w:type="dxa"/>
            <w:vAlign w:val="center"/>
          </w:tcPr>
          <w:p w14:paraId="196EC36C">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投标文件数量和提交截止时间</w:t>
            </w:r>
          </w:p>
        </w:tc>
        <w:tc>
          <w:tcPr>
            <w:tcW w:w="6735" w:type="dxa"/>
          </w:tcPr>
          <w:p w14:paraId="7AF86916">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投标文件数量：上传电子投标文件壹份，后缀为（*.SXSTF）；</w:t>
            </w:r>
          </w:p>
          <w:p w14:paraId="411DB7CB">
            <w:pPr>
              <w:spacing w:line="288" w:lineRule="auto"/>
              <w:jc w:val="left"/>
              <w:rPr>
                <w:rFonts w:hint="eastAsia" w:ascii="宋体" w:hAnsi="宋体" w:eastAsia="宋体" w:cs="宋体"/>
                <w:color w:val="FF0000"/>
                <w:szCs w:val="24"/>
                <w:lang w:val="en-US" w:eastAsia="zh-CN"/>
              </w:rPr>
            </w:pPr>
            <w:r>
              <w:rPr>
                <w:rFonts w:hint="eastAsia" w:ascii="宋体" w:hAnsi="宋体" w:eastAsia="宋体" w:cs="宋体"/>
                <w:color w:val="auto"/>
                <w:szCs w:val="24"/>
                <w:lang w:val="en-US" w:eastAsia="zh-CN"/>
              </w:rPr>
              <w:t>提交截止时间：202</w:t>
            </w:r>
            <w:r>
              <w:rPr>
                <w:rFonts w:hint="eastAsia" w:hAnsi="宋体" w:cs="宋体"/>
                <w:color w:val="auto"/>
                <w:szCs w:val="24"/>
                <w:lang w:val="en-US" w:eastAsia="zh-CN"/>
              </w:rPr>
              <w:t>6</w:t>
            </w:r>
            <w:r>
              <w:rPr>
                <w:rFonts w:hint="eastAsia" w:ascii="宋体" w:hAnsi="宋体" w:eastAsia="宋体" w:cs="宋体"/>
                <w:color w:val="auto"/>
                <w:szCs w:val="24"/>
                <w:lang w:val="en-US" w:eastAsia="zh-CN"/>
              </w:rPr>
              <w:t>-</w:t>
            </w:r>
            <w:r>
              <w:rPr>
                <w:rFonts w:hint="eastAsia" w:hAnsi="宋体" w:cs="宋体"/>
                <w:color w:val="auto"/>
                <w:szCs w:val="24"/>
                <w:lang w:val="en-US" w:eastAsia="zh-CN"/>
              </w:rPr>
              <w:t>09</w:t>
            </w:r>
            <w:r>
              <w:rPr>
                <w:rFonts w:hint="eastAsia" w:ascii="宋体" w:hAnsi="宋体" w:eastAsia="宋体" w:cs="宋体"/>
                <w:color w:val="auto"/>
                <w:szCs w:val="24"/>
                <w:lang w:val="en-US" w:eastAsia="zh-CN"/>
              </w:rPr>
              <w:t>-</w:t>
            </w:r>
            <w:r>
              <w:rPr>
                <w:rFonts w:hint="eastAsia" w:hAnsi="宋体" w:cs="宋体"/>
                <w:color w:val="auto"/>
                <w:szCs w:val="24"/>
                <w:lang w:val="en-US" w:eastAsia="zh-CN"/>
              </w:rPr>
              <w:t>30</w:t>
            </w:r>
            <w:r>
              <w:rPr>
                <w:rFonts w:hint="eastAsia" w:ascii="宋体" w:hAnsi="宋体" w:eastAsia="宋体" w:cs="宋体"/>
                <w:color w:val="auto"/>
                <w:szCs w:val="24"/>
                <w:lang w:val="en-US" w:eastAsia="zh-CN"/>
              </w:rPr>
              <w:t xml:space="preserve">   09:30</w:t>
            </w:r>
          </w:p>
          <w:p w14:paraId="793DFD11">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注：</w:t>
            </w:r>
          </w:p>
          <w:p w14:paraId="60A1CBAD">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1.电子投标文件应于投标文件提交截止时间前任意时段登录全国公共资源交易中心平台（陕西省）提交电子投标文件，逾期提交系统将拒绝接收。</w:t>
            </w:r>
          </w:p>
          <w:p w14:paraId="6BD7E6D4">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2.投标供应商在开标时无需提交纸质投标文件，待开标结束后，中标人需邮寄补交一正两副纸质投标文件。</w:t>
            </w:r>
          </w:p>
        </w:tc>
      </w:tr>
      <w:tr w14:paraId="299C4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651" w:type="dxa"/>
            <w:vAlign w:val="center"/>
          </w:tcPr>
          <w:p w14:paraId="3B9441C9">
            <w:pPr>
              <w:spacing w:line="288" w:lineRule="auto"/>
              <w:jc w:val="center"/>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hAnsi="宋体" w:cs="宋体"/>
                <w:color w:val="auto"/>
                <w:szCs w:val="24"/>
                <w:lang w:val="en-US" w:eastAsia="zh-CN"/>
              </w:rPr>
              <w:t>1</w:t>
            </w:r>
          </w:p>
        </w:tc>
        <w:tc>
          <w:tcPr>
            <w:tcW w:w="1932" w:type="dxa"/>
            <w:vAlign w:val="center"/>
          </w:tcPr>
          <w:p w14:paraId="3CE544EA">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投标文件开启时间和地点</w:t>
            </w:r>
          </w:p>
        </w:tc>
        <w:tc>
          <w:tcPr>
            <w:tcW w:w="6735" w:type="dxa"/>
            <w:vAlign w:val="center"/>
          </w:tcPr>
          <w:p w14:paraId="12D61215">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开启时间：202</w:t>
            </w:r>
            <w:r>
              <w:rPr>
                <w:rFonts w:hint="eastAsia" w:hAnsi="宋体" w:cs="宋体"/>
                <w:color w:val="auto"/>
                <w:szCs w:val="24"/>
                <w:lang w:val="en-US" w:eastAsia="zh-CN"/>
              </w:rPr>
              <w:t>6</w:t>
            </w:r>
            <w:r>
              <w:rPr>
                <w:rFonts w:hint="eastAsia" w:ascii="宋体" w:hAnsi="宋体" w:eastAsia="宋体" w:cs="宋体"/>
                <w:color w:val="auto"/>
                <w:szCs w:val="24"/>
                <w:lang w:val="en-US" w:eastAsia="zh-CN"/>
              </w:rPr>
              <w:t>-</w:t>
            </w:r>
            <w:r>
              <w:rPr>
                <w:rFonts w:hint="eastAsia" w:hAnsi="宋体" w:cs="宋体"/>
                <w:color w:val="auto"/>
                <w:szCs w:val="24"/>
                <w:lang w:val="en-US" w:eastAsia="zh-CN"/>
              </w:rPr>
              <w:t>09</w:t>
            </w:r>
            <w:r>
              <w:rPr>
                <w:rFonts w:hint="eastAsia" w:ascii="宋体" w:hAnsi="宋体" w:eastAsia="宋体" w:cs="宋体"/>
                <w:color w:val="auto"/>
                <w:szCs w:val="24"/>
                <w:lang w:val="en-US" w:eastAsia="zh-CN"/>
              </w:rPr>
              <w:t>-</w:t>
            </w:r>
            <w:r>
              <w:rPr>
                <w:rFonts w:hint="eastAsia" w:hAnsi="宋体" w:cs="宋体"/>
                <w:color w:val="auto"/>
                <w:szCs w:val="24"/>
                <w:lang w:val="en-US" w:eastAsia="zh-CN"/>
              </w:rPr>
              <w:t xml:space="preserve">30 </w:t>
            </w:r>
            <w:r>
              <w:rPr>
                <w:rFonts w:hint="eastAsia" w:ascii="宋体" w:hAnsi="宋体" w:eastAsia="宋体" w:cs="宋体"/>
                <w:color w:val="auto"/>
                <w:szCs w:val="24"/>
                <w:lang w:val="en-US" w:eastAsia="zh-CN"/>
              </w:rPr>
              <w:t xml:space="preserve"> 09:30（同投标截止时间）</w:t>
            </w:r>
          </w:p>
          <w:p w14:paraId="774CF8C6">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开启地点：榆林市公共资源交易中心18楼开标室1801C</w:t>
            </w:r>
          </w:p>
        </w:tc>
      </w:tr>
      <w:tr w14:paraId="5E5E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51" w:type="dxa"/>
            <w:vAlign w:val="center"/>
          </w:tcPr>
          <w:p w14:paraId="16D9A7CB">
            <w:pPr>
              <w:spacing w:line="288" w:lineRule="auto"/>
              <w:jc w:val="center"/>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hAnsi="宋体" w:cs="宋体"/>
                <w:color w:val="auto"/>
                <w:szCs w:val="24"/>
                <w:lang w:val="en-US" w:eastAsia="zh-CN"/>
              </w:rPr>
              <w:t>2</w:t>
            </w:r>
          </w:p>
        </w:tc>
        <w:tc>
          <w:tcPr>
            <w:tcW w:w="1932" w:type="dxa"/>
            <w:vAlign w:val="center"/>
          </w:tcPr>
          <w:p w14:paraId="5528D330">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投标有效期</w:t>
            </w:r>
          </w:p>
        </w:tc>
        <w:tc>
          <w:tcPr>
            <w:tcW w:w="6735" w:type="dxa"/>
            <w:vAlign w:val="center"/>
          </w:tcPr>
          <w:p w14:paraId="29D7D299">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自提交投标文件截止之日起不少于90个日历日</w:t>
            </w:r>
          </w:p>
        </w:tc>
      </w:tr>
      <w:tr w14:paraId="02AB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51" w:type="dxa"/>
            <w:vAlign w:val="center"/>
          </w:tcPr>
          <w:p w14:paraId="479F2412">
            <w:pPr>
              <w:spacing w:line="288" w:lineRule="auto"/>
              <w:jc w:val="center"/>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hAnsi="宋体" w:cs="宋体"/>
                <w:color w:val="auto"/>
                <w:szCs w:val="24"/>
                <w:lang w:val="en-US" w:eastAsia="zh-CN"/>
              </w:rPr>
              <w:t>3</w:t>
            </w:r>
          </w:p>
        </w:tc>
        <w:tc>
          <w:tcPr>
            <w:tcW w:w="1932" w:type="dxa"/>
            <w:vAlign w:val="center"/>
          </w:tcPr>
          <w:p w14:paraId="17F0480A">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联合体投标</w:t>
            </w:r>
          </w:p>
        </w:tc>
        <w:tc>
          <w:tcPr>
            <w:tcW w:w="6735" w:type="dxa"/>
            <w:vAlign w:val="center"/>
          </w:tcPr>
          <w:p w14:paraId="24CF545C">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sym w:font="Wingdings" w:char="00FE"/>
            </w:r>
            <w:r>
              <w:rPr>
                <w:rFonts w:hint="eastAsia" w:ascii="宋体" w:hAnsi="宋体" w:eastAsia="宋体" w:cs="宋体"/>
                <w:color w:val="auto"/>
                <w:szCs w:val="24"/>
                <w:lang w:val="en-US" w:eastAsia="zh-CN"/>
              </w:rPr>
              <w:t xml:space="preserve">不接受   </w:t>
            </w:r>
            <w:sdt>
              <w:sdtPr>
                <w:rPr>
                  <w:rFonts w:hint="eastAsia" w:ascii="宋体" w:hAnsi="宋体" w:eastAsia="宋体" w:cs="宋体"/>
                  <w:color w:val="auto"/>
                  <w:szCs w:val="24"/>
                  <w:lang w:val="en-US" w:eastAsia="zh-CN"/>
                </w:rPr>
                <w:id w:val="1073164831"/>
                <w15:appearance w15:val="hidden"/>
                <w14:checkbox>
                  <w14:checked w14:val="0"/>
                  <w14:checkedState w14:val="0052" w14:font="Wingdings 2"/>
                  <w14:uncheckedState w14:val="2610" w14:font="MS Gothic"/>
                </w14:checkbox>
              </w:sdtPr>
              <w:sdtEndPr>
                <w:rPr>
                  <w:rFonts w:hint="eastAsia" w:ascii="宋体" w:hAnsi="宋体" w:eastAsia="宋体" w:cs="宋体"/>
                  <w:color w:val="auto"/>
                  <w:szCs w:val="24"/>
                  <w:lang w:val="en-US" w:eastAsia="zh-CN"/>
                </w:rPr>
              </w:sdtEndPr>
              <w:sdtContent>
                <w:r>
                  <w:rPr>
                    <w:rFonts w:hint="eastAsia" w:ascii="宋体" w:hAnsi="宋体" w:eastAsia="宋体" w:cs="宋体"/>
                    <w:color w:val="auto"/>
                    <w:szCs w:val="24"/>
                    <w:lang w:val="en-US" w:eastAsia="zh-CN"/>
                  </w:rPr>
                  <w:t>☐</w:t>
                </w:r>
              </w:sdtContent>
            </w:sdt>
            <w:r>
              <w:rPr>
                <w:rFonts w:hint="eastAsia" w:ascii="宋体" w:hAnsi="宋体" w:eastAsia="宋体" w:cs="宋体"/>
                <w:color w:val="auto"/>
                <w:szCs w:val="24"/>
                <w:lang w:val="en-US" w:eastAsia="zh-CN"/>
              </w:rPr>
              <w:t>接受</w:t>
            </w:r>
          </w:p>
        </w:tc>
      </w:tr>
      <w:tr w14:paraId="3069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51" w:type="dxa"/>
            <w:vAlign w:val="center"/>
          </w:tcPr>
          <w:p w14:paraId="7EC94EF1">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1</w:t>
            </w:r>
            <w:r>
              <w:rPr>
                <w:rFonts w:hint="eastAsia" w:hAnsi="宋体" w:cs="宋体"/>
                <w:color w:val="auto"/>
                <w:szCs w:val="24"/>
                <w:lang w:val="en-US" w:eastAsia="zh-CN"/>
              </w:rPr>
              <w:t>4</w:t>
            </w:r>
          </w:p>
        </w:tc>
        <w:tc>
          <w:tcPr>
            <w:tcW w:w="1932" w:type="dxa"/>
            <w:vAlign w:val="center"/>
          </w:tcPr>
          <w:p w14:paraId="14A94F2D">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现场勘查、标前答疑会</w:t>
            </w:r>
          </w:p>
        </w:tc>
        <w:tc>
          <w:tcPr>
            <w:tcW w:w="6735" w:type="dxa"/>
            <w:vAlign w:val="center"/>
          </w:tcPr>
          <w:p w14:paraId="21F3E2B9">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sym w:font="Wingdings" w:char="00FE"/>
            </w:r>
            <w:r>
              <w:rPr>
                <w:rFonts w:hint="eastAsia" w:ascii="宋体" w:hAnsi="宋体" w:eastAsia="宋体" w:cs="宋体"/>
                <w:color w:val="auto"/>
                <w:szCs w:val="24"/>
                <w:lang w:val="en-US" w:eastAsia="zh-CN"/>
              </w:rPr>
              <w:t xml:space="preserve">不组织   </w:t>
            </w:r>
            <w:sdt>
              <w:sdtPr>
                <w:rPr>
                  <w:rFonts w:hint="eastAsia" w:ascii="宋体" w:hAnsi="宋体" w:eastAsia="宋体" w:cs="宋体"/>
                  <w:color w:val="auto"/>
                  <w:szCs w:val="24"/>
                  <w:lang w:val="en-US" w:eastAsia="zh-CN"/>
                </w:rPr>
                <w:id w:val="345065148"/>
                <w14:checkbox>
                  <w14:checked w14:val="0"/>
                  <w14:checkedState w14:val="0052" w14:font="Wingdings 2"/>
                  <w14:uncheckedState w14:val="2610" w14:font="MS Gothic"/>
                </w14:checkbox>
              </w:sdtPr>
              <w:sdtEndPr>
                <w:rPr>
                  <w:rFonts w:hint="eastAsia" w:ascii="宋体" w:hAnsi="宋体" w:eastAsia="宋体" w:cs="宋体"/>
                  <w:color w:val="auto"/>
                  <w:szCs w:val="24"/>
                  <w:lang w:val="en-US" w:eastAsia="zh-CN"/>
                </w:rPr>
              </w:sdtEndPr>
              <w:sdtContent>
                <w:r>
                  <w:rPr>
                    <w:rFonts w:hint="eastAsia" w:ascii="宋体" w:hAnsi="宋体" w:eastAsia="宋体" w:cs="宋体"/>
                    <w:color w:val="auto"/>
                    <w:szCs w:val="24"/>
                    <w:lang w:val="en-US" w:eastAsia="zh-CN"/>
                  </w:rPr>
                  <w:t>☐</w:t>
                </w:r>
              </w:sdtContent>
            </w:sdt>
            <w:r>
              <w:rPr>
                <w:rFonts w:hint="eastAsia" w:ascii="宋体" w:hAnsi="宋体" w:eastAsia="宋体" w:cs="宋体"/>
                <w:color w:val="auto"/>
                <w:szCs w:val="24"/>
                <w:lang w:val="en-US" w:eastAsia="zh-CN"/>
              </w:rPr>
              <w:t>组织</w:t>
            </w:r>
          </w:p>
          <w:p w14:paraId="6417B45B">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投标人可自行安排勘察现场，由此产生的费用、不良后果、相关责任均由投标人自行承担。</w:t>
            </w:r>
          </w:p>
        </w:tc>
      </w:tr>
      <w:tr w14:paraId="30DAE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Align w:val="center"/>
          </w:tcPr>
          <w:p w14:paraId="412E0763">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1</w:t>
            </w:r>
            <w:r>
              <w:rPr>
                <w:rFonts w:hint="eastAsia" w:hAnsi="宋体" w:cs="宋体"/>
                <w:color w:val="auto"/>
                <w:szCs w:val="24"/>
                <w:lang w:val="en-US" w:eastAsia="zh-CN"/>
              </w:rPr>
              <w:t>5</w:t>
            </w:r>
          </w:p>
        </w:tc>
        <w:tc>
          <w:tcPr>
            <w:tcW w:w="1932" w:type="dxa"/>
            <w:vAlign w:val="center"/>
          </w:tcPr>
          <w:p w14:paraId="19432F19">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投标人对招标文件提出质疑的时间</w:t>
            </w:r>
          </w:p>
        </w:tc>
        <w:tc>
          <w:tcPr>
            <w:tcW w:w="6735" w:type="dxa"/>
            <w:vAlign w:val="center"/>
          </w:tcPr>
          <w:p w14:paraId="3DA4BB72">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投标人已依法获取其可质疑的招标文件的，可以对该文件提出质疑。对招标文件提出质疑的，应当在获取招标文件或者招标文件公告期限届满之日起7个工作日内提出，逾期提出的无效。</w:t>
            </w:r>
          </w:p>
        </w:tc>
      </w:tr>
      <w:tr w14:paraId="4EDB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Align w:val="center"/>
          </w:tcPr>
          <w:p w14:paraId="51116606">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1</w:t>
            </w:r>
            <w:r>
              <w:rPr>
                <w:rFonts w:hint="eastAsia" w:hAnsi="宋体" w:cs="宋体"/>
                <w:color w:val="auto"/>
                <w:szCs w:val="24"/>
                <w:lang w:val="en-US" w:eastAsia="zh-CN"/>
              </w:rPr>
              <w:t>6</w:t>
            </w:r>
          </w:p>
        </w:tc>
        <w:tc>
          <w:tcPr>
            <w:tcW w:w="1932" w:type="dxa"/>
            <w:vAlign w:val="center"/>
          </w:tcPr>
          <w:p w14:paraId="79EA8C38">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构成招标文件的其他文件</w:t>
            </w:r>
          </w:p>
        </w:tc>
        <w:tc>
          <w:tcPr>
            <w:tcW w:w="6735" w:type="dxa"/>
            <w:vAlign w:val="center"/>
          </w:tcPr>
          <w:p w14:paraId="7E9EA38A">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招标文件的澄清、修改书及有关补充通知均为招标文件的有效组成部分。</w:t>
            </w:r>
          </w:p>
          <w:p w14:paraId="004E8F22">
            <w:pPr>
              <w:spacing w:line="288" w:lineRule="auto"/>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注意事项：投标人应随时留意可能发布的变更公告，当澄清或修改的内容影响投标文件编制时，将在全国公共资源交易中心平台（陕西省）上同步发布答疑文件，此时投标人应从“项目流程·〉答疑文件下载”下载最新发布的答疑文件后缀为（*.SXSCF），并使用该文件重新编制电子投标文件后缀为（*.SXSTF），使用旧版电子招标文件或旧版答疑文件制作的电子投标文件，系统将拒绝接收。</w:t>
            </w:r>
          </w:p>
        </w:tc>
      </w:tr>
      <w:tr w14:paraId="2599F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51" w:type="dxa"/>
            <w:vAlign w:val="center"/>
          </w:tcPr>
          <w:p w14:paraId="270DF655">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1</w:t>
            </w:r>
            <w:r>
              <w:rPr>
                <w:rFonts w:hint="eastAsia" w:hAnsi="宋体" w:cs="宋体"/>
                <w:color w:val="auto"/>
                <w:szCs w:val="24"/>
                <w:lang w:val="en-US" w:eastAsia="zh-CN"/>
              </w:rPr>
              <w:t>7</w:t>
            </w:r>
          </w:p>
        </w:tc>
        <w:tc>
          <w:tcPr>
            <w:tcW w:w="1932" w:type="dxa"/>
            <w:vAlign w:val="center"/>
          </w:tcPr>
          <w:p w14:paraId="5148AE0B">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 xml:space="preserve">投标保证金 </w:t>
            </w:r>
          </w:p>
        </w:tc>
        <w:tc>
          <w:tcPr>
            <w:tcW w:w="6735" w:type="dxa"/>
            <w:vAlign w:val="center"/>
          </w:tcPr>
          <w:p w14:paraId="711CE82D">
            <w:pPr>
              <w:spacing w:line="288" w:lineRule="auto"/>
              <w:jc w:val="left"/>
              <w:rPr>
                <w:rFonts w:hint="eastAsia" w:ascii="宋体" w:hAnsi="宋体" w:eastAsia="宋体" w:cs="宋体"/>
                <w:color w:val="auto"/>
                <w:szCs w:val="24"/>
              </w:rPr>
            </w:pPr>
            <w:sdt>
              <w:sdtPr>
                <w:rPr>
                  <w:rFonts w:hint="eastAsia" w:ascii="宋体" w:hAnsi="宋体" w:eastAsia="宋体" w:cs="宋体"/>
                  <w:color w:val="auto"/>
                  <w:szCs w:val="24"/>
                </w:rPr>
                <w:id w:val="-1673558908"/>
                <w14:checkbox>
                  <w14:checked w14:val="0"/>
                  <w14:checkedState w14:val="0052" w14:font="Wingdings 2"/>
                  <w14:uncheckedState w14:val="2610" w14:font="MS Gothic"/>
                </w14:checkbox>
              </w:sdtPr>
              <w:sdtEndPr>
                <w:rPr>
                  <w:rFonts w:hint="eastAsia" w:ascii="宋体" w:hAnsi="宋体" w:eastAsia="宋体" w:cs="宋体"/>
                  <w:color w:val="auto"/>
                  <w:szCs w:val="24"/>
                </w:rPr>
              </w:sdtEndPr>
              <w:sdtContent>
                <w:r>
                  <w:rPr>
                    <w:rFonts w:hint="eastAsia" w:ascii="宋体" w:hAnsi="宋体" w:eastAsia="宋体" w:cs="宋体"/>
                    <w:color w:val="auto"/>
                    <w:szCs w:val="24"/>
                  </w:rPr>
                  <w:t>☐</w:t>
                </w:r>
              </w:sdtContent>
            </w:sdt>
            <w:r>
              <w:rPr>
                <w:rFonts w:hint="eastAsia" w:ascii="宋体" w:hAnsi="宋体" w:eastAsia="宋体" w:cs="宋体"/>
                <w:color w:val="auto"/>
                <w:szCs w:val="24"/>
              </w:rPr>
              <w:t xml:space="preserve">不要求  </w:t>
            </w:r>
            <w:r>
              <w:rPr>
                <w:rFonts w:hint="eastAsia" w:ascii="宋体" w:hAnsi="宋体" w:eastAsia="宋体" w:cs="宋体"/>
                <w:color w:val="auto"/>
                <w:szCs w:val="24"/>
              </w:rPr>
              <w:sym w:font="Wingdings" w:char="00FE"/>
            </w:r>
            <w:r>
              <w:rPr>
                <w:rFonts w:hint="eastAsia" w:ascii="宋体" w:hAnsi="宋体" w:eastAsia="宋体" w:cs="宋体"/>
                <w:color w:val="auto"/>
                <w:szCs w:val="24"/>
              </w:rPr>
              <w:t>要求</w:t>
            </w:r>
          </w:p>
          <w:p w14:paraId="45A40A11">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 xml:space="preserve">本项目以投标信用承诺书代替投标保证金。（根据“榆交易 </w:t>
            </w:r>
          </w:p>
          <w:p w14:paraId="7C855B94">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 xml:space="preserve">函【2021】19号”文件要求，投标信用(保证金）承诺书须由 </w:t>
            </w:r>
          </w:p>
          <w:p w14:paraId="31437BE8">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 xml:space="preserve">投标单位自行在“信用中国（陕西榆林）”网站注册并根据项 </w:t>
            </w:r>
          </w:p>
          <w:p w14:paraId="7AB11D45">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 xml:space="preserve">目自行承诺。 </w:t>
            </w:r>
          </w:p>
        </w:tc>
      </w:tr>
      <w:tr w14:paraId="7148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51" w:type="dxa"/>
            <w:vAlign w:val="center"/>
          </w:tcPr>
          <w:p w14:paraId="293B1E6D">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1</w:t>
            </w:r>
            <w:r>
              <w:rPr>
                <w:rFonts w:hint="eastAsia" w:hAnsi="宋体" w:cs="宋体"/>
                <w:color w:val="auto"/>
                <w:szCs w:val="24"/>
                <w:lang w:val="en-US" w:eastAsia="zh-CN"/>
              </w:rPr>
              <w:t>8</w:t>
            </w:r>
          </w:p>
        </w:tc>
        <w:tc>
          <w:tcPr>
            <w:tcW w:w="1932" w:type="dxa"/>
            <w:vAlign w:val="center"/>
          </w:tcPr>
          <w:p w14:paraId="642B21DD">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是否允许递交备选投标方案</w:t>
            </w:r>
          </w:p>
        </w:tc>
        <w:tc>
          <w:tcPr>
            <w:tcW w:w="6735" w:type="dxa"/>
            <w:vAlign w:val="center"/>
          </w:tcPr>
          <w:p w14:paraId="19949B10">
            <w:pPr>
              <w:tabs>
                <w:tab w:val="left" w:pos="7013"/>
              </w:tabs>
              <w:spacing w:line="288" w:lineRule="auto"/>
              <w:rPr>
                <w:rFonts w:hint="eastAsia" w:ascii="宋体" w:hAnsi="宋体" w:eastAsia="宋体" w:cs="宋体"/>
                <w:color w:val="auto"/>
                <w:szCs w:val="24"/>
              </w:rPr>
            </w:pPr>
            <w:r>
              <w:rPr>
                <w:rFonts w:hint="eastAsia" w:ascii="宋体" w:hAnsi="宋体" w:eastAsia="宋体" w:cs="宋体"/>
                <w:color w:val="auto"/>
                <w:szCs w:val="24"/>
              </w:rPr>
              <w:sym w:font="Wingdings" w:char="00FE"/>
            </w:r>
            <w:r>
              <w:rPr>
                <w:rFonts w:hint="eastAsia" w:ascii="宋体" w:hAnsi="宋体" w:eastAsia="宋体" w:cs="宋体"/>
                <w:color w:val="auto"/>
                <w:szCs w:val="24"/>
              </w:rPr>
              <w:t xml:space="preserve">不接受   </w:t>
            </w:r>
            <w:sdt>
              <w:sdtPr>
                <w:rPr>
                  <w:rFonts w:hint="eastAsia" w:ascii="宋体" w:hAnsi="宋体" w:eastAsia="宋体" w:cs="宋体"/>
                  <w:color w:val="auto"/>
                  <w:szCs w:val="24"/>
                </w:rPr>
                <w:id w:val="1362165626"/>
                <w14:checkbox>
                  <w14:checked w14:val="0"/>
                  <w14:checkedState w14:val="0052" w14:font="Wingdings 2"/>
                  <w14:uncheckedState w14:val="2610" w14:font="MS Gothic"/>
                </w14:checkbox>
              </w:sdtPr>
              <w:sdtEndPr>
                <w:rPr>
                  <w:rFonts w:hint="eastAsia" w:ascii="宋体" w:hAnsi="宋体" w:eastAsia="宋体" w:cs="宋体"/>
                  <w:color w:val="auto"/>
                  <w:szCs w:val="24"/>
                </w:rPr>
              </w:sdtEndPr>
              <w:sdtContent>
                <w:r>
                  <w:rPr>
                    <w:rFonts w:hint="eastAsia" w:ascii="宋体" w:hAnsi="宋体" w:eastAsia="宋体" w:cs="宋体"/>
                    <w:color w:val="auto"/>
                    <w:szCs w:val="24"/>
                  </w:rPr>
                  <w:t>☐</w:t>
                </w:r>
              </w:sdtContent>
            </w:sdt>
            <w:r>
              <w:rPr>
                <w:rFonts w:hint="eastAsia" w:ascii="宋体" w:hAnsi="宋体" w:eastAsia="宋体" w:cs="宋体"/>
                <w:color w:val="auto"/>
                <w:szCs w:val="24"/>
              </w:rPr>
              <w:t>接受</w:t>
            </w:r>
          </w:p>
          <w:p w14:paraId="49303CAF">
            <w:pPr>
              <w:tabs>
                <w:tab w:val="left" w:pos="7013"/>
              </w:tabs>
              <w:spacing w:line="288" w:lineRule="auto"/>
              <w:rPr>
                <w:rFonts w:hint="eastAsia" w:ascii="宋体" w:hAnsi="宋体" w:eastAsia="宋体" w:cs="宋体"/>
                <w:color w:val="auto"/>
                <w:szCs w:val="24"/>
              </w:rPr>
            </w:pPr>
            <w:r>
              <w:rPr>
                <w:rFonts w:hint="eastAsia" w:ascii="宋体" w:hAnsi="宋体" w:eastAsia="宋体" w:cs="宋体"/>
                <w:color w:val="auto"/>
                <w:szCs w:val="24"/>
              </w:rPr>
              <w:t>不接受备选投标方案和投标文件中出现多个报价。</w:t>
            </w:r>
          </w:p>
        </w:tc>
      </w:tr>
      <w:tr w14:paraId="0EFE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651" w:type="dxa"/>
            <w:vAlign w:val="center"/>
          </w:tcPr>
          <w:p w14:paraId="71FE4DA0">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1</w:t>
            </w:r>
            <w:r>
              <w:rPr>
                <w:rFonts w:hint="eastAsia" w:hAnsi="宋体" w:cs="宋体"/>
                <w:color w:val="auto"/>
                <w:szCs w:val="24"/>
                <w:lang w:val="en-US" w:eastAsia="zh-CN"/>
              </w:rPr>
              <w:t>9</w:t>
            </w:r>
          </w:p>
        </w:tc>
        <w:tc>
          <w:tcPr>
            <w:tcW w:w="1932" w:type="dxa"/>
            <w:vAlign w:val="center"/>
          </w:tcPr>
          <w:p w14:paraId="01F0E665">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电子投标文件签字和盖章要求</w:t>
            </w:r>
          </w:p>
        </w:tc>
        <w:tc>
          <w:tcPr>
            <w:tcW w:w="6735" w:type="dxa"/>
            <w:vAlign w:val="center"/>
          </w:tcPr>
          <w:p w14:paraId="4D41576F">
            <w:pPr>
              <w:tabs>
                <w:tab w:val="left" w:pos="7013"/>
              </w:tabs>
              <w:spacing w:line="288" w:lineRule="auto"/>
              <w:rPr>
                <w:rFonts w:hint="eastAsia" w:ascii="宋体" w:hAnsi="宋体" w:eastAsia="宋体" w:cs="宋体"/>
                <w:bCs/>
                <w:color w:val="auto"/>
                <w:szCs w:val="24"/>
              </w:rPr>
            </w:pPr>
            <w:r>
              <w:rPr>
                <w:rFonts w:hint="eastAsia" w:ascii="宋体" w:hAnsi="宋体" w:eastAsia="宋体" w:cs="宋体"/>
                <w:bCs/>
                <w:color w:val="auto"/>
                <w:szCs w:val="24"/>
              </w:rPr>
              <w:t>后缀为“*.SXSTF”格式的电子投标文件须逐页进行电子签章，法定代表人或其委托代理人签字和盖章以所发布的投标</w:t>
            </w:r>
            <w:r>
              <w:rPr>
                <w:rFonts w:hint="eastAsia" w:ascii="宋体" w:hAnsi="宋体" w:eastAsia="宋体" w:cs="宋体"/>
                <w:color w:val="auto"/>
                <w:szCs w:val="24"/>
              </w:rPr>
              <w:t>文件构成及格式</w:t>
            </w:r>
            <w:r>
              <w:rPr>
                <w:rFonts w:hint="eastAsia" w:ascii="宋体" w:hAnsi="宋体" w:eastAsia="宋体" w:cs="宋体"/>
                <w:bCs/>
                <w:color w:val="auto"/>
                <w:szCs w:val="24"/>
              </w:rPr>
              <w:t>为准。</w:t>
            </w:r>
          </w:p>
          <w:p w14:paraId="4C1E53F1">
            <w:pPr>
              <w:tabs>
                <w:tab w:val="left" w:pos="7013"/>
              </w:tabs>
              <w:spacing w:line="288" w:lineRule="auto"/>
              <w:rPr>
                <w:rFonts w:hint="eastAsia" w:ascii="宋体" w:hAnsi="宋体" w:eastAsia="宋体" w:cs="宋体"/>
                <w:b/>
                <w:color w:val="auto"/>
                <w:szCs w:val="24"/>
              </w:rPr>
            </w:pPr>
            <w:r>
              <w:rPr>
                <w:rFonts w:hint="eastAsia" w:ascii="宋体" w:hAnsi="宋体" w:eastAsia="宋体" w:cs="宋体"/>
                <w:b/>
                <w:color w:val="auto"/>
                <w:szCs w:val="24"/>
              </w:rPr>
              <w:t>注：</w:t>
            </w:r>
            <w:r>
              <w:rPr>
                <w:rFonts w:hint="eastAsia" w:ascii="宋体" w:hAnsi="宋体" w:eastAsia="宋体" w:cs="宋体"/>
                <w:bCs/>
                <w:color w:val="auto"/>
                <w:szCs w:val="24"/>
              </w:rPr>
              <w:t>未作格式要求的除外，擅自修改签字盖章指定格式将否决投标。</w:t>
            </w:r>
          </w:p>
        </w:tc>
      </w:tr>
      <w:tr w14:paraId="1DEF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51" w:type="dxa"/>
            <w:vAlign w:val="center"/>
          </w:tcPr>
          <w:p w14:paraId="756A6C86">
            <w:pPr>
              <w:spacing w:line="288" w:lineRule="auto"/>
              <w:jc w:val="center"/>
              <w:rPr>
                <w:rFonts w:hint="default" w:ascii="宋体" w:hAnsi="宋体" w:eastAsia="宋体" w:cs="宋体"/>
                <w:color w:val="auto"/>
                <w:szCs w:val="24"/>
                <w:lang w:val="en-US" w:eastAsia="zh-CN"/>
              </w:rPr>
            </w:pPr>
            <w:r>
              <w:rPr>
                <w:rFonts w:hint="eastAsia" w:hAnsi="宋体" w:cs="宋体"/>
                <w:color w:val="auto"/>
                <w:szCs w:val="24"/>
                <w:lang w:val="en-US" w:eastAsia="zh-CN"/>
              </w:rPr>
              <w:t>20</w:t>
            </w:r>
          </w:p>
        </w:tc>
        <w:tc>
          <w:tcPr>
            <w:tcW w:w="1932" w:type="dxa"/>
            <w:vAlign w:val="center"/>
          </w:tcPr>
          <w:p w14:paraId="64620129">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投标报价</w:t>
            </w:r>
          </w:p>
        </w:tc>
        <w:tc>
          <w:tcPr>
            <w:tcW w:w="6735" w:type="dxa"/>
            <w:vAlign w:val="center"/>
          </w:tcPr>
          <w:p w14:paraId="0D8BD716">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报价是投标人响应采购项目要求的全部工作内容的价格体现，包括完成采购项目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3C9D946F">
            <w:pPr>
              <w:spacing w:line="288" w:lineRule="auto"/>
              <w:rPr>
                <w:rFonts w:hint="eastAsia" w:ascii="宋体" w:hAnsi="宋体" w:eastAsia="宋体" w:cs="宋体"/>
                <w:color w:val="auto"/>
                <w:szCs w:val="24"/>
              </w:rPr>
            </w:pPr>
            <w:r>
              <w:rPr>
                <w:rFonts w:hint="eastAsia" w:ascii="宋体" w:hAnsi="宋体" w:eastAsia="宋体" w:cs="宋体"/>
                <w:color w:val="auto"/>
                <w:szCs w:val="24"/>
              </w:rPr>
              <w:t>1.投标人应严格按照第六章《投标文件构成及格式》中《开标一览表》中的相关要求填写分类报价及其他需要响应的内容。</w:t>
            </w:r>
          </w:p>
          <w:p w14:paraId="4F1B98F1">
            <w:pPr>
              <w:spacing w:line="288" w:lineRule="auto"/>
              <w:rPr>
                <w:rFonts w:hint="eastAsia" w:ascii="宋体" w:hAnsi="宋体" w:eastAsia="宋体" w:cs="宋体"/>
                <w:color w:val="auto"/>
                <w:szCs w:val="24"/>
              </w:rPr>
            </w:pPr>
            <w:r>
              <w:rPr>
                <w:rFonts w:hint="eastAsia" w:ascii="宋体" w:hAnsi="宋体" w:eastAsia="宋体" w:cs="宋体"/>
                <w:color w:val="auto"/>
                <w:szCs w:val="24"/>
              </w:rPr>
              <w:t>2.投标报价货币：人民币；单位：元。</w:t>
            </w:r>
          </w:p>
          <w:p w14:paraId="5E591C9B">
            <w:pPr>
              <w:spacing w:line="288" w:lineRule="auto"/>
              <w:rPr>
                <w:rFonts w:hint="eastAsia" w:ascii="宋体" w:hAnsi="宋体" w:eastAsia="宋体" w:cs="宋体"/>
                <w:color w:val="auto"/>
                <w:szCs w:val="24"/>
              </w:rPr>
            </w:pPr>
            <w:r>
              <w:rPr>
                <w:rFonts w:hint="eastAsia" w:ascii="宋体" w:hAnsi="宋体" w:eastAsia="宋体" w:cs="宋体"/>
                <w:color w:val="auto"/>
                <w:szCs w:val="24"/>
              </w:rPr>
              <w:t>3.投标报价只能提交唯一报价，并且在合同履行过程中是固定不变的，任何有选择的报价将不予接受，按无效投标处理。</w:t>
            </w:r>
          </w:p>
          <w:p w14:paraId="275ED856">
            <w:pPr>
              <w:spacing w:line="288" w:lineRule="auto"/>
              <w:rPr>
                <w:rFonts w:hint="eastAsia" w:ascii="宋体" w:hAnsi="宋体" w:eastAsia="宋体" w:cs="宋体"/>
                <w:color w:val="auto"/>
                <w:szCs w:val="24"/>
              </w:rPr>
            </w:pPr>
            <w:r>
              <w:rPr>
                <w:rFonts w:hint="eastAsia" w:ascii="宋体" w:hAnsi="宋体" w:eastAsia="宋体" w:cs="宋体"/>
                <w:color w:val="auto"/>
                <w:szCs w:val="24"/>
              </w:rPr>
              <w:t>4.投标报价应遵守《中华人民共和国价格法》，投标人不得以低于成本的报价参与投标。</w:t>
            </w:r>
          </w:p>
        </w:tc>
      </w:tr>
      <w:tr w14:paraId="0814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51" w:type="dxa"/>
            <w:vAlign w:val="center"/>
          </w:tcPr>
          <w:p w14:paraId="22990C9E">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1</w:t>
            </w:r>
          </w:p>
        </w:tc>
        <w:tc>
          <w:tcPr>
            <w:tcW w:w="1932" w:type="dxa"/>
            <w:vAlign w:val="center"/>
          </w:tcPr>
          <w:p w14:paraId="2C62BFB1">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最高限价</w:t>
            </w:r>
          </w:p>
        </w:tc>
        <w:tc>
          <w:tcPr>
            <w:tcW w:w="6735" w:type="dxa"/>
            <w:vAlign w:val="center"/>
          </w:tcPr>
          <w:p w14:paraId="1B560CB0">
            <w:pPr>
              <w:spacing w:line="288" w:lineRule="auto"/>
              <w:rPr>
                <w:rFonts w:hint="eastAsia" w:ascii="宋体" w:hAnsi="宋体" w:eastAsia="宋体" w:cs="宋体"/>
                <w:color w:val="auto"/>
                <w:szCs w:val="24"/>
              </w:rPr>
            </w:pPr>
            <w:sdt>
              <w:sdtPr>
                <w:rPr>
                  <w:rFonts w:hint="eastAsia" w:ascii="宋体" w:hAnsi="宋体" w:eastAsia="宋体" w:cs="宋体"/>
                  <w:color w:val="auto"/>
                  <w:szCs w:val="24"/>
                </w:rPr>
                <w:id w:val="-1669703242"/>
                <w14:checkbox>
                  <w14:checked w14:val="0"/>
                  <w14:checkedState w14:val="0052" w14:font="Wingdings 2"/>
                  <w14:uncheckedState w14:val="2610" w14:font="MS Gothic"/>
                </w14:checkbox>
              </w:sdtPr>
              <w:sdtEndPr>
                <w:rPr>
                  <w:rFonts w:hint="eastAsia" w:ascii="宋体" w:hAnsi="宋体" w:eastAsia="宋体" w:cs="宋体"/>
                  <w:color w:val="auto"/>
                  <w:szCs w:val="24"/>
                </w:rPr>
              </w:sdtEndPr>
              <w:sdtContent>
                <w:r>
                  <w:rPr>
                    <w:rFonts w:hint="eastAsia" w:ascii="宋体" w:hAnsi="宋体" w:eastAsia="宋体" w:cs="宋体"/>
                    <w:color w:val="auto"/>
                    <w:szCs w:val="24"/>
                  </w:rPr>
                  <w:t>☐</w:t>
                </w:r>
              </w:sdtContent>
            </w:sdt>
            <w:r>
              <w:rPr>
                <w:rFonts w:hint="eastAsia" w:ascii="宋体" w:hAnsi="宋体" w:eastAsia="宋体" w:cs="宋体"/>
                <w:color w:val="auto"/>
                <w:szCs w:val="24"/>
              </w:rPr>
              <w:t xml:space="preserve">无  </w:t>
            </w:r>
            <w:r>
              <w:rPr>
                <w:rFonts w:hint="eastAsia" w:ascii="宋体" w:hAnsi="宋体" w:eastAsia="宋体" w:cs="宋体"/>
                <w:color w:val="auto"/>
                <w:szCs w:val="24"/>
              </w:rPr>
              <w:sym w:font="Wingdings" w:char="00FE"/>
            </w:r>
            <w:r>
              <w:rPr>
                <w:rFonts w:hint="eastAsia" w:ascii="宋体" w:hAnsi="宋体" w:eastAsia="宋体" w:cs="宋体"/>
                <w:color w:val="auto"/>
                <w:szCs w:val="24"/>
              </w:rPr>
              <w:t>有</w:t>
            </w:r>
          </w:p>
          <w:p w14:paraId="50276982">
            <w:pPr>
              <w:spacing w:line="288" w:lineRule="auto"/>
              <w:rPr>
                <w:rFonts w:hint="eastAsia" w:ascii="宋体" w:hAnsi="宋体" w:eastAsia="宋体" w:cs="宋体"/>
                <w:b/>
                <w:bCs/>
                <w:color w:val="auto"/>
                <w:szCs w:val="24"/>
                <w:lang w:eastAsia="zh-CN"/>
              </w:rPr>
            </w:pPr>
            <w:bookmarkStart w:id="3" w:name="6449-1520584968142"/>
            <w:bookmarkEnd w:id="3"/>
            <w:r>
              <w:rPr>
                <w:rFonts w:hint="eastAsia" w:ascii="宋体" w:hAnsi="宋体" w:eastAsia="宋体" w:cs="宋体"/>
                <w:color w:val="auto"/>
                <w:szCs w:val="24"/>
              </w:rPr>
              <w:t>最高限价为人民币：</w:t>
            </w:r>
            <w:r>
              <w:rPr>
                <w:rFonts w:hint="eastAsia" w:hAnsi="宋体" w:cs="宋体"/>
                <w:b/>
                <w:bCs/>
                <w:color w:val="auto"/>
                <w:szCs w:val="24"/>
                <w:lang w:val="en-US" w:eastAsia="zh-CN"/>
              </w:rPr>
              <w:t>叁佰万元整</w:t>
            </w:r>
          </w:p>
          <w:p w14:paraId="2BEB9770">
            <w:pPr>
              <w:spacing w:line="288" w:lineRule="auto"/>
              <w:rPr>
                <w:rFonts w:hint="eastAsia" w:ascii="宋体" w:hAnsi="宋体" w:eastAsia="宋体" w:cs="宋体"/>
                <w:b/>
                <w:bCs/>
                <w:color w:val="auto"/>
                <w:szCs w:val="24"/>
              </w:rPr>
            </w:pPr>
            <w:r>
              <w:rPr>
                <w:rFonts w:hint="eastAsia" w:ascii="宋体" w:hAnsi="宋体" w:eastAsia="宋体" w:cs="宋体"/>
                <w:b/>
                <w:bCs/>
                <w:color w:val="auto"/>
                <w:szCs w:val="24"/>
              </w:rPr>
              <w:t>（¥</w:t>
            </w:r>
            <w:r>
              <w:rPr>
                <w:rFonts w:hint="eastAsia" w:ascii="宋体" w:hAnsi="宋体" w:eastAsia="宋体" w:cs="宋体"/>
                <w:b/>
                <w:bCs/>
                <w:color w:val="auto"/>
                <w:szCs w:val="24"/>
                <w:lang w:val="en-US" w:eastAsia="zh-CN"/>
              </w:rPr>
              <w:t>3000000.00</w:t>
            </w:r>
            <w:r>
              <w:rPr>
                <w:rFonts w:hint="eastAsia" w:ascii="宋体" w:hAnsi="宋体" w:eastAsia="宋体" w:cs="宋体"/>
                <w:b/>
                <w:bCs/>
                <w:color w:val="auto"/>
                <w:szCs w:val="24"/>
              </w:rPr>
              <w:t>元）</w:t>
            </w:r>
          </w:p>
          <w:p w14:paraId="66C5EFA8">
            <w:pPr>
              <w:spacing w:line="288" w:lineRule="auto"/>
              <w:rPr>
                <w:rFonts w:hint="eastAsia" w:ascii="宋体" w:hAnsi="宋体" w:eastAsia="宋体" w:cs="宋体"/>
                <w:b/>
                <w:color w:val="auto"/>
                <w:szCs w:val="24"/>
              </w:rPr>
            </w:pPr>
            <w:r>
              <w:rPr>
                <w:rFonts w:hint="eastAsia" w:ascii="宋体" w:hAnsi="宋体" w:eastAsia="宋体" w:cs="宋体"/>
                <w:b/>
                <w:bCs/>
                <w:color w:val="auto"/>
                <w:szCs w:val="24"/>
              </w:rPr>
              <w:t>注：</w:t>
            </w:r>
            <w:r>
              <w:rPr>
                <w:rFonts w:hint="eastAsia" w:ascii="宋体" w:hAnsi="宋体" w:eastAsia="宋体" w:cs="宋体"/>
                <w:color w:val="auto"/>
                <w:szCs w:val="24"/>
              </w:rPr>
              <w:t>投标人投标总报价高于最高限价者将被否决投标。</w:t>
            </w:r>
          </w:p>
        </w:tc>
      </w:tr>
      <w:tr w14:paraId="7372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1" w:type="dxa"/>
            <w:vAlign w:val="center"/>
          </w:tcPr>
          <w:p w14:paraId="68A95B6B">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2</w:t>
            </w:r>
          </w:p>
        </w:tc>
        <w:tc>
          <w:tcPr>
            <w:tcW w:w="1932" w:type="dxa"/>
            <w:vAlign w:val="center"/>
          </w:tcPr>
          <w:p w14:paraId="732B8AB4">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评审办法及标准</w:t>
            </w:r>
          </w:p>
        </w:tc>
        <w:tc>
          <w:tcPr>
            <w:tcW w:w="6735" w:type="dxa"/>
            <w:vAlign w:val="center"/>
          </w:tcPr>
          <w:p w14:paraId="742683FB">
            <w:pPr>
              <w:spacing w:line="288" w:lineRule="auto"/>
              <w:rPr>
                <w:rFonts w:hint="eastAsia" w:ascii="宋体" w:hAnsi="宋体" w:eastAsia="宋体" w:cs="宋体"/>
                <w:color w:val="auto"/>
                <w:szCs w:val="24"/>
              </w:rPr>
            </w:pPr>
            <w:r>
              <w:rPr>
                <w:rFonts w:hint="eastAsia" w:ascii="宋体" w:hAnsi="宋体" w:eastAsia="宋体" w:cs="宋体"/>
                <w:color w:val="auto"/>
                <w:szCs w:val="24"/>
              </w:rPr>
              <w:t>采用综合评分法；综合评分法，是指投标文件满足招标文件全部实质性要求，且按照评审因素的量化指标评审得分最高的投标人为中标候选人的评标方法。评审方法、评审标准、评审因素等内容详见招标文件第三章评审办法及标准。</w:t>
            </w:r>
          </w:p>
        </w:tc>
      </w:tr>
      <w:tr w14:paraId="5C8B7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651" w:type="dxa"/>
            <w:vAlign w:val="center"/>
          </w:tcPr>
          <w:p w14:paraId="365DF7B7">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3</w:t>
            </w:r>
          </w:p>
        </w:tc>
        <w:tc>
          <w:tcPr>
            <w:tcW w:w="1932" w:type="dxa"/>
            <w:vAlign w:val="center"/>
          </w:tcPr>
          <w:p w14:paraId="765FBE3A">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其它事项</w:t>
            </w:r>
          </w:p>
        </w:tc>
        <w:tc>
          <w:tcPr>
            <w:tcW w:w="6735" w:type="dxa"/>
            <w:vAlign w:val="center"/>
          </w:tcPr>
          <w:p w14:paraId="318AEACD">
            <w:pPr>
              <w:pStyle w:val="43"/>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本次采购项目、投标报价、评审和合同授予均以项目为单位，投标人必须就一个完整项目进行响应。中标人与采购人在成交通知书发出10日内签订合同，不及时签订视为自动放弃。非经采购人同意，本项目不允许中标后另行转包或者分包。中标人无正当理由不得放弃中标。因自身原因拒绝签订政府采购合同的或者未按合同约定进行履约的中标人不得参加对该项目重新开展的采购活动。</w:t>
            </w:r>
          </w:p>
        </w:tc>
      </w:tr>
      <w:tr w14:paraId="30E9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1" w:type="dxa"/>
            <w:vAlign w:val="center"/>
          </w:tcPr>
          <w:p w14:paraId="3ED34CD0">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4</w:t>
            </w:r>
          </w:p>
        </w:tc>
        <w:tc>
          <w:tcPr>
            <w:tcW w:w="1932" w:type="dxa"/>
            <w:vAlign w:val="center"/>
          </w:tcPr>
          <w:p w14:paraId="7E4EC2E5">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招标代理服务费</w:t>
            </w:r>
          </w:p>
        </w:tc>
        <w:tc>
          <w:tcPr>
            <w:tcW w:w="6735" w:type="dxa"/>
            <w:vAlign w:val="center"/>
          </w:tcPr>
          <w:p w14:paraId="6FB4A313">
            <w:pPr>
              <w:pStyle w:val="43"/>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1.按照国家发展计划委员会颁发的《招标代理服务收费管理暂行办法》（计价格[2002]1980号）的（货物类）有关规定执行。</w:t>
            </w:r>
          </w:p>
          <w:p w14:paraId="7C8E3CFD">
            <w:pPr>
              <w:pStyle w:val="43"/>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2.本项目招标代理费由</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rPr>
              <w:t>支付。</w:t>
            </w:r>
          </w:p>
          <w:p w14:paraId="3114B14C">
            <w:pPr>
              <w:pStyle w:val="43"/>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3.采购代理服务费按差额定率累进法计算：</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9"/>
              <w:gridCol w:w="1214"/>
              <w:gridCol w:w="1444"/>
              <w:gridCol w:w="1445"/>
            </w:tblGrid>
            <w:tr w14:paraId="7CD4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049" w:type="dxa"/>
                </w:tcPr>
                <w:p w14:paraId="0C9A2D09">
                  <w:pPr>
                    <w:spacing w:line="360" w:lineRule="auto"/>
                    <w:rPr>
                      <w:rFonts w:hint="eastAsia" w:ascii="宋体" w:hAnsi="宋体" w:eastAsia="宋体" w:cs="宋体"/>
                      <w:color w:val="auto"/>
                      <w:szCs w:val="24"/>
                    </w:rPr>
                  </w:pPr>
                  <w:r>
                    <w:rPr>
                      <w:rFonts w:hint="eastAsia" w:ascii="宋体" w:hAnsi="宋体" w:eastAsia="宋体" w:cs="宋体"/>
                      <w:color w:val="auto"/>
                      <w:szCs w:val="24"/>
                    </w:rPr>
                    <w:t>服务类型/费率/中标金额（万元）</w:t>
                  </w:r>
                </w:p>
              </w:tc>
              <w:tc>
                <w:tcPr>
                  <w:tcW w:w="1214" w:type="dxa"/>
                  <w:vAlign w:val="center"/>
                </w:tcPr>
                <w:p w14:paraId="794D7698">
                  <w:pPr>
                    <w:spacing w:line="360" w:lineRule="auto"/>
                    <w:rPr>
                      <w:rFonts w:hint="eastAsia" w:ascii="宋体" w:hAnsi="宋体" w:eastAsia="宋体" w:cs="宋体"/>
                      <w:color w:val="auto"/>
                      <w:szCs w:val="24"/>
                    </w:rPr>
                  </w:pPr>
                  <w:r>
                    <w:rPr>
                      <w:rFonts w:hint="eastAsia" w:ascii="宋体" w:hAnsi="宋体" w:eastAsia="宋体" w:cs="宋体"/>
                      <w:color w:val="auto"/>
                      <w:szCs w:val="24"/>
                    </w:rPr>
                    <w:t>货物招标</w:t>
                  </w:r>
                </w:p>
              </w:tc>
              <w:tc>
                <w:tcPr>
                  <w:tcW w:w="1444" w:type="dxa"/>
                  <w:vAlign w:val="center"/>
                </w:tcPr>
                <w:p w14:paraId="461F6158">
                  <w:pPr>
                    <w:spacing w:line="360" w:lineRule="auto"/>
                    <w:rPr>
                      <w:rFonts w:hint="eastAsia" w:ascii="宋体" w:hAnsi="宋体" w:eastAsia="宋体" w:cs="宋体"/>
                      <w:color w:val="auto"/>
                      <w:szCs w:val="24"/>
                    </w:rPr>
                  </w:pPr>
                  <w:r>
                    <w:rPr>
                      <w:rFonts w:hint="eastAsia" w:ascii="宋体" w:hAnsi="宋体" w:eastAsia="宋体" w:cs="宋体"/>
                      <w:color w:val="auto"/>
                      <w:szCs w:val="24"/>
                    </w:rPr>
                    <w:t>服务招标</w:t>
                  </w:r>
                </w:p>
              </w:tc>
              <w:tc>
                <w:tcPr>
                  <w:tcW w:w="1445" w:type="dxa"/>
                  <w:vAlign w:val="center"/>
                </w:tcPr>
                <w:p w14:paraId="2F09AE0A">
                  <w:pPr>
                    <w:spacing w:line="360" w:lineRule="auto"/>
                    <w:rPr>
                      <w:rFonts w:hint="eastAsia" w:ascii="宋体" w:hAnsi="宋体" w:eastAsia="宋体" w:cs="宋体"/>
                      <w:color w:val="auto"/>
                      <w:szCs w:val="24"/>
                    </w:rPr>
                  </w:pPr>
                  <w:r>
                    <w:rPr>
                      <w:rFonts w:hint="eastAsia" w:ascii="宋体" w:hAnsi="宋体" w:eastAsia="宋体" w:cs="宋体"/>
                      <w:color w:val="auto"/>
                      <w:szCs w:val="24"/>
                    </w:rPr>
                    <w:t>工程招标</w:t>
                  </w:r>
                </w:p>
              </w:tc>
            </w:tr>
            <w:tr w14:paraId="729A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049" w:type="dxa"/>
                </w:tcPr>
                <w:p w14:paraId="05D3A1EA">
                  <w:pPr>
                    <w:spacing w:line="360" w:lineRule="auto"/>
                    <w:rPr>
                      <w:rFonts w:hint="eastAsia" w:ascii="宋体" w:hAnsi="宋体" w:eastAsia="宋体" w:cs="宋体"/>
                      <w:color w:val="auto"/>
                      <w:szCs w:val="24"/>
                    </w:rPr>
                  </w:pPr>
                  <w:r>
                    <w:rPr>
                      <w:rFonts w:hint="eastAsia" w:ascii="宋体" w:hAnsi="宋体" w:eastAsia="宋体" w:cs="宋体"/>
                      <w:color w:val="auto"/>
                      <w:szCs w:val="24"/>
                    </w:rPr>
                    <w:t>100以下</w:t>
                  </w:r>
                </w:p>
              </w:tc>
              <w:tc>
                <w:tcPr>
                  <w:tcW w:w="1214" w:type="dxa"/>
                </w:tcPr>
                <w:p w14:paraId="327FD8B3">
                  <w:pPr>
                    <w:spacing w:line="360" w:lineRule="auto"/>
                    <w:rPr>
                      <w:rFonts w:hint="eastAsia" w:ascii="宋体" w:hAnsi="宋体" w:eastAsia="宋体" w:cs="宋体"/>
                      <w:color w:val="auto"/>
                      <w:szCs w:val="24"/>
                    </w:rPr>
                  </w:pPr>
                  <w:r>
                    <w:rPr>
                      <w:rFonts w:hint="eastAsia" w:ascii="宋体" w:hAnsi="宋体" w:eastAsia="宋体" w:cs="宋体"/>
                      <w:color w:val="auto"/>
                      <w:szCs w:val="24"/>
                    </w:rPr>
                    <w:t>1.5%</w:t>
                  </w:r>
                </w:p>
              </w:tc>
              <w:tc>
                <w:tcPr>
                  <w:tcW w:w="1444" w:type="dxa"/>
                </w:tcPr>
                <w:p w14:paraId="05D2857B">
                  <w:pPr>
                    <w:spacing w:line="360" w:lineRule="auto"/>
                    <w:rPr>
                      <w:rFonts w:hint="eastAsia" w:ascii="宋体" w:hAnsi="宋体" w:eastAsia="宋体" w:cs="宋体"/>
                      <w:color w:val="auto"/>
                      <w:szCs w:val="24"/>
                    </w:rPr>
                  </w:pPr>
                  <w:r>
                    <w:rPr>
                      <w:rFonts w:hint="eastAsia" w:ascii="宋体" w:hAnsi="宋体" w:eastAsia="宋体" w:cs="宋体"/>
                      <w:color w:val="auto"/>
                      <w:szCs w:val="24"/>
                    </w:rPr>
                    <w:t>1.5%</w:t>
                  </w:r>
                </w:p>
              </w:tc>
              <w:tc>
                <w:tcPr>
                  <w:tcW w:w="1445" w:type="dxa"/>
                </w:tcPr>
                <w:p w14:paraId="4855805F">
                  <w:pPr>
                    <w:spacing w:line="360" w:lineRule="auto"/>
                    <w:rPr>
                      <w:rFonts w:hint="eastAsia" w:ascii="宋体" w:hAnsi="宋体" w:eastAsia="宋体" w:cs="宋体"/>
                      <w:color w:val="auto"/>
                      <w:szCs w:val="24"/>
                    </w:rPr>
                  </w:pPr>
                  <w:r>
                    <w:rPr>
                      <w:rFonts w:hint="eastAsia" w:ascii="宋体" w:hAnsi="宋体" w:eastAsia="宋体" w:cs="宋体"/>
                      <w:color w:val="auto"/>
                      <w:szCs w:val="24"/>
                    </w:rPr>
                    <w:t>1.0%</w:t>
                  </w:r>
                </w:p>
              </w:tc>
            </w:tr>
            <w:tr w14:paraId="4E62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tcPr>
                <w:p w14:paraId="7359EEE3">
                  <w:pPr>
                    <w:spacing w:line="360" w:lineRule="auto"/>
                    <w:rPr>
                      <w:rFonts w:hint="eastAsia" w:ascii="宋体" w:hAnsi="宋体" w:eastAsia="宋体" w:cs="宋体"/>
                      <w:color w:val="auto"/>
                      <w:szCs w:val="24"/>
                    </w:rPr>
                  </w:pPr>
                  <w:r>
                    <w:rPr>
                      <w:rFonts w:hint="eastAsia" w:ascii="宋体" w:hAnsi="宋体" w:eastAsia="宋体" w:cs="宋体"/>
                      <w:color w:val="auto"/>
                      <w:szCs w:val="24"/>
                    </w:rPr>
                    <w:t>100-500</w:t>
                  </w:r>
                </w:p>
              </w:tc>
              <w:tc>
                <w:tcPr>
                  <w:tcW w:w="1214" w:type="dxa"/>
                </w:tcPr>
                <w:p w14:paraId="6FF55A4A">
                  <w:pPr>
                    <w:spacing w:line="360" w:lineRule="auto"/>
                    <w:rPr>
                      <w:rFonts w:hint="eastAsia" w:ascii="宋体" w:hAnsi="宋体" w:eastAsia="宋体" w:cs="宋体"/>
                      <w:color w:val="auto"/>
                      <w:szCs w:val="24"/>
                    </w:rPr>
                  </w:pPr>
                  <w:r>
                    <w:rPr>
                      <w:rFonts w:hint="eastAsia" w:ascii="宋体" w:hAnsi="宋体" w:eastAsia="宋体" w:cs="宋体"/>
                      <w:color w:val="auto"/>
                      <w:szCs w:val="24"/>
                    </w:rPr>
                    <w:t>1.1%</w:t>
                  </w:r>
                </w:p>
              </w:tc>
              <w:tc>
                <w:tcPr>
                  <w:tcW w:w="1444" w:type="dxa"/>
                </w:tcPr>
                <w:p w14:paraId="444EA10D">
                  <w:pPr>
                    <w:spacing w:line="360" w:lineRule="auto"/>
                    <w:rPr>
                      <w:rFonts w:hint="eastAsia" w:ascii="宋体" w:hAnsi="宋体" w:eastAsia="宋体" w:cs="宋体"/>
                      <w:color w:val="auto"/>
                      <w:szCs w:val="24"/>
                    </w:rPr>
                  </w:pPr>
                  <w:r>
                    <w:rPr>
                      <w:rFonts w:hint="eastAsia" w:ascii="宋体" w:hAnsi="宋体" w:eastAsia="宋体" w:cs="宋体"/>
                      <w:color w:val="auto"/>
                      <w:szCs w:val="24"/>
                    </w:rPr>
                    <w:t>0.8%</w:t>
                  </w:r>
                </w:p>
              </w:tc>
              <w:tc>
                <w:tcPr>
                  <w:tcW w:w="1445" w:type="dxa"/>
                </w:tcPr>
                <w:p w14:paraId="694F38F3">
                  <w:pPr>
                    <w:spacing w:line="360" w:lineRule="auto"/>
                    <w:rPr>
                      <w:rFonts w:hint="eastAsia" w:ascii="宋体" w:hAnsi="宋体" w:eastAsia="宋体" w:cs="宋体"/>
                      <w:color w:val="auto"/>
                      <w:szCs w:val="24"/>
                    </w:rPr>
                  </w:pPr>
                  <w:r>
                    <w:rPr>
                      <w:rFonts w:hint="eastAsia" w:ascii="宋体" w:hAnsi="宋体" w:eastAsia="宋体" w:cs="宋体"/>
                      <w:color w:val="auto"/>
                      <w:szCs w:val="24"/>
                    </w:rPr>
                    <w:t>0.7%</w:t>
                  </w:r>
                </w:p>
              </w:tc>
            </w:tr>
            <w:tr w14:paraId="2D89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tcPr>
                <w:p w14:paraId="4A5A5EAB">
                  <w:pPr>
                    <w:spacing w:line="360" w:lineRule="auto"/>
                    <w:rPr>
                      <w:rFonts w:hint="eastAsia" w:ascii="宋体" w:hAnsi="宋体" w:eastAsia="宋体" w:cs="宋体"/>
                      <w:color w:val="auto"/>
                      <w:szCs w:val="24"/>
                    </w:rPr>
                  </w:pPr>
                  <w:r>
                    <w:rPr>
                      <w:rFonts w:hint="eastAsia" w:ascii="宋体" w:hAnsi="宋体" w:eastAsia="宋体" w:cs="宋体"/>
                      <w:color w:val="auto"/>
                      <w:szCs w:val="24"/>
                    </w:rPr>
                    <w:t>500-1000</w:t>
                  </w:r>
                </w:p>
              </w:tc>
              <w:tc>
                <w:tcPr>
                  <w:tcW w:w="1214" w:type="dxa"/>
                </w:tcPr>
                <w:p w14:paraId="70DF3ED2">
                  <w:pPr>
                    <w:spacing w:line="360" w:lineRule="auto"/>
                    <w:rPr>
                      <w:rFonts w:hint="eastAsia" w:ascii="宋体" w:hAnsi="宋体" w:eastAsia="宋体" w:cs="宋体"/>
                      <w:color w:val="auto"/>
                      <w:szCs w:val="24"/>
                    </w:rPr>
                  </w:pPr>
                  <w:r>
                    <w:rPr>
                      <w:rFonts w:hint="eastAsia" w:ascii="宋体" w:hAnsi="宋体" w:eastAsia="宋体" w:cs="宋体"/>
                      <w:color w:val="auto"/>
                      <w:szCs w:val="24"/>
                    </w:rPr>
                    <w:t>0.8%</w:t>
                  </w:r>
                </w:p>
              </w:tc>
              <w:tc>
                <w:tcPr>
                  <w:tcW w:w="1444" w:type="dxa"/>
                </w:tcPr>
                <w:p w14:paraId="1794F7ED">
                  <w:pPr>
                    <w:spacing w:line="360" w:lineRule="auto"/>
                    <w:rPr>
                      <w:rFonts w:hint="eastAsia" w:ascii="宋体" w:hAnsi="宋体" w:eastAsia="宋体" w:cs="宋体"/>
                      <w:color w:val="auto"/>
                      <w:szCs w:val="24"/>
                    </w:rPr>
                  </w:pPr>
                  <w:r>
                    <w:rPr>
                      <w:rFonts w:hint="eastAsia" w:ascii="宋体" w:hAnsi="宋体" w:eastAsia="宋体" w:cs="宋体"/>
                      <w:color w:val="auto"/>
                      <w:szCs w:val="24"/>
                    </w:rPr>
                    <w:t>0.45%</w:t>
                  </w:r>
                </w:p>
              </w:tc>
              <w:tc>
                <w:tcPr>
                  <w:tcW w:w="1445" w:type="dxa"/>
                </w:tcPr>
                <w:p w14:paraId="2C61E0C2">
                  <w:pPr>
                    <w:spacing w:line="360" w:lineRule="auto"/>
                    <w:rPr>
                      <w:rFonts w:hint="eastAsia" w:ascii="宋体" w:hAnsi="宋体" w:eastAsia="宋体" w:cs="宋体"/>
                      <w:color w:val="auto"/>
                      <w:szCs w:val="24"/>
                    </w:rPr>
                  </w:pPr>
                  <w:r>
                    <w:rPr>
                      <w:rFonts w:hint="eastAsia" w:ascii="宋体" w:hAnsi="宋体" w:eastAsia="宋体" w:cs="宋体"/>
                      <w:color w:val="auto"/>
                      <w:szCs w:val="24"/>
                    </w:rPr>
                    <w:t>0.55%</w:t>
                  </w:r>
                </w:p>
              </w:tc>
            </w:tr>
            <w:tr w14:paraId="6A3DC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tcPr>
                <w:p w14:paraId="2E116F6A">
                  <w:pPr>
                    <w:spacing w:line="360" w:lineRule="auto"/>
                    <w:rPr>
                      <w:rFonts w:hint="eastAsia" w:ascii="宋体" w:hAnsi="宋体" w:eastAsia="宋体" w:cs="宋体"/>
                      <w:color w:val="auto"/>
                      <w:szCs w:val="24"/>
                    </w:rPr>
                  </w:pPr>
                  <w:r>
                    <w:rPr>
                      <w:rFonts w:hint="eastAsia" w:ascii="宋体" w:hAnsi="宋体" w:eastAsia="宋体" w:cs="宋体"/>
                      <w:color w:val="auto"/>
                      <w:szCs w:val="24"/>
                    </w:rPr>
                    <w:t>1000-5000</w:t>
                  </w:r>
                </w:p>
              </w:tc>
              <w:tc>
                <w:tcPr>
                  <w:tcW w:w="1214" w:type="dxa"/>
                </w:tcPr>
                <w:p w14:paraId="06C218A5">
                  <w:pPr>
                    <w:spacing w:line="360" w:lineRule="auto"/>
                    <w:rPr>
                      <w:rFonts w:hint="eastAsia" w:ascii="宋体" w:hAnsi="宋体" w:eastAsia="宋体" w:cs="宋体"/>
                      <w:color w:val="auto"/>
                      <w:szCs w:val="24"/>
                    </w:rPr>
                  </w:pPr>
                  <w:r>
                    <w:rPr>
                      <w:rFonts w:hint="eastAsia" w:ascii="宋体" w:hAnsi="宋体" w:eastAsia="宋体" w:cs="宋体"/>
                      <w:color w:val="auto"/>
                      <w:szCs w:val="24"/>
                    </w:rPr>
                    <w:t>0.5%</w:t>
                  </w:r>
                </w:p>
              </w:tc>
              <w:tc>
                <w:tcPr>
                  <w:tcW w:w="1444" w:type="dxa"/>
                </w:tcPr>
                <w:p w14:paraId="2C4C3F49">
                  <w:pPr>
                    <w:spacing w:line="360" w:lineRule="auto"/>
                    <w:rPr>
                      <w:rFonts w:hint="eastAsia" w:ascii="宋体" w:hAnsi="宋体" w:eastAsia="宋体" w:cs="宋体"/>
                      <w:color w:val="auto"/>
                      <w:szCs w:val="24"/>
                    </w:rPr>
                  </w:pPr>
                  <w:r>
                    <w:rPr>
                      <w:rFonts w:hint="eastAsia" w:ascii="宋体" w:hAnsi="宋体" w:eastAsia="宋体" w:cs="宋体"/>
                      <w:color w:val="auto"/>
                      <w:szCs w:val="24"/>
                    </w:rPr>
                    <w:t>0.25%</w:t>
                  </w:r>
                </w:p>
              </w:tc>
              <w:tc>
                <w:tcPr>
                  <w:tcW w:w="1445" w:type="dxa"/>
                </w:tcPr>
                <w:p w14:paraId="163F037D">
                  <w:pPr>
                    <w:spacing w:line="360" w:lineRule="auto"/>
                    <w:rPr>
                      <w:rFonts w:hint="eastAsia" w:ascii="宋体" w:hAnsi="宋体" w:eastAsia="宋体" w:cs="宋体"/>
                      <w:color w:val="auto"/>
                      <w:szCs w:val="24"/>
                    </w:rPr>
                  </w:pPr>
                  <w:r>
                    <w:rPr>
                      <w:rFonts w:hint="eastAsia" w:ascii="宋体" w:hAnsi="宋体" w:eastAsia="宋体" w:cs="宋体"/>
                      <w:color w:val="auto"/>
                      <w:szCs w:val="24"/>
                    </w:rPr>
                    <w:t>0.35%</w:t>
                  </w:r>
                </w:p>
              </w:tc>
            </w:tr>
            <w:tr w14:paraId="11E5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tcPr>
                <w:p w14:paraId="0CB3C5C7">
                  <w:pPr>
                    <w:spacing w:line="360" w:lineRule="auto"/>
                    <w:rPr>
                      <w:rFonts w:hint="eastAsia" w:ascii="宋体" w:hAnsi="宋体" w:eastAsia="宋体" w:cs="宋体"/>
                      <w:color w:val="auto"/>
                      <w:szCs w:val="24"/>
                    </w:rPr>
                  </w:pPr>
                  <w:r>
                    <w:rPr>
                      <w:rFonts w:hint="eastAsia" w:ascii="宋体" w:hAnsi="宋体" w:eastAsia="宋体" w:cs="宋体"/>
                      <w:color w:val="auto"/>
                      <w:szCs w:val="24"/>
                    </w:rPr>
                    <w:t>5000-10000</w:t>
                  </w:r>
                </w:p>
              </w:tc>
              <w:tc>
                <w:tcPr>
                  <w:tcW w:w="1214" w:type="dxa"/>
                </w:tcPr>
                <w:p w14:paraId="31248AB8">
                  <w:pPr>
                    <w:spacing w:line="360" w:lineRule="auto"/>
                    <w:rPr>
                      <w:rFonts w:hint="eastAsia" w:ascii="宋体" w:hAnsi="宋体" w:eastAsia="宋体" w:cs="宋体"/>
                      <w:color w:val="auto"/>
                      <w:szCs w:val="24"/>
                    </w:rPr>
                  </w:pPr>
                  <w:r>
                    <w:rPr>
                      <w:rFonts w:hint="eastAsia" w:ascii="宋体" w:hAnsi="宋体" w:eastAsia="宋体" w:cs="宋体"/>
                      <w:color w:val="auto"/>
                      <w:szCs w:val="24"/>
                    </w:rPr>
                    <w:t>0.25%</w:t>
                  </w:r>
                </w:p>
              </w:tc>
              <w:tc>
                <w:tcPr>
                  <w:tcW w:w="1444" w:type="dxa"/>
                </w:tcPr>
                <w:p w14:paraId="76D840FF">
                  <w:pPr>
                    <w:spacing w:line="360" w:lineRule="auto"/>
                    <w:rPr>
                      <w:rFonts w:hint="eastAsia" w:ascii="宋体" w:hAnsi="宋体" w:eastAsia="宋体" w:cs="宋体"/>
                      <w:color w:val="auto"/>
                      <w:szCs w:val="24"/>
                    </w:rPr>
                  </w:pPr>
                  <w:r>
                    <w:rPr>
                      <w:rFonts w:hint="eastAsia" w:ascii="宋体" w:hAnsi="宋体" w:eastAsia="宋体" w:cs="宋体"/>
                      <w:color w:val="auto"/>
                      <w:szCs w:val="24"/>
                    </w:rPr>
                    <w:t>0.1%</w:t>
                  </w:r>
                </w:p>
              </w:tc>
              <w:tc>
                <w:tcPr>
                  <w:tcW w:w="1445" w:type="dxa"/>
                </w:tcPr>
                <w:p w14:paraId="7DFA3ADC">
                  <w:pPr>
                    <w:spacing w:line="360" w:lineRule="auto"/>
                    <w:rPr>
                      <w:rFonts w:hint="eastAsia" w:ascii="宋体" w:hAnsi="宋体" w:eastAsia="宋体" w:cs="宋体"/>
                      <w:color w:val="auto"/>
                      <w:szCs w:val="24"/>
                    </w:rPr>
                  </w:pPr>
                  <w:r>
                    <w:rPr>
                      <w:rFonts w:hint="eastAsia" w:ascii="宋体" w:hAnsi="宋体" w:eastAsia="宋体" w:cs="宋体"/>
                      <w:color w:val="auto"/>
                      <w:szCs w:val="24"/>
                    </w:rPr>
                    <w:t>0.2%</w:t>
                  </w:r>
                </w:p>
              </w:tc>
            </w:tr>
            <w:tr w14:paraId="35CC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2049" w:type="dxa"/>
                </w:tcPr>
                <w:p w14:paraId="3C0C4477">
                  <w:pPr>
                    <w:spacing w:line="360" w:lineRule="auto"/>
                    <w:rPr>
                      <w:rFonts w:hint="eastAsia" w:ascii="宋体" w:hAnsi="宋体" w:eastAsia="宋体" w:cs="宋体"/>
                      <w:color w:val="auto"/>
                      <w:szCs w:val="24"/>
                    </w:rPr>
                  </w:pPr>
                  <w:r>
                    <w:rPr>
                      <w:rFonts w:hint="eastAsia" w:ascii="宋体" w:hAnsi="宋体" w:eastAsia="宋体" w:cs="宋体"/>
                      <w:color w:val="auto"/>
                      <w:szCs w:val="24"/>
                    </w:rPr>
                    <w:t>10000-100000</w:t>
                  </w:r>
                </w:p>
              </w:tc>
              <w:tc>
                <w:tcPr>
                  <w:tcW w:w="1214" w:type="dxa"/>
                </w:tcPr>
                <w:p w14:paraId="6A60A7F8">
                  <w:pPr>
                    <w:spacing w:line="360" w:lineRule="auto"/>
                    <w:rPr>
                      <w:rFonts w:hint="eastAsia" w:ascii="宋体" w:hAnsi="宋体" w:eastAsia="宋体" w:cs="宋体"/>
                      <w:color w:val="auto"/>
                      <w:szCs w:val="24"/>
                    </w:rPr>
                  </w:pPr>
                  <w:r>
                    <w:rPr>
                      <w:rFonts w:hint="eastAsia" w:ascii="宋体" w:hAnsi="宋体" w:eastAsia="宋体" w:cs="宋体"/>
                      <w:color w:val="auto"/>
                      <w:szCs w:val="24"/>
                    </w:rPr>
                    <w:t>0.05%</w:t>
                  </w:r>
                </w:p>
              </w:tc>
              <w:tc>
                <w:tcPr>
                  <w:tcW w:w="1444" w:type="dxa"/>
                </w:tcPr>
                <w:p w14:paraId="5DAD6C46">
                  <w:pPr>
                    <w:spacing w:line="360" w:lineRule="auto"/>
                    <w:rPr>
                      <w:rFonts w:hint="eastAsia" w:ascii="宋体" w:hAnsi="宋体" w:eastAsia="宋体" w:cs="宋体"/>
                      <w:color w:val="auto"/>
                      <w:szCs w:val="24"/>
                    </w:rPr>
                  </w:pPr>
                  <w:r>
                    <w:rPr>
                      <w:rFonts w:hint="eastAsia" w:ascii="宋体" w:hAnsi="宋体" w:eastAsia="宋体" w:cs="宋体"/>
                      <w:color w:val="auto"/>
                      <w:szCs w:val="24"/>
                    </w:rPr>
                    <w:t>0.05%</w:t>
                  </w:r>
                </w:p>
              </w:tc>
              <w:tc>
                <w:tcPr>
                  <w:tcW w:w="1445" w:type="dxa"/>
                </w:tcPr>
                <w:p w14:paraId="4C821AE1">
                  <w:pPr>
                    <w:spacing w:line="360" w:lineRule="auto"/>
                    <w:rPr>
                      <w:rFonts w:hint="eastAsia" w:ascii="宋体" w:hAnsi="宋体" w:eastAsia="宋体" w:cs="宋体"/>
                      <w:color w:val="auto"/>
                      <w:szCs w:val="24"/>
                    </w:rPr>
                  </w:pPr>
                  <w:r>
                    <w:rPr>
                      <w:rFonts w:hint="eastAsia" w:ascii="宋体" w:hAnsi="宋体" w:eastAsia="宋体" w:cs="宋体"/>
                      <w:color w:val="auto"/>
                      <w:szCs w:val="24"/>
                    </w:rPr>
                    <w:t>0.05%</w:t>
                  </w:r>
                </w:p>
              </w:tc>
            </w:tr>
            <w:tr w14:paraId="42404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2049" w:type="dxa"/>
                </w:tcPr>
                <w:p w14:paraId="4B66D09D">
                  <w:pPr>
                    <w:spacing w:line="360" w:lineRule="auto"/>
                    <w:rPr>
                      <w:rFonts w:hint="eastAsia" w:ascii="宋体" w:hAnsi="宋体" w:eastAsia="宋体" w:cs="宋体"/>
                      <w:color w:val="auto"/>
                      <w:szCs w:val="24"/>
                    </w:rPr>
                  </w:pPr>
                  <w:r>
                    <w:rPr>
                      <w:rFonts w:hint="eastAsia" w:ascii="宋体" w:hAnsi="宋体" w:eastAsia="宋体" w:cs="宋体"/>
                      <w:color w:val="auto"/>
                      <w:szCs w:val="24"/>
                    </w:rPr>
                    <w:t>1000000以上</w:t>
                  </w:r>
                </w:p>
              </w:tc>
              <w:tc>
                <w:tcPr>
                  <w:tcW w:w="1214" w:type="dxa"/>
                </w:tcPr>
                <w:p w14:paraId="39B67CB6">
                  <w:pPr>
                    <w:spacing w:line="360" w:lineRule="auto"/>
                    <w:rPr>
                      <w:rFonts w:hint="eastAsia" w:ascii="宋体" w:hAnsi="宋体" w:eastAsia="宋体" w:cs="宋体"/>
                      <w:color w:val="auto"/>
                      <w:szCs w:val="24"/>
                    </w:rPr>
                  </w:pPr>
                  <w:r>
                    <w:rPr>
                      <w:rFonts w:hint="eastAsia" w:ascii="宋体" w:hAnsi="宋体" w:eastAsia="宋体" w:cs="宋体"/>
                      <w:color w:val="auto"/>
                      <w:szCs w:val="24"/>
                    </w:rPr>
                    <w:t>0.01%</w:t>
                  </w:r>
                </w:p>
              </w:tc>
              <w:tc>
                <w:tcPr>
                  <w:tcW w:w="1444" w:type="dxa"/>
                </w:tcPr>
                <w:p w14:paraId="6FAA59F3">
                  <w:pPr>
                    <w:spacing w:line="360" w:lineRule="auto"/>
                    <w:rPr>
                      <w:rFonts w:hint="eastAsia" w:ascii="宋体" w:hAnsi="宋体" w:eastAsia="宋体" w:cs="宋体"/>
                      <w:color w:val="auto"/>
                      <w:szCs w:val="24"/>
                    </w:rPr>
                  </w:pPr>
                  <w:r>
                    <w:rPr>
                      <w:rFonts w:hint="eastAsia" w:ascii="宋体" w:hAnsi="宋体" w:eastAsia="宋体" w:cs="宋体"/>
                      <w:color w:val="auto"/>
                      <w:szCs w:val="24"/>
                    </w:rPr>
                    <w:t>0.01%</w:t>
                  </w:r>
                </w:p>
              </w:tc>
              <w:tc>
                <w:tcPr>
                  <w:tcW w:w="1445" w:type="dxa"/>
                </w:tcPr>
                <w:p w14:paraId="1C00340D">
                  <w:pPr>
                    <w:spacing w:line="360" w:lineRule="auto"/>
                    <w:rPr>
                      <w:rFonts w:hint="eastAsia" w:ascii="宋体" w:hAnsi="宋体" w:eastAsia="宋体" w:cs="宋体"/>
                      <w:color w:val="auto"/>
                      <w:szCs w:val="24"/>
                    </w:rPr>
                  </w:pPr>
                  <w:r>
                    <w:rPr>
                      <w:rFonts w:hint="eastAsia" w:ascii="宋体" w:hAnsi="宋体" w:eastAsia="宋体" w:cs="宋体"/>
                      <w:color w:val="auto"/>
                      <w:szCs w:val="24"/>
                    </w:rPr>
                    <w:t>0.01%</w:t>
                  </w:r>
                </w:p>
              </w:tc>
            </w:tr>
          </w:tbl>
          <w:p w14:paraId="2B42076A">
            <w:pPr>
              <w:pStyle w:val="9"/>
              <w:rPr>
                <w:rFonts w:hint="eastAsia" w:ascii="宋体" w:hAnsi="宋体" w:eastAsia="宋体" w:cs="宋体"/>
                <w:color w:val="auto"/>
                <w:sz w:val="24"/>
                <w:szCs w:val="24"/>
              </w:rPr>
            </w:pPr>
          </w:p>
        </w:tc>
      </w:tr>
      <w:tr w14:paraId="3779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51" w:type="dxa"/>
            <w:vAlign w:val="center"/>
          </w:tcPr>
          <w:p w14:paraId="14703280">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5</w:t>
            </w:r>
          </w:p>
        </w:tc>
        <w:tc>
          <w:tcPr>
            <w:tcW w:w="1932" w:type="dxa"/>
            <w:vAlign w:val="center"/>
          </w:tcPr>
          <w:p w14:paraId="2A0A1381">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不见面开标说明</w:t>
            </w:r>
          </w:p>
        </w:tc>
        <w:tc>
          <w:tcPr>
            <w:tcW w:w="6735" w:type="dxa"/>
            <w:vAlign w:val="center"/>
          </w:tcPr>
          <w:p w14:paraId="736225EB">
            <w:pPr>
              <w:spacing w:line="288" w:lineRule="auto"/>
              <w:rPr>
                <w:rFonts w:hint="eastAsia" w:ascii="宋体" w:hAnsi="宋体" w:eastAsia="宋体" w:cs="宋体"/>
                <w:color w:val="auto"/>
                <w:szCs w:val="24"/>
              </w:rPr>
            </w:pPr>
            <w:r>
              <w:rPr>
                <w:rFonts w:hint="eastAsia" w:ascii="宋体" w:hAnsi="宋体" w:eastAsia="宋体" w:cs="宋体"/>
                <w:color w:val="auto"/>
                <w:szCs w:val="24"/>
              </w:rPr>
              <w:t>该项目将采取“不见面”开标的形式，投标人无须到达开标现场，即可在网上直接参与投标活动。相关注意事项如下：</w:t>
            </w:r>
          </w:p>
          <w:p w14:paraId="53C73A41">
            <w:pPr>
              <w:spacing w:line="288" w:lineRule="auto"/>
              <w:rPr>
                <w:rFonts w:hint="eastAsia" w:ascii="宋体" w:hAnsi="宋体" w:eastAsia="宋体" w:cs="宋体"/>
                <w:color w:val="auto"/>
                <w:szCs w:val="24"/>
              </w:rPr>
            </w:pPr>
            <w:r>
              <w:rPr>
                <w:rFonts w:hint="eastAsia" w:ascii="宋体" w:hAnsi="宋体" w:eastAsia="宋体" w:cs="宋体"/>
                <w:color w:val="auto"/>
                <w:szCs w:val="24"/>
              </w:rPr>
              <w:t>1.开标当日，请各投标人在投标截止时间前至少提前半小时登录“不见面”开标系统登录方式有以下几种：</w:t>
            </w:r>
          </w:p>
          <w:p w14:paraId="2AEF6929">
            <w:pPr>
              <w:spacing w:line="288" w:lineRule="auto"/>
              <w:ind w:firstLine="240" w:firstLineChars="100"/>
              <w:rPr>
                <w:rStyle w:val="34"/>
                <w:rFonts w:hint="eastAsia" w:ascii="宋体" w:hAnsi="宋体" w:eastAsia="宋体" w:cs="宋体"/>
                <w:color w:val="auto"/>
                <w:szCs w:val="24"/>
              </w:rPr>
            </w:pPr>
            <w:r>
              <w:rPr>
                <w:rFonts w:hint="eastAsia" w:ascii="宋体" w:hAnsi="宋体" w:eastAsia="宋体" w:cs="宋体"/>
                <w:color w:val="auto"/>
                <w:szCs w:val="24"/>
              </w:rPr>
              <w:t>1）IE浏览器输入网址：</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HYPERLINK "http://219.145.120.168:8082/BidOpeningHall/bidhall/default/login），" </w:instrText>
            </w:r>
            <w:r>
              <w:rPr>
                <w:rFonts w:hint="eastAsia" w:ascii="宋体" w:hAnsi="宋体" w:eastAsia="宋体" w:cs="宋体"/>
                <w:color w:val="auto"/>
                <w:szCs w:val="24"/>
              </w:rPr>
              <w:fldChar w:fldCharType="separate"/>
            </w:r>
            <w:r>
              <w:rPr>
                <w:rStyle w:val="34"/>
                <w:rFonts w:hint="eastAsia" w:ascii="宋体" w:hAnsi="宋体" w:eastAsia="宋体" w:cs="宋体"/>
                <w:color w:val="auto"/>
                <w:szCs w:val="24"/>
              </w:rPr>
              <w:t>http://111.20.184.126:8081/BidOpeningHallC</w:t>
            </w:r>
          </w:p>
          <w:p w14:paraId="211AF73A">
            <w:pPr>
              <w:spacing w:line="288" w:lineRule="auto"/>
              <w:rPr>
                <w:rFonts w:hint="eastAsia" w:ascii="宋体" w:hAnsi="宋体" w:eastAsia="宋体" w:cs="宋体"/>
                <w:color w:val="auto"/>
                <w:szCs w:val="24"/>
              </w:rPr>
            </w:pPr>
            <w:r>
              <w:rPr>
                <w:rStyle w:val="34"/>
                <w:rFonts w:hint="eastAsia" w:ascii="宋体" w:hAnsi="宋体" w:eastAsia="宋体" w:cs="宋体"/>
                <w:color w:val="auto"/>
                <w:szCs w:val="24"/>
              </w:rPr>
              <w:t>S/bidhall/default/login</w:t>
            </w:r>
            <w:r>
              <w:rPr>
                <w:rStyle w:val="34"/>
                <w:rFonts w:hint="eastAsia" w:ascii="宋体" w:hAnsi="宋体" w:eastAsia="宋体" w:cs="宋体"/>
                <w:color w:val="auto"/>
                <w:szCs w:val="24"/>
                <w:u w:val="none"/>
              </w:rPr>
              <w:t>；</w:t>
            </w:r>
            <w:r>
              <w:rPr>
                <w:rFonts w:hint="eastAsia" w:ascii="宋体" w:hAnsi="宋体" w:eastAsia="宋体" w:cs="宋体"/>
                <w:color w:val="auto"/>
                <w:szCs w:val="24"/>
              </w:rPr>
              <w:fldChar w:fldCharType="end"/>
            </w:r>
          </w:p>
          <w:p w14:paraId="4D48DBD9">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2）在【全国公共资源交易平台（陕西省·榆林市）】网站首页点击不见面开标模块进入；</w:t>
            </w:r>
          </w:p>
          <w:p w14:paraId="4F8A10BB">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3）在【全国公共资源交易平台（陕西省）】网站首页点击不见面开标模块选择榆林市进入。</w:t>
            </w:r>
          </w:p>
          <w:p w14:paraId="48C5C4AF">
            <w:pPr>
              <w:spacing w:line="288" w:lineRule="auto"/>
              <w:rPr>
                <w:rFonts w:hint="eastAsia" w:ascii="宋体" w:hAnsi="宋体" w:eastAsia="宋体" w:cs="宋体"/>
                <w:b/>
                <w:bCs/>
                <w:color w:val="auto"/>
                <w:szCs w:val="24"/>
              </w:rPr>
            </w:pPr>
            <w:r>
              <w:rPr>
                <w:rFonts w:hint="eastAsia" w:ascii="宋体" w:hAnsi="宋体" w:eastAsia="宋体" w:cs="宋体"/>
                <w:b/>
                <w:bCs/>
                <w:color w:val="auto"/>
                <w:szCs w:val="24"/>
              </w:rPr>
              <w:t>注：</w:t>
            </w:r>
            <w:r>
              <w:rPr>
                <w:rFonts w:hint="eastAsia" w:ascii="宋体" w:hAnsi="宋体" w:eastAsia="宋体" w:cs="宋体"/>
                <w:color w:val="auto"/>
                <w:szCs w:val="24"/>
              </w:rPr>
              <w:t>登录不见面开标系统请选择IE11浏览器</w:t>
            </w:r>
          </w:p>
          <w:p w14:paraId="43ABD672">
            <w:pPr>
              <w:spacing w:line="288" w:lineRule="auto"/>
              <w:rPr>
                <w:rFonts w:hint="eastAsia" w:ascii="宋体" w:hAnsi="宋体" w:eastAsia="宋体" w:cs="宋体"/>
                <w:color w:val="auto"/>
                <w:szCs w:val="24"/>
              </w:rPr>
            </w:pPr>
            <w:r>
              <w:rPr>
                <w:rFonts w:hint="eastAsia" w:ascii="宋体" w:hAnsi="宋体" w:eastAsia="宋体" w:cs="宋体"/>
                <w:color w:val="auto"/>
                <w:szCs w:val="24"/>
              </w:rPr>
              <w:t>2.投标人应按要求及时签到</w:t>
            </w:r>
            <w:r>
              <w:rPr>
                <w:rFonts w:hint="eastAsia" w:ascii="宋体" w:hAnsi="宋体" w:eastAsia="宋体" w:cs="宋体"/>
                <w:b/>
                <w:bCs/>
                <w:color w:val="auto"/>
                <w:szCs w:val="24"/>
              </w:rPr>
              <w:t>（签到时间为投标截止时间前1小时内，如果未签到将视为放弃投标资格）</w:t>
            </w:r>
            <w:r>
              <w:rPr>
                <w:rFonts w:hint="eastAsia" w:ascii="宋体" w:hAnsi="宋体" w:eastAsia="宋体" w:cs="宋体"/>
                <w:color w:val="auto"/>
                <w:szCs w:val="24"/>
              </w:rPr>
              <w:t>，评审过程中，评标委员会可能会就某些问题要求投标人进行在线澄清，请各投标人提前熟悉有关不见面询标操作手册，以便在需要评标委员会询标时第一时间进行答复，如拒不对或未按评标委员会要求进行有关澄清答复说明的评标委员会可以否决其投标；请各投标人保持在线直到评审结束。</w:t>
            </w:r>
          </w:p>
          <w:p w14:paraId="395AF223">
            <w:pPr>
              <w:spacing w:line="288" w:lineRule="auto"/>
              <w:rPr>
                <w:rFonts w:hint="eastAsia" w:ascii="宋体" w:hAnsi="宋体" w:eastAsia="宋体" w:cs="宋体"/>
                <w:color w:val="auto"/>
                <w:szCs w:val="24"/>
              </w:rPr>
            </w:pPr>
            <w:r>
              <w:rPr>
                <w:rFonts w:hint="eastAsia" w:ascii="宋体" w:hAnsi="宋体" w:eastAsia="宋体" w:cs="宋体"/>
                <w:color w:val="auto"/>
                <w:szCs w:val="24"/>
              </w:rPr>
              <w:t>3.不见面开标过程中，投标人在收到工作人员“开始解密”指令后，请及时使用CA对电子投标文件进行解密。解密时所用CA应与加密投标文件时所用CA相同。</w:t>
            </w:r>
          </w:p>
          <w:p w14:paraId="10BB26D9">
            <w:pPr>
              <w:spacing w:line="288" w:lineRule="auto"/>
              <w:rPr>
                <w:rFonts w:hint="eastAsia" w:ascii="宋体" w:hAnsi="宋体" w:eastAsia="宋体" w:cs="宋体"/>
                <w:color w:val="auto"/>
                <w:szCs w:val="24"/>
              </w:rPr>
            </w:pPr>
            <w:r>
              <w:rPr>
                <w:rFonts w:hint="eastAsia" w:ascii="宋体" w:hAnsi="宋体" w:eastAsia="宋体" w:cs="宋体"/>
                <w:b/>
                <w:bCs/>
                <w:color w:val="auto"/>
                <w:szCs w:val="24"/>
              </w:rPr>
              <w:t>注：</w:t>
            </w:r>
            <w:r>
              <w:rPr>
                <w:rFonts w:hint="eastAsia" w:ascii="宋体" w:hAnsi="宋体" w:eastAsia="宋体" w:cs="宋体"/>
                <w:color w:val="auto"/>
                <w:szCs w:val="24"/>
              </w:rPr>
              <w:t>系统默认解密时间为30分钟，在解密时间内投标人全部解密完成后，可提前进入开标下一阶段。</w:t>
            </w:r>
          </w:p>
          <w:p w14:paraId="47DF5072">
            <w:pPr>
              <w:spacing w:line="288" w:lineRule="auto"/>
              <w:rPr>
                <w:rFonts w:hint="eastAsia" w:ascii="宋体" w:hAnsi="宋体" w:eastAsia="宋体" w:cs="宋体"/>
                <w:color w:val="auto"/>
                <w:szCs w:val="24"/>
              </w:rPr>
            </w:pPr>
            <w:r>
              <w:rPr>
                <w:rFonts w:hint="eastAsia" w:ascii="宋体" w:hAnsi="宋体" w:eastAsia="宋体" w:cs="宋体"/>
                <w:color w:val="auto"/>
                <w:szCs w:val="24"/>
              </w:rPr>
              <w:t>4.相关技术问题，请咨询软件开发商：</w:t>
            </w:r>
          </w:p>
          <w:p w14:paraId="7DFF6D81">
            <w:pPr>
              <w:spacing w:line="288" w:lineRule="auto"/>
              <w:rPr>
                <w:rFonts w:hint="eastAsia" w:ascii="宋体" w:hAnsi="宋体" w:eastAsia="宋体" w:cs="宋体"/>
                <w:color w:val="auto"/>
                <w:szCs w:val="24"/>
              </w:rPr>
            </w:pPr>
            <w:r>
              <w:rPr>
                <w:rFonts w:hint="eastAsia" w:ascii="宋体" w:hAnsi="宋体" w:eastAsia="宋体" w:cs="宋体"/>
                <w:color w:val="auto"/>
                <w:szCs w:val="24"/>
              </w:rPr>
              <w:t>（1）技术支持热线：400-998-0000/400-928-0095</w:t>
            </w:r>
          </w:p>
          <w:p w14:paraId="32A2079C">
            <w:pPr>
              <w:spacing w:line="288" w:lineRule="auto"/>
              <w:rPr>
                <w:rFonts w:hint="eastAsia" w:ascii="宋体" w:hAnsi="宋体" w:eastAsia="宋体" w:cs="宋体"/>
                <w:color w:val="auto"/>
                <w:szCs w:val="24"/>
              </w:rPr>
            </w:pPr>
            <w:r>
              <w:rPr>
                <w:rFonts w:hint="eastAsia" w:ascii="宋体" w:hAnsi="宋体" w:eastAsia="宋体" w:cs="宋体"/>
                <w:color w:val="auto"/>
                <w:szCs w:val="24"/>
              </w:rPr>
              <w:t>5.榆林不见面开标系统操作手册下载方式：登录【全国公共资源交易平台（陕西省·榆林市）】网站首页选择【服务指南】-【下载专区】-点击【</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\t "http://yl.sxggzyjy.cn/fwzn/_blank" \o "榆林不见面开标系统操作手册（投标人）" </w:instrText>
            </w:r>
            <w:r>
              <w:rPr>
                <w:rFonts w:hint="eastAsia" w:ascii="宋体" w:hAnsi="宋体" w:eastAsia="宋体" w:cs="宋体"/>
                <w:color w:val="auto"/>
              </w:rPr>
              <w:fldChar w:fldCharType="separate"/>
            </w:r>
            <w:r>
              <w:rPr>
                <w:rFonts w:hint="eastAsia" w:ascii="宋体" w:hAnsi="宋体" w:eastAsia="宋体" w:cs="宋体"/>
                <w:color w:val="auto"/>
                <w:szCs w:val="24"/>
              </w:rPr>
              <w:t>榆林不见面开标系统操作手册（投标人）</w:t>
            </w:r>
            <w:r>
              <w:rPr>
                <w:rFonts w:hint="eastAsia" w:ascii="宋体" w:hAnsi="宋体" w:eastAsia="宋体" w:cs="宋体"/>
                <w:color w:val="auto"/>
                <w:szCs w:val="24"/>
              </w:rPr>
              <w:fldChar w:fldCharType="end"/>
            </w:r>
            <w:r>
              <w:rPr>
                <w:rFonts w:hint="eastAsia" w:ascii="宋体" w:hAnsi="宋体" w:eastAsia="宋体" w:cs="宋体"/>
                <w:color w:val="auto"/>
                <w:szCs w:val="24"/>
              </w:rPr>
              <w:t>】进行下载。</w:t>
            </w:r>
          </w:p>
        </w:tc>
      </w:tr>
      <w:tr w14:paraId="648D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51" w:type="dxa"/>
            <w:vAlign w:val="center"/>
          </w:tcPr>
          <w:p w14:paraId="72433C29">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6</w:t>
            </w:r>
          </w:p>
        </w:tc>
        <w:tc>
          <w:tcPr>
            <w:tcW w:w="1932" w:type="dxa"/>
            <w:vAlign w:val="center"/>
          </w:tcPr>
          <w:p w14:paraId="4F397CEA">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关于自主上报信用承诺书说明</w:t>
            </w:r>
          </w:p>
        </w:tc>
        <w:tc>
          <w:tcPr>
            <w:tcW w:w="6735" w:type="dxa"/>
            <w:vAlign w:val="center"/>
          </w:tcPr>
          <w:p w14:paraId="709A98F4">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1.所有投标人按照《榆林市公共资源交易中心关于公共资源交易信用承诺网上公示的通知》（榆交易函〔2021〕19号）文件要求，于投标文件提交截止时间前自主申报信用承诺。自主上报信用承诺书具体事项如下：</w:t>
            </w:r>
          </w:p>
          <w:p w14:paraId="2DB7F569">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1.承诺事项名称：选择《榆林市政府采购工程类/货物类/服务类项目供应商信用承诺书》；承诺事由：填写项目名称+项目编号；承诺附件：按招标文件第六章第三部分给定的格式填写，需上传至承诺附件；附件承诺有效期为1年，承诺起始时间为提交投标文件截止之日。</w:t>
            </w:r>
          </w:p>
          <w:p w14:paraId="1EFB3932">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2.承诺事项名称：选择《投标信用承诺》；承诺事由：填写项目名称+项目编号；承诺附件：按招标文件第六章第三部分给定的格式填写，需上传至承诺附件；承诺有效期同投标有效期，承诺起始时间为提交投标文件截止之日。</w:t>
            </w:r>
          </w:p>
          <w:p w14:paraId="64BF0A6E">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3.承诺事项名称：选择《投标人信用承诺》；承诺事由：填写项目名称+项目编号；承诺附件：按招标文件第六章第三部分给定的格式填写，需上传至承诺附件；承诺有效期同投标有效期，承诺起始时间为提交投标文件截止之日。</w:t>
            </w:r>
          </w:p>
          <w:p w14:paraId="496DE4AA">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4.承诺事项名称：《投标人委托代理人员信用承诺书》；承诺事由：填写项目名称+项目编号；承诺附件：按招标文件第六章第三部分给定的格式填写，需上传至承诺附件；承诺有效期同投标有效期，承诺起始时间为提交投标文件截止之日。</w:t>
            </w:r>
          </w:p>
          <w:p w14:paraId="166CAEB0">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注：①法定代表人直接参与投标的无须上报但需提供《投标人委托代理人员信用承诺书》。</w:t>
            </w:r>
          </w:p>
          <w:p w14:paraId="0F1DD2D3">
            <w:pPr>
              <w:topLinePunct/>
              <w:spacing w:line="288" w:lineRule="auto"/>
              <w:rPr>
                <w:rFonts w:hint="eastAsia" w:ascii="宋体" w:hAnsi="宋体" w:eastAsia="宋体" w:cs="宋体"/>
                <w:color w:val="auto"/>
                <w:sz w:val="24"/>
                <w:szCs w:val="24"/>
              </w:rPr>
            </w:pPr>
            <w:r>
              <w:rPr>
                <w:rFonts w:hint="eastAsia" w:ascii="宋体" w:hAnsi="宋体" w:eastAsia="宋体" w:cs="宋体"/>
                <w:color w:val="auto"/>
                <w:szCs w:val="24"/>
              </w:rPr>
              <w:t>②不见面开标结束后由采购代理机构通过平台进行核实查验，未按上述要求在“信用中国（陕西榆林）”网站进行上报或投标文件中所附内容与上报内容不符的将否决投标。</w:t>
            </w:r>
          </w:p>
        </w:tc>
      </w:tr>
      <w:tr w14:paraId="7E538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51" w:type="dxa"/>
            <w:vAlign w:val="center"/>
          </w:tcPr>
          <w:p w14:paraId="533F2EC7">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7</w:t>
            </w:r>
          </w:p>
        </w:tc>
        <w:tc>
          <w:tcPr>
            <w:tcW w:w="1932" w:type="dxa"/>
            <w:vAlign w:val="center"/>
          </w:tcPr>
          <w:p w14:paraId="1DC8AA0A">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特别提示</w:t>
            </w:r>
          </w:p>
        </w:tc>
        <w:tc>
          <w:tcPr>
            <w:tcW w:w="6735" w:type="dxa"/>
            <w:vAlign w:val="center"/>
          </w:tcPr>
          <w:p w14:paraId="1E4327DB">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1.本项目采用电子化不见面开标方式，投标人使用数字认证证书（CA锁）对投标文件进行签章、加密、上传、签到、解密；投标人应在全国公共资源交易平台（陕西省˙榆林市）（http://yl.sxggzyjy.cn/），选择“服务指南”，点击“下载专区”；提前熟知“政府采购投标单位手册”、“榆林不见面开标系统操作手册（投标人）”、“榆林不见面开标大厅投标人询标操作手册V1.0”。请投标人仔细阅读操作手册，了解操作流程，熟练掌握不见面开标、不见面询标操作相关事宜，若无法正常投标，投标人自行承担责任。电子投标文件制作软件技术支持热线：400-998-0000。</w:t>
            </w:r>
          </w:p>
          <w:p w14:paraId="4D209B86">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2.关于制作电子投标文件，投标人须在“全国公共资源交易中心平台（陕西省）（http://www.sxggzyjy.cn/）”的“服务指南”栏目“下载专区”中，下载“陕西省公共资源交易平台政府采购电子标书制作工具(8.0.1.01</w:t>
            </w:r>
            <w:r>
              <w:rPr>
                <w:rFonts w:hint="eastAsia" w:ascii="宋体" w:hAnsi="宋体" w:eastAsia="宋体" w:cs="宋体"/>
                <w:color w:val="auto"/>
                <w:szCs w:val="24"/>
              </w:rPr>
              <w:tab/>
            </w:r>
            <w:r>
              <w:rPr>
                <w:rFonts w:hint="eastAsia" w:ascii="宋体" w:hAnsi="宋体" w:eastAsia="宋体" w:cs="宋体"/>
                <w:color w:val="auto"/>
                <w:szCs w:val="24"/>
              </w:rPr>
              <w:t>)”，并升级至最新版本，使用该客户端制作电子投标文件，制作后缀为“.SXSTF”的电子投标文件。</w:t>
            </w:r>
          </w:p>
          <w:p w14:paraId="4D8F3319">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3.提交电子投标文件的方法，登录全国公共资源交易中心平台（陕西省）（http://www.sxggzyjy.cn/），选择“电子交易平台—政府采购交易系统（企业端）”进行登录，登录后进入菜单“采购业务—我的项目—项目流程—上传电子投标文件”。上传成功后，电子化平台将予以记录，逾期系统将拒绝接收。</w:t>
            </w:r>
          </w:p>
        </w:tc>
      </w:tr>
      <w:tr w14:paraId="46B9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51" w:type="dxa"/>
            <w:vAlign w:val="center"/>
          </w:tcPr>
          <w:p w14:paraId="30D5E915">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8</w:t>
            </w:r>
          </w:p>
        </w:tc>
        <w:tc>
          <w:tcPr>
            <w:tcW w:w="1932" w:type="dxa"/>
            <w:vAlign w:val="center"/>
          </w:tcPr>
          <w:p w14:paraId="434C3C68">
            <w:pPr>
              <w:spacing w:line="288" w:lineRule="auto"/>
              <w:jc w:val="left"/>
              <w:rPr>
                <w:rFonts w:hint="eastAsia" w:ascii="宋体" w:hAnsi="宋体" w:eastAsia="宋体" w:cs="宋体"/>
                <w:color w:val="auto"/>
                <w:szCs w:val="24"/>
              </w:rPr>
            </w:pPr>
            <w:r>
              <w:rPr>
                <w:rFonts w:hint="eastAsia" w:ascii="宋体" w:hAnsi="宋体" w:eastAsia="宋体" w:cs="宋体"/>
                <w:color w:val="auto"/>
                <w:szCs w:val="24"/>
              </w:rPr>
              <w:t>关于中小企业执行的优惠政策说明</w:t>
            </w:r>
          </w:p>
        </w:tc>
        <w:tc>
          <w:tcPr>
            <w:tcW w:w="6735" w:type="dxa"/>
            <w:vAlign w:val="center"/>
          </w:tcPr>
          <w:p w14:paraId="4C774EE5">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sym w:font="Wingdings" w:char="00A8"/>
            </w:r>
            <w:r>
              <w:rPr>
                <w:rFonts w:hint="eastAsia" w:ascii="宋体" w:hAnsi="宋体" w:eastAsia="宋体" w:cs="宋体"/>
                <w:color w:val="auto"/>
                <w:szCs w:val="24"/>
              </w:rPr>
              <w:t>专门面向</w:t>
            </w:r>
            <w:r>
              <w:rPr>
                <w:rFonts w:hint="eastAsia" w:ascii="宋体" w:hAnsi="宋体" w:eastAsia="宋体" w:cs="宋体"/>
                <w:color w:val="auto"/>
                <w:szCs w:val="24"/>
                <w:lang w:eastAsia="zh-CN"/>
              </w:rPr>
              <w:t>中小</w:t>
            </w:r>
            <w:r>
              <w:rPr>
                <w:rFonts w:hint="eastAsia" w:ascii="宋体" w:hAnsi="宋体" w:eastAsia="宋体" w:cs="宋体"/>
                <w:color w:val="auto"/>
                <w:szCs w:val="24"/>
              </w:rPr>
              <w:t>企业采购项目</w:t>
            </w:r>
          </w:p>
          <w:p w14:paraId="37F562D8">
            <w:pPr>
              <w:pStyle w:val="21"/>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投标人应为</w:t>
            </w:r>
            <w:r>
              <w:rPr>
                <w:rFonts w:hint="eastAsia" w:ascii="宋体" w:hAnsi="宋体" w:eastAsia="宋体" w:cs="宋体"/>
                <w:color w:val="auto"/>
                <w:sz w:val="24"/>
                <w:szCs w:val="24"/>
                <w:lang w:eastAsia="zh-CN"/>
              </w:rPr>
              <w:t>中型、</w:t>
            </w:r>
            <w:r>
              <w:rPr>
                <w:rFonts w:hint="eastAsia" w:ascii="宋体" w:hAnsi="宋体" w:eastAsia="宋体" w:cs="宋体"/>
                <w:color w:val="auto"/>
                <w:sz w:val="24"/>
                <w:szCs w:val="24"/>
              </w:rPr>
              <w:t>小型、微型企业/监狱企业/残疾人福利性单位。投标人为中型、小型、微型企业的，提供《中小企业声明函》，且中小企业的划分标准所属行业为工业；投标人为监狱企业的，应提供监狱企业的证明文件；投标人为残疾人福利性单位的，应提供《残疾人福利性单位声明函》。监狱企业/残疾人福利性单位均视同小型、</w:t>
            </w:r>
            <w:bookmarkStart w:id="244" w:name="_GoBack"/>
            <w:bookmarkEnd w:id="244"/>
            <w:r>
              <w:rPr>
                <w:rFonts w:hint="eastAsia" w:ascii="宋体" w:hAnsi="宋体" w:eastAsia="宋体" w:cs="宋体"/>
                <w:color w:val="auto"/>
                <w:sz w:val="24"/>
                <w:szCs w:val="24"/>
              </w:rPr>
              <w:t>微型企业。</w:t>
            </w:r>
          </w:p>
          <w:p w14:paraId="474070FE">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sym w:font="Wingdings" w:char="00FE"/>
            </w:r>
            <w:r>
              <w:rPr>
                <w:rFonts w:hint="eastAsia" w:ascii="宋体" w:hAnsi="宋体" w:eastAsia="宋体" w:cs="宋体"/>
                <w:color w:val="auto"/>
                <w:szCs w:val="24"/>
              </w:rPr>
              <w:t>非专门面向中小企业采购项目</w:t>
            </w:r>
          </w:p>
          <w:p w14:paraId="09CF838D">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投标人属于中型、小型、微型企业的应提供《中小企业声明函》，且中小企业的划分标准所属行业为工业；投标人为监狱企业的，应提供监狱企业的证明文件；投标人为残疾人福利性单位的，应提供《残疾人福利性单位声明函》。监狱企业/残疾人福利性单位均视同小型、微型企业。对小型、微型企业的价格执行评审优惠如下：</w:t>
            </w:r>
          </w:p>
          <w:p w14:paraId="454B4748">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1.对被认定为小型/微型企业投标人的投标报价给与20%的扣除，用扣除后的价格参与评审。</w:t>
            </w:r>
          </w:p>
          <w:p w14:paraId="61B86CD1">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2.若本项目接受联合体投标的，联合协议或者分包意向协议约定小微企业的合同份额占到合同总金额30%以上的，则投标报价按6%扣除，用扣除后的价格参与评审。</w:t>
            </w:r>
          </w:p>
        </w:tc>
      </w:tr>
      <w:tr w14:paraId="0DA2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651" w:type="dxa"/>
            <w:vAlign w:val="center"/>
          </w:tcPr>
          <w:p w14:paraId="308B11A7">
            <w:pPr>
              <w:spacing w:line="288" w:lineRule="auto"/>
              <w:jc w:val="center"/>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hAnsi="宋体" w:cs="宋体"/>
                <w:color w:val="auto"/>
                <w:szCs w:val="24"/>
                <w:lang w:val="en-US" w:eastAsia="zh-CN"/>
              </w:rPr>
              <w:t>9</w:t>
            </w:r>
          </w:p>
        </w:tc>
        <w:tc>
          <w:tcPr>
            <w:tcW w:w="1932" w:type="dxa"/>
            <w:vAlign w:val="center"/>
          </w:tcPr>
          <w:p w14:paraId="00854173">
            <w:pPr>
              <w:pStyle w:val="14"/>
              <w:snapToGrid/>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标的所属行业</w:t>
            </w:r>
          </w:p>
        </w:tc>
        <w:tc>
          <w:tcPr>
            <w:tcW w:w="6735" w:type="dxa"/>
            <w:vAlign w:val="center"/>
          </w:tcPr>
          <w:p w14:paraId="454B7F1B">
            <w:pPr>
              <w:pStyle w:val="14"/>
              <w:snapToGrid/>
              <w:spacing w:line="288" w:lineRule="auto"/>
              <w:jc w:val="left"/>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kern w:val="0"/>
                <w:sz w:val="24"/>
                <w:szCs w:val="24"/>
                <w:shd w:val="clear" w:color="auto" w:fill="FFFFFF"/>
                <w:lang w:val="en-US" w:eastAsia="zh-CN" w:bidi="ar-SA"/>
              </w:rPr>
              <w:t>按工信部联企业〔2011〕300号：本项目采购标的对应的中小企业划分所属行业为：工业</w:t>
            </w:r>
          </w:p>
        </w:tc>
      </w:tr>
      <w:tr w14:paraId="1EC6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651" w:type="dxa"/>
            <w:vAlign w:val="center"/>
          </w:tcPr>
          <w:p w14:paraId="2EFE1362">
            <w:pPr>
              <w:spacing w:line="288" w:lineRule="auto"/>
              <w:jc w:val="center"/>
              <w:rPr>
                <w:rFonts w:hint="default" w:ascii="宋体" w:hAnsi="宋体" w:eastAsia="宋体" w:cs="宋体"/>
                <w:color w:val="auto"/>
                <w:szCs w:val="24"/>
                <w:lang w:val="en-US" w:eastAsia="zh-CN"/>
              </w:rPr>
            </w:pPr>
            <w:r>
              <w:rPr>
                <w:rFonts w:hint="eastAsia" w:hAnsi="宋体" w:cs="宋体"/>
                <w:color w:val="auto"/>
                <w:szCs w:val="24"/>
                <w:lang w:val="en-US" w:eastAsia="zh-CN"/>
              </w:rPr>
              <w:t>30</w:t>
            </w:r>
          </w:p>
        </w:tc>
        <w:tc>
          <w:tcPr>
            <w:tcW w:w="1932" w:type="dxa"/>
            <w:vAlign w:val="center"/>
          </w:tcPr>
          <w:p w14:paraId="3789B639">
            <w:pPr>
              <w:pStyle w:val="14"/>
              <w:snapToGrid/>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合同价款形式</w:t>
            </w:r>
          </w:p>
        </w:tc>
        <w:tc>
          <w:tcPr>
            <w:tcW w:w="6735" w:type="dxa"/>
            <w:vAlign w:val="center"/>
          </w:tcPr>
          <w:p w14:paraId="44C11ED9">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合同总价为总承包价，包括发标的所有内容包括但不限于：人工费（含保险）、运输保管费、设备费、调试费、税金及其他一切相关费用。</w:t>
            </w:r>
          </w:p>
          <w:p w14:paraId="1F51364C">
            <w:pPr>
              <w:topLinePunct/>
              <w:spacing w:line="288" w:lineRule="auto"/>
              <w:rPr>
                <w:rFonts w:hint="eastAsia" w:ascii="宋体" w:hAnsi="宋体" w:eastAsia="宋体" w:cs="宋体"/>
                <w:color w:val="auto"/>
                <w:szCs w:val="24"/>
              </w:rPr>
            </w:pPr>
            <w:r>
              <w:rPr>
                <w:rFonts w:hint="eastAsia" w:ascii="宋体" w:hAnsi="宋体" w:eastAsia="宋体" w:cs="宋体"/>
                <w:color w:val="auto"/>
                <w:szCs w:val="24"/>
              </w:rPr>
              <w:t>合同单价一次包死，不受市场价变化的影响，合同总价为暂定总价，合同最终结算价按照实际发生的工程量（包含变更部分）据实结算。</w:t>
            </w:r>
          </w:p>
        </w:tc>
      </w:tr>
      <w:tr w14:paraId="1B77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651" w:type="dxa"/>
            <w:vAlign w:val="center"/>
          </w:tcPr>
          <w:p w14:paraId="6725CB5B">
            <w:pPr>
              <w:spacing w:line="288" w:lineRule="auto"/>
              <w:jc w:val="center"/>
              <w:rPr>
                <w:rFonts w:hint="eastAsia" w:ascii="宋体" w:hAnsi="宋体" w:eastAsia="宋体" w:cs="宋体"/>
                <w:color w:val="auto"/>
                <w:szCs w:val="24"/>
                <w:lang w:val="en-US" w:eastAsia="zh-CN"/>
              </w:rPr>
            </w:pPr>
            <w:bookmarkStart w:id="4" w:name="_Toc2552"/>
            <w:r>
              <w:rPr>
                <w:rFonts w:hint="eastAsia" w:ascii="宋体" w:hAnsi="宋体" w:eastAsia="宋体" w:cs="宋体"/>
                <w:color w:val="auto"/>
                <w:szCs w:val="24"/>
              </w:rPr>
              <w:t>3</w:t>
            </w:r>
            <w:r>
              <w:rPr>
                <w:rFonts w:hint="eastAsia" w:hAnsi="宋体" w:cs="宋体"/>
                <w:color w:val="auto"/>
                <w:szCs w:val="24"/>
                <w:lang w:val="en-US" w:eastAsia="zh-CN"/>
              </w:rPr>
              <w:t>1</w:t>
            </w:r>
          </w:p>
        </w:tc>
        <w:tc>
          <w:tcPr>
            <w:tcW w:w="1932" w:type="dxa"/>
            <w:vAlign w:val="center"/>
          </w:tcPr>
          <w:p w14:paraId="2721B6D2">
            <w:pPr>
              <w:pStyle w:val="14"/>
              <w:snapToGrid/>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政采贷业务</w:t>
            </w:r>
          </w:p>
        </w:tc>
        <w:tc>
          <w:tcPr>
            <w:tcW w:w="6735" w:type="dxa"/>
            <w:vAlign w:val="center"/>
          </w:tcPr>
          <w:p w14:paraId="19AD46DB">
            <w:pPr>
              <w:pStyle w:val="14"/>
              <w:snapToGrid/>
              <w:spacing w:line="288"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国办《关于促进中小企业健康发展的指导意见》、财政部</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工信部《政府采购促进中小企业发展</w:t>
            </w:r>
            <w:r>
              <w:rPr>
                <w:rFonts w:hint="eastAsia" w:ascii="宋体" w:hAnsi="宋体" w:eastAsia="宋体" w:cs="宋体"/>
                <w:bCs/>
                <w:color w:val="auto"/>
                <w:sz w:val="24"/>
                <w:szCs w:val="24"/>
                <w:lang w:val="en-US" w:eastAsia="zh-CN"/>
              </w:rPr>
              <w:t>管理</w:t>
            </w:r>
            <w:r>
              <w:rPr>
                <w:rFonts w:hint="eastAsia" w:ascii="宋体" w:hAnsi="宋体" w:eastAsia="宋体" w:cs="宋体"/>
                <w:bCs/>
                <w:color w:val="auto"/>
                <w:sz w:val="24"/>
                <w:szCs w:val="24"/>
              </w:rPr>
              <w:t>办法》（财库〔20</w:t>
            </w: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46</w:t>
            </w:r>
            <w:r>
              <w:rPr>
                <w:rFonts w:hint="eastAsia" w:ascii="宋体" w:hAnsi="宋体" w:eastAsia="宋体" w:cs="宋体"/>
                <w:bCs/>
                <w:color w:val="auto"/>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《陕西省财政厅 中国人民银行西安分行关于深入推进政府采购信用融资业务的通知》</w:t>
            </w:r>
            <w:r>
              <w:rPr>
                <w:rFonts w:hint="eastAsia" w:ascii="宋体" w:hAnsi="宋体" w:eastAsia="宋体" w:cs="宋体"/>
                <w:bCs/>
                <w:color w:val="auto"/>
                <w:sz w:val="24"/>
                <w:szCs w:val="24"/>
              </w:rPr>
              <w:t>（陕财办采〔202</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〕5号）等有关规定，按照</w:t>
            </w:r>
            <w:r>
              <w:rPr>
                <w:rFonts w:hint="eastAsia" w:ascii="宋体" w:hAnsi="宋体" w:eastAsia="宋体" w:cs="宋体"/>
                <w:bCs/>
                <w:color w:val="auto"/>
                <w:sz w:val="24"/>
                <w:szCs w:val="24"/>
                <w:lang w:val="en-US" w:eastAsia="zh-CN"/>
              </w:rPr>
              <w:t>政府</w:t>
            </w:r>
            <w:r>
              <w:rPr>
                <w:rFonts w:hint="eastAsia" w:ascii="宋体" w:hAnsi="宋体" w:eastAsia="宋体" w:cs="宋体"/>
                <w:bCs/>
                <w:color w:val="auto"/>
                <w:sz w:val="24"/>
                <w:szCs w:val="24"/>
              </w:rPr>
              <w:t>引导、</w:t>
            </w:r>
            <w:r>
              <w:rPr>
                <w:rFonts w:hint="eastAsia" w:ascii="宋体" w:hAnsi="宋体" w:eastAsia="宋体" w:cs="宋体"/>
                <w:bCs/>
                <w:color w:val="auto"/>
                <w:sz w:val="24"/>
                <w:szCs w:val="24"/>
                <w:lang w:val="en-US" w:eastAsia="zh-CN"/>
              </w:rPr>
              <w:t>市场运作、银企</w:t>
            </w:r>
            <w:r>
              <w:rPr>
                <w:rFonts w:hint="eastAsia" w:ascii="宋体" w:hAnsi="宋体" w:eastAsia="宋体" w:cs="宋体"/>
                <w:bCs/>
                <w:color w:val="auto"/>
                <w:sz w:val="24"/>
                <w:szCs w:val="24"/>
              </w:rPr>
              <w:t>自愿、风险自担的原则，中标（成交）供应商可根据自身资金需求，登录陕西省政府采购信用融资平台（http://www.ccgp-shaanxi.gov.cn/zcdservice/zcd/shanxi/）</w:t>
            </w:r>
            <w:r>
              <w:rPr>
                <w:rFonts w:hint="eastAsia" w:ascii="宋体" w:hAnsi="宋体" w:eastAsia="宋体" w:cs="宋体"/>
                <w:bCs/>
                <w:color w:val="auto"/>
                <w:sz w:val="24"/>
                <w:szCs w:val="24"/>
                <w:lang w:val="en-US" w:eastAsia="zh-CN"/>
              </w:rPr>
              <w:t>或中征平台（https://www.crcrfsp.com）</w:t>
            </w:r>
            <w:r>
              <w:rPr>
                <w:rFonts w:hint="eastAsia" w:ascii="宋体" w:hAnsi="宋体" w:eastAsia="宋体" w:cs="宋体"/>
                <w:bCs/>
                <w:color w:val="auto"/>
                <w:sz w:val="24"/>
                <w:szCs w:val="24"/>
              </w:rPr>
              <w:t>在线申请，依法参加政府采购信用融资活动</w:t>
            </w:r>
            <w:r>
              <w:rPr>
                <w:rFonts w:hint="eastAsia" w:ascii="宋体" w:hAnsi="宋体" w:eastAsia="宋体" w:cs="宋体"/>
                <w:bCs/>
                <w:color w:val="auto"/>
                <w:sz w:val="24"/>
                <w:szCs w:val="24"/>
                <w:lang w:eastAsia="zh-CN"/>
              </w:rPr>
              <w:t>。</w:t>
            </w:r>
          </w:p>
          <w:tbl>
            <w:tblPr>
              <w:tblStyle w:val="23"/>
              <w:tblpPr w:leftFromText="180" w:rightFromText="180" w:vertAnchor="page" w:horzAnchor="page" w:tblpX="160" w:tblpY="2390"/>
              <w:tblOverlap w:val="never"/>
              <w:tblW w:w="66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
              <w:gridCol w:w="477"/>
              <w:gridCol w:w="2"/>
              <w:gridCol w:w="730"/>
              <w:gridCol w:w="738"/>
              <w:gridCol w:w="763"/>
              <w:gridCol w:w="771"/>
              <w:gridCol w:w="962"/>
              <w:gridCol w:w="763"/>
              <w:gridCol w:w="1423"/>
              <w:gridCol w:w="8"/>
            </w:tblGrid>
            <w:tr w14:paraId="4FEC7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479" w:type="dxa"/>
                  <w:gridSpan w:val="2"/>
                  <w:tcBorders>
                    <w:top w:val="nil"/>
                    <w:left w:val="nil"/>
                    <w:bottom w:val="nil"/>
                    <w:right w:val="nil"/>
                    <w:tl2br w:val="nil"/>
                    <w:tr2bl w:val="nil"/>
                  </w:tcBorders>
                  <w:noWrap/>
                  <w:vAlign w:val="center"/>
                </w:tcPr>
                <w:p w14:paraId="3896C404">
                  <w:pPr>
                    <w:widowControl/>
                    <w:textAlignment w:val="center"/>
                    <w:rPr>
                      <w:rFonts w:hint="eastAsia" w:ascii="宋体" w:hAnsi="宋体" w:eastAsia="宋体" w:cs="宋体"/>
                      <w:color w:val="auto"/>
                      <w:sz w:val="21"/>
                      <w:szCs w:val="21"/>
                      <w:lang w:bidi="ar"/>
                    </w:rPr>
                  </w:pPr>
                </w:p>
              </w:tc>
              <w:tc>
                <w:tcPr>
                  <w:tcW w:w="6160" w:type="dxa"/>
                  <w:gridSpan w:val="9"/>
                  <w:tcBorders>
                    <w:top w:val="nil"/>
                    <w:left w:val="nil"/>
                    <w:bottom w:val="nil"/>
                    <w:right w:val="nil"/>
                    <w:tl2br w:val="nil"/>
                    <w:tr2bl w:val="nil"/>
                  </w:tcBorders>
                  <w:noWrap/>
                  <w:vAlign w:val="center"/>
                </w:tcPr>
                <w:p w14:paraId="12B3FD3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榆林市“政采贷”业务办理银行联系表</w:t>
                  </w:r>
                </w:p>
              </w:tc>
            </w:tr>
            <w:tr w14:paraId="68A5A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4E7C68CC">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序号</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255246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银行名称</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458947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产品名称</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277BA1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贷款额度</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AA816B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贷款期限</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5AC7EA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贷款利率</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9B3ABB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办理时效</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BD77E7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联系人</w:t>
                  </w:r>
                </w:p>
              </w:tc>
            </w:tr>
            <w:tr w14:paraId="6A8E5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6F376E2F">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5E6A7F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长安银行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EA420D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E49930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A238F5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1-3年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0F1FC9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36D764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72小时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E0E20B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魏  众15109123951</w:t>
                  </w:r>
                </w:p>
              </w:tc>
            </w:tr>
            <w:tr w14:paraId="59E0A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1809CEEB">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5A0465B">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中信银行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E025126">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政采E贷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1202E1C">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BDC52E2">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1-3年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ED03B00">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3.45%起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EF19FB8">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24小时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55C9264">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李  靖15509125117</w:t>
                  </w:r>
                </w:p>
              </w:tc>
            </w:tr>
            <w:tr w14:paraId="25CA1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3CD110CC">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3</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DFEFC1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光大银行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1BCC4F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84AB8A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0B0C03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1-3年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4D9AF1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CD769B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72小时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D5AB6F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刘  波18809125468</w:t>
                  </w:r>
                </w:p>
              </w:tc>
            </w:tr>
            <w:tr w14:paraId="2FD8C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6CC87F39">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4</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175A21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交通银行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EC044C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秦政贷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7E13DA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CAF66B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0BC0A8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460BC1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22408A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张  飞15291296886</w:t>
                  </w:r>
                </w:p>
              </w:tc>
            </w:tr>
            <w:tr w14:paraId="7A076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45D4C84B">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5</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EB8316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中国银行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E41E7B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CBD5C4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DBE915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1-3年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8E54E4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DD1370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72小时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8F883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李  浩18691230007</w:t>
                  </w:r>
                </w:p>
              </w:tc>
            </w:tr>
            <w:tr w14:paraId="45917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7F58418A">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6</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00739F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招商银行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280B67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7D39C8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B14435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1-3年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E4137F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B4EE01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530D5B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马  烨15596100007</w:t>
                  </w:r>
                </w:p>
              </w:tc>
            </w:tr>
            <w:tr w14:paraId="43951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659915FE">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7</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9AB740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浦发银行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14054D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政采E贷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95BBD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95631F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46FCBA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3.8%</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165DB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72小时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18ED5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朱  君15629169158</w:t>
                  </w:r>
                </w:p>
              </w:tc>
            </w:tr>
            <w:tr w14:paraId="4F178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33C10CA8">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8</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593478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农商银行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5DDFBA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6C368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79CDDC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AAC1F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3.45%-5.8%</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F82712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FD2A74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王  璐15529875056</w:t>
                  </w:r>
                </w:p>
              </w:tc>
            </w:tr>
            <w:tr w14:paraId="522F3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78"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65F6C82B">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9</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87E957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农业银行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A9098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CBE510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E5504E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A4B815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3.45%-3.85%</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67792A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10FDB4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杨  尧13325409313</w:t>
                  </w:r>
                </w:p>
              </w:tc>
            </w:tr>
            <w:tr w14:paraId="3B37F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2" w:type="dxa"/>
                <w:wAfter w:w="8" w:type="dxa"/>
                <w:trHeight w:val="589" w:hRule="atLeast"/>
                <w:jc w:val="center"/>
              </w:trPr>
              <w:tc>
                <w:tcPr>
                  <w:tcW w:w="479"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132CCDE1">
                  <w:pPr>
                    <w:widowControl/>
                    <w:jc w:val="center"/>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10</w:t>
                  </w:r>
                </w:p>
              </w:tc>
              <w:tc>
                <w:tcPr>
                  <w:tcW w:w="73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B60ED2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民生银行</w:t>
                  </w:r>
                </w:p>
              </w:tc>
              <w:tc>
                <w:tcPr>
                  <w:tcW w:w="73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BC597B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政采E贷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0DA10C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3000万元</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0E4A21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1年</w:t>
                  </w:r>
                </w:p>
              </w:tc>
              <w:tc>
                <w:tcPr>
                  <w:tcW w:w="96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FD0D55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3.45%起</w:t>
                  </w:r>
                </w:p>
              </w:tc>
              <w:tc>
                <w:tcPr>
                  <w:tcW w:w="76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E3CE64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24小时</w:t>
                  </w:r>
                </w:p>
              </w:tc>
              <w:tc>
                <w:tcPr>
                  <w:tcW w:w="142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790520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郝双双15991225850</w:t>
                  </w:r>
                </w:p>
              </w:tc>
            </w:tr>
          </w:tbl>
          <w:p w14:paraId="4D457C9F">
            <w:pPr>
              <w:rPr>
                <w:rFonts w:hint="eastAsia" w:ascii="宋体" w:hAnsi="宋体" w:eastAsia="宋体" w:cs="宋体"/>
                <w:color w:val="auto"/>
                <w:lang w:val="en-US" w:eastAsia="zh-CN"/>
              </w:rPr>
            </w:pPr>
          </w:p>
        </w:tc>
      </w:tr>
    </w:tbl>
    <w:p w14:paraId="647023DD">
      <w:pPr>
        <w:widowControl/>
        <w:jc w:val="left"/>
        <w:rPr>
          <w:rFonts w:hint="eastAsia" w:ascii="宋体" w:hAnsi="宋体" w:eastAsia="宋体" w:cs="宋体"/>
          <w:b/>
          <w:color w:val="auto"/>
          <w:kern w:val="2"/>
          <w:sz w:val="21"/>
          <w:szCs w:val="21"/>
        </w:rPr>
      </w:pPr>
      <w:r>
        <w:rPr>
          <w:rFonts w:hint="eastAsia" w:ascii="宋体" w:hAnsi="宋体" w:eastAsia="宋体" w:cs="宋体"/>
          <w:b/>
          <w:color w:val="auto"/>
          <w:sz w:val="21"/>
          <w:szCs w:val="21"/>
        </w:rPr>
        <w:br w:type="page"/>
      </w:r>
    </w:p>
    <w:p w14:paraId="7792F81F">
      <w:pPr>
        <w:pStyle w:val="21"/>
        <w:spacing w:after="0" w:line="288" w:lineRule="auto"/>
        <w:ind w:firstLine="602" w:firstLineChars="200"/>
        <w:jc w:val="center"/>
        <w:outlineLvl w:val="1"/>
        <w:rPr>
          <w:rFonts w:hint="eastAsia" w:ascii="宋体" w:hAnsi="宋体" w:eastAsia="宋体" w:cs="宋体"/>
          <w:b/>
          <w:color w:val="auto"/>
          <w:sz w:val="21"/>
          <w:szCs w:val="21"/>
        </w:rPr>
      </w:pPr>
      <w:r>
        <w:rPr>
          <w:rFonts w:hint="eastAsia" w:ascii="宋体" w:hAnsi="宋体" w:eastAsia="宋体" w:cs="宋体"/>
          <w:b/>
          <w:color w:val="auto"/>
          <w:sz w:val="30"/>
          <w:szCs w:val="30"/>
        </w:rPr>
        <w:t>总则</w:t>
      </w:r>
      <w:bookmarkEnd w:id="4"/>
    </w:p>
    <w:p w14:paraId="25BB9362">
      <w:pPr>
        <w:pStyle w:val="21"/>
        <w:spacing w:after="0" w:line="288" w:lineRule="auto"/>
        <w:ind w:firstLine="0" w:firstLineChars="0"/>
        <w:jc w:val="left"/>
        <w:outlineLvl w:val="1"/>
        <w:rPr>
          <w:rFonts w:hint="eastAsia" w:ascii="宋体" w:hAnsi="宋体" w:eastAsia="宋体" w:cs="宋体"/>
          <w:b/>
          <w:color w:val="auto"/>
          <w:sz w:val="24"/>
          <w:szCs w:val="24"/>
        </w:rPr>
      </w:pPr>
      <w:bookmarkStart w:id="5" w:name="_Toc32004"/>
      <w:r>
        <w:rPr>
          <w:rFonts w:hint="eastAsia" w:ascii="宋体" w:hAnsi="宋体" w:eastAsia="宋体" w:cs="宋体"/>
          <w:b/>
          <w:color w:val="auto"/>
          <w:sz w:val="24"/>
          <w:szCs w:val="24"/>
        </w:rPr>
        <w:t>一、定义</w:t>
      </w:r>
      <w:bookmarkEnd w:id="5"/>
    </w:p>
    <w:p w14:paraId="7CA5CDE3">
      <w:pPr>
        <w:spacing w:line="288" w:lineRule="auto"/>
        <w:ind w:left="480" w:leftChars="200" w:firstLine="0" w:firstLineChars="0"/>
        <w:rPr>
          <w:rFonts w:hint="eastAsia" w:ascii="宋体" w:hAnsi="宋体" w:eastAsia="宋体" w:cs="宋体"/>
          <w:color w:val="auto"/>
          <w:szCs w:val="24"/>
        </w:rPr>
      </w:pPr>
      <w:bookmarkStart w:id="6" w:name="_Toc17787"/>
      <w:r>
        <w:rPr>
          <w:rFonts w:hint="eastAsia" w:ascii="宋体" w:hAnsi="宋体" w:eastAsia="宋体" w:cs="宋体"/>
          <w:color w:val="auto"/>
          <w:szCs w:val="24"/>
        </w:rPr>
        <w:t>（一）采购人：</w:t>
      </w:r>
      <w:bookmarkEnd w:id="6"/>
      <w:r>
        <w:rPr>
          <w:rFonts w:hint="eastAsia" w:hAnsi="宋体" w:cs="宋体"/>
          <w:color w:val="auto"/>
          <w:szCs w:val="24"/>
          <w:lang w:eastAsia="zh-CN"/>
        </w:rPr>
        <w:t>清涧县林业工作站</w:t>
      </w:r>
      <w:r>
        <w:rPr>
          <w:rFonts w:hint="eastAsia" w:ascii="宋体" w:hAnsi="宋体" w:eastAsia="宋体" w:cs="宋体"/>
          <w:color w:val="auto"/>
          <w:szCs w:val="24"/>
          <w:lang w:eastAsia="zh-CN"/>
        </w:rPr>
        <w:br w:type="textWrapping"/>
      </w:r>
      <w:r>
        <w:rPr>
          <w:rFonts w:hint="eastAsia" w:ascii="宋体" w:hAnsi="宋体" w:eastAsia="宋体" w:cs="宋体"/>
          <w:color w:val="auto"/>
          <w:szCs w:val="24"/>
        </w:rPr>
        <w:t>（二）监管部门：</w:t>
      </w:r>
      <w:r>
        <w:rPr>
          <w:rFonts w:hint="eastAsia" w:ascii="宋体" w:hAnsi="宋体" w:eastAsia="宋体" w:cs="宋体"/>
          <w:color w:val="auto"/>
          <w:szCs w:val="24"/>
          <w:lang w:eastAsia="zh-CN"/>
        </w:rPr>
        <w:t>清涧县</w:t>
      </w:r>
      <w:r>
        <w:rPr>
          <w:rFonts w:hint="eastAsia" w:ascii="宋体" w:hAnsi="宋体" w:eastAsia="宋体" w:cs="宋体"/>
          <w:color w:val="auto"/>
          <w:szCs w:val="24"/>
        </w:rPr>
        <w:t>财政局</w:t>
      </w:r>
    </w:p>
    <w:p w14:paraId="448B28C0">
      <w:pPr>
        <w:spacing w:line="288" w:lineRule="auto"/>
        <w:ind w:left="480" w:leftChars="200" w:firstLine="0" w:firstLineChars="0"/>
        <w:rPr>
          <w:rFonts w:hint="eastAsia" w:ascii="宋体" w:hAnsi="宋体" w:eastAsia="宋体" w:cs="宋体"/>
          <w:color w:val="auto"/>
          <w:szCs w:val="24"/>
        </w:rPr>
      </w:pPr>
      <w:r>
        <w:rPr>
          <w:rFonts w:hint="eastAsia" w:ascii="宋体" w:hAnsi="宋体" w:eastAsia="宋体" w:cs="宋体"/>
          <w:color w:val="auto"/>
          <w:szCs w:val="24"/>
        </w:rPr>
        <w:t>（三）采购代理机构：</w:t>
      </w:r>
      <w:r>
        <w:rPr>
          <w:rFonts w:hint="eastAsia" w:hAnsi="宋体" w:cs="宋体"/>
          <w:color w:val="auto"/>
          <w:szCs w:val="24"/>
          <w:lang w:eastAsia="zh-CN"/>
        </w:rPr>
        <w:t>陕西盛誉恒正项目管理有限公司</w:t>
      </w:r>
      <w:r>
        <w:rPr>
          <w:rFonts w:hint="eastAsia" w:ascii="宋体" w:hAnsi="宋体" w:eastAsia="宋体" w:cs="宋体"/>
          <w:color w:val="auto"/>
          <w:szCs w:val="24"/>
          <w:lang w:eastAsia="zh-CN"/>
        </w:rPr>
        <w:br w:type="textWrapping"/>
      </w:r>
      <w:r>
        <w:rPr>
          <w:rFonts w:hint="eastAsia" w:ascii="宋体" w:hAnsi="宋体" w:eastAsia="宋体" w:cs="宋体"/>
          <w:color w:val="auto"/>
          <w:szCs w:val="24"/>
        </w:rPr>
        <w:t>（四）投标人：拟向采购人提供货物、工程或者服务的法人、其他组织或者自然人</w:t>
      </w:r>
    </w:p>
    <w:p w14:paraId="76322CDD">
      <w:pPr>
        <w:pStyle w:val="21"/>
        <w:spacing w:after="0" w:line="288" w:lineRule="auto"/>
        <w:ind w:firstLine="0" w:firstLineChars="0"/>
        <w:outlineLvl w:val="1"/>
        <w:rPr>
          <w:rFonts w:hint="eastAsia" w:ascii="宋体" w:hAnsi="宋体" w:eastAsia="宋体" w:cs="宋体"/>
          <w:b/>
          <w:color w:val="auto"/>
          <w:sz w:val="24"/>
          <w:szCs w:val="24"/>
        </w:rPr>
      </w:pPr>
      <w:bookmarkStart w:id="7" w:name="_Toc48834525"/>
      <w:bookmarkStart w:id="8" w:name="_Toc48834284"/>
      <w:bookmarkStart w:id="9" w:name="_Toc14453"/>
      <w:bookmarkStart w:id="10" w:name="_Toc48834087"/>
      <w:bookmarkStart w:id="11" w:name="_Toc48834157"/>
      <w:bookmarkStart w:id="12" w:name="_Toc1840"/>
      <w:bookmarkStart w:id="13" w:name="_Toc48834446"/>
      <w:r>
        <w:rPr>
          <w:rFonts w:hint="eastAsia" w:ascii="宋体" w:hAnsi="宋体" w:eastAsia="宋体" w:cs="宋体"/>
          <w:b/>
          <w:color w:val="auto"/>
          <w:sz w:val="24"/>
          <w:szCs w:val="24"/>
        </w:rPr>
        <w:t>二、投标人注意事项</w:t>
      </w:r>
      <w:bookmarkEnd w:id="7"/>
      <w:bookmarkEnd w:id="8"/>
      <w:bookmarkEnd w:id="9"/>
      <w:bookmarkEnd w:id="10"/>
      <w:bookmarkEnd w:id="11"/>
      <w:bookmarkEnd w:id="12"/>
      <w:bookmarkEnd w:id="13"/>
      <w:bookmarkStart w:id="14" w:name="_Toc23045"/>
      <w:bookmarkStart w:id="15" w:name="_Toc734"/>
      <w:bookmarkStart w:id="16" w:name="_Toc30368"/>
      <w:bookmarkStart w:id="17" w:name="_Toc24852"/>
    </w:p>
    <w:p w14:paraId="69F2F164">
      <w:pPr>
        <w:spacing w:line="288" w:lineRule="auto"/>
        <w:ind w:firstLine="241" w:firstLineChars="100"/>
        <w:rPr>
          <w:rFonts w:hint="eastAsia" w:ascii="宋体" w:hAnsi="宋体" w:eastAsia="宋体" w:cs="宋体"/>
          <w:b/>
          <w:bCs/>
          <w:color w:val="auto"/>
          <w:szCs w:val="24"/>
        </w:rPr>
      </w:pPr>
      <w:bookmarkStart w:id="18" w:name="_Toc9942"/>
      <w:r>
        <w:rPr>
          <w:rFonts w:hint="eastAsia" w:ascii="宋体" w:hAnsi="宋体" w:eastAsia="宋体" w:cs="宋体"/>
          <w:b/>
          <w:bCs/>
          <w:color w:val="auto"/>
          <w:szCs w:val="24"/>
        </w:rPr>
        <w:t>（一）询问</w:t>
      </w:r>
      <w:bookmarkEnd w:id="14"/>
      <w:bookmarkEnd w:id="15"/>
      <w:bookmarkEnd w:id="16"/>
      <w:bookmarkEnd w:id="17"/>
      <w:bookmarkEnd w:id="18"/>
    </w:p>
    <w:p w14:paraId="26589A18">
      <w:pPr>
        <w:spacing w:line="288" w:lineRule="auto"/>
        <w:ind w:firstLine="480" w:firstLineChars="200"/>
        <w:rPr>
          <w:rFonts w:hint="eastAsia" w:ascii="宋体" w:hAnsi="宋体" w:eastAsia="宋体" w:cs="宋体"/>
          <w:color w:val="auto"/>
          <w:szCs w:val="24"/>
        </w:rPr>
      </w:pPr>
      <w:bookmarkStart w:id="19" w:name="_Toc26397"/>
      <w:bookmarkStart w:id="20" w:name="_Toc16663"/>
      <w:bookmarkStart w:id="21" w:name="_Toc11418"/>
      <w:bookmarkStart w:id="22" w:name="_Toc7423"/>
      <w:r>
        <w:rPr>
          <w:rFonts w:hint="eastAsia" w:ascii="宋体" w:hAnsi="宋体" w:eastAsia="宋体" w:cs="宋体"/>
          <w:color w:val="auto"/>
          <w:szCs w:val="24"/>
        </w:rPr>
        <w:t>投标人对政府采购活动事项有疑问的，可以向采购人提出询问，采购人应当及时作出答复，但答复的内容不得涉及商业秘密。</w:t>
      </w:r>
    </w:p>
    <w:p w14:paraId="4EC7F8A6">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（二）</w:t>
      </w:r>
      <w:bookmarkEnd w:id="19"/>
      <w:bookmarkEnd w:id="20"/>
      <w:bookmarkEnd w:id="21"/>
      <w:bookmarkEnd w:id="22"/>
      <w:r>
        <w:rPr>
          <w:rFonts w:hint="eastAsia" w:ascii="宋体" w:hAnsi="宋体" w:eastAsia="宋体" w:cs="宋体"/>
          <w:b/>
          <w:color w:val="auto"/>
          <w:szCs w:val="24"/>
        </w:rPr>
        <w:t>质疑和投诉</w:t>
      </w:r>
    </w:p>
    <w:p w14:paraId="385C2B68">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投标人如果认为招标文件中涉及的采购需求（包括投标人资格条件、评审要素及分值设置、采购内容和要求、合同条款等）使自身的合法权益受到损害，可以在招标文件公告期限届满之日起7个工作日内，以书面形式向</w:t>
      </w:r>
      <w:r>
        <w:rPr>
          <w:rFonts w:hint="eastAsia" w:ascii="宋体" w:hAnsi="宋体" w:eastAsia="宋体" w:cs="宋体"/>
          <w:color w:val="auto"/>
          <w:kern w:val="2"/>
          <w:szCs w:val="24"/>
        </w:rPr>
        <w:t>采购人</w:t>
      </w:r>
      <w:r>
        <w:rPr>
          <w:rFonts w:hint="eastAsia" w:ascii="宋体" w:hAnsi="宋体" w:eastAsia="宋体" w:cs="宋体"/>
          <w:bCs/>
          <w:color w:val="auto"/>
          <w:kern w:val="2"/>
          <w:szCs w:val="24"/>
        </w:rPr>
        <w:t>提出质疑；</w:t>
      </w:r>
    </w:p>
    <w:p w14:paraId="51212F21">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投标人如果认为采购程序、采购过程或成交结果使自身的合法权益受到损害，可以在知道或应知其权益受到损害之日起7个工作日内，以书面形式向采购代理机构提出质疑。</w:t>
      </w:r>
    </w:p>
    <w:p w14:paraId="3F481409">
      <w:pPr>
        <w:pStyle w:val="19"/>
        <w:spacing w:beforeAutospacing="0" w:afterAutospacing="0" w:line="288" w:lineRule="auto"/>
        <w:jc w:val="both"/>
        <w:rPr>
          <w:rFonts w:hint="eastAsia" w:ascii="宋体" w:hAnsi="宋体" w:eastAsia="宋体" w:cs="宋体"/>
          <w:bCs/>
          <w:color w:val="auto"/>
          <w:spacing w:val="-10"/>
          <w:kern w:val="2"/>
          <w:szCs w:val="24"/>
        </w:rPr>
      </w:pPr>
      <w:r>
        <w:rPr>
          <w:rFonts w:hint="eastAsia" w:ascii="宋体" w:hAnsi="宋体" w:eastAsia="宋体" w:cs="宋体"/>
          <w:bCs/>
          <w:color w:val="auto"/>
          <w:kern w:val="2"/>
          <w:szCs w:val="24"/>
        </w:rPr>
        <w:t xml:space="preserve">    </w:t>
      </w:r>
      <w:r>
        <w:rPr>
          <w:rFonts w:hint="eastAsia" w:ascii="宋体" w:hAnsi="宋体" w:eastAsia="宋体" w:cs="宋体"/>
          <w:bCs/>
          <w:color w:val="auto"/>
          <w:spacing w:val="-10"/>
          <w:kern w:val="2"/>
          <w:szCs w:val="24"/>
        </w:rPr>
        <w:t>采购人、采购代理机构将在收到书面质疑后7个工作日内做出答复，并以书面形式通知质疑人和其他有关投标人。</w:t>
      </w:r>
    </w:p>
    <w:p w14:paraId="0AB80CAB">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1、投标人提出质疑应当提交质疑函和必要的证明材料，并按财政部《质疑函范本》给定的格式进行填写，范本下载详见【财政部国库司（gks.mof.gov.cn）】网站〖首页•〉政府采购管理〗栏目中的《政府采购投标人质疑函范本》。</w:t>
      </w:r>
    </w:p>
    <w:p w14:paraId="18B922F0">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《政府采购投标人质疑函范本》链接地址：</w:t>
      </w:r>
    </w:p>
    <w:p w14:paraId="63B95BA6">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http://gks.mof.gov.cn/zhengfucaigouguanli/201802/t20180201_2804589.html</w:t>
      </w:r>
    </w:p>
    <w:p w14:paraId="125A6471">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2、质疑人为自然人的，应当由本人</w:t>
      </w:r>
      <w:r>
        <w:rPr>
          <w:rFonts w:hint="eastAsia" w:ascii="宋体" w:hAnsi="宋体" w:eastAsia="宋体" w:cs="宋体"/>
          <w:bCs/>
          <w:color w:val="auto"/>
          <w:spacing w:val="-10"/>
          <w:kern w:val="2"/>
          <w:szCs w:val="24"/>
        </w:rPr>
        <w:t>在《质疑函》上</w:t>
      </w:r>
      <w:r>
        <w:rPr>
          <w:rFonts w:hint="eastAsia" w:ascii="宋体" w:hAnsi="宋体" w:eastAsia="宋体" w:cs="宋体"/>
          <w:bCs/>
          <w:color w:val="auto"/>
          <w:kern w:val="2"/>
          <w:szCs w:val="24"/>
        </w:rPr>
        <w:t>签字；质疑人为法人或者其他组织的，应当由法定代表人、主要负责人，或者其授权代表</w:t>
      </w:r>
      <w:r>
        <w:rPr>
          <w:rFonts w:hint="eastAsia" w:ascii="宋体" w:hAnsi="宋体" w:eastAsia="宋体" w:cs="宋体"/>
          <w:bCs/>
          <w:color w:val="auto"/>
          <w:spacing w:val="-10"/>
          <w:kern w:val="2"/>
          <w:szCs w:val="24"/>
        </w:rPr>
        <w:t>在《质疑函》上</w:t>
      </w:r>
      <w:r>
        <w:rPr>
          <w:rFonts w:hint="eastAsia" w:ascii="宋体" w:hAnsi="宋体" w:eastAsia="宋体" w:cs="宋体"/>
          <w:bCs/>
          <w:color w:val="auto"/>
          <w:kern w:val="2"/>
          <w:szCs w:val="24"/>
        </w:rPr>
        <w:t>签字或者盖章，并加盖公章。授权代表办理质疑事项时，除提交《质疑函》外，还应当提交《授权委托书》及授权代表的有效身份证明，《授权委托书》应当载明委托代理的具体权限和事项。</w:t>
      </w:r>
    </w:p>
    <w:p w14:paraId="069F67FA">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在法定质疑期内，针对同一采购程序环节的质疑应当一次性提出。</w:t>
      </w:r>
    </w:p>
    <w:p w14:paraId="4C0CA741">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3、有下列情形之一的，属于无效质疑，采购人、采购代理机构不予受理：</w:t>
      </w:r>
    </w:p>
    <w:p w14:paraId="782FCD61">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（1）质疑人不是参与本次采购项目的投标人或潜在投标人；</w:t>
      </w:r>
    </w:p>
    <w:p w14:paraId="406291C5">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（2）质疑人与质疑事项不存在利害关系的；</w:t>
      </w:r>
    </w:p>
    <w:p w14:paraId="6ACD6463">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（3）未在法定期限内提出质疑的；</w:t>
      </w:r>
    </w:p>
    <w:p w14:paraId="64CEE85E">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（4）质疑未以书面形式提出，或《质疑函》主要内容构成不完整的，或缺乏必要的证明材料及证明材料不完整的；</w:t>
      </w:r>
    </w:p>
    <w:p w14:paraId="6EA4FB10">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（5）《质疑函》没有合法有效的签字、盖章或授权的；</w:t>
      </w:r>
    </w:p>
    <w:p w14:paraId="2EFE3133">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（6）以非法手段取得证据、材料的；</w:t>
      </w:r>
    </w:p>
    <w:p w14:paraId="38CE0AB8">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（7）质疑答复后，同一质疑人就同一事项再次提出质疑的；</w:t>
      </w:r>
    </w:p>
    <w:p w14:paraId="4FD4B71E">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4、质疑人对采购代理机构或采购人的答复不满意，以及采购人、采购代理机构未在规定时间内做出答复的，可以在答复期满后15个工作日内向榆林市财政局提出投诉。</w:t>
      </w:r>
    </w:p>
    <w:p w14:paraId="7FCE4C8F">
      <w:pPr>
        <w:pStyle w:val="19"/>
        <w:spacing w:beforeAutospacing="0" w:afterAutospacing="0" w:line="288" w:lineRule="auto"/>
        <w:ind w:firstLine="480" w:firstLineChars="200"/>
        <w:jc w:val="both"/>
        <w:rPr>
          <w:rFonts w:hint="eastAsia" w:ascii="宋体" w:hAnsi="宋体" w:eastAsia="宋体" w:cs="宋体"/>
          <w:bCs/>
          <w:color w:val="auto"/>
          <w:kern w:val="2"/>
          <w:szCs w:val="24"/>
        </w:rPr>
      </w:pPr>
      <w:r>
        <w:rPr>
          <w:rFonts w:hint="eastAsia" w:ascii="宋体" w:hAnsi="宋体" w:eastAsia="宋体" w:cs="宋体"/>
          <w:bCs/>
          <w:color w:val="auto"/>
          <w:kern w:val="2"/>
          <w:szCs w:val="24"/>
        </w:rPr>
        <w:t>5、投标人投诉的事项不得超出已质疑事项的范围。</w:t>
      </w:r>
    </w:p>
    <w:p w14:paraId="7C8D29D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6、对捏造事实、提供虚假材料进行质疑、投诉的行为予以严肃处理。</w:t>
      </w:r>
    </w:p>
    <w:p w14:paraId="5EA4020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①《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2D143184">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color w:val="auto"/>
          <w:szCs w:val="24"/>
        </w:rPr>
        <w:t>②</w:t>
      </w:r>
      <w:r>
        <w:rPr>
          <w:rFonts w:hint="eastAsia" w:ascii="宋体" w:hAnsi="宋体" w:eastAsia="宋体" w:cs="宋体"/>
          <w:bCs/>
          <w:color w:val="auto"/>
          <w:szCs w:val="24"/>
        </w:rPr>
        <w:t>投诉人在全国范围内十二个月内三次以上投诉查无实据的，由财政部门列入不良行为记录名单。</w:t>
      </w:r>
    </w:p>
    <w:p w14:paraId="47384F4D">
      <w:pPr>
        <w:spacing w:line="288" w:lineRule="auto"/>
        <w:ind w:firstLine="480" w:firstLineChars="200"/>
        <w:rPr>
          <w:rFonts w:hint="eastAsia" w:ascii="宋体" w:hAnsi="宋体" w:eastAsia="宋体" w:cs="宋体"/>
          <w:color w:val="auto"/>
          <w:szCs w:val="24"/>
        </w:rPr>
      </w:pPr>
      <w:r>
        <w:rPr>
          <w:rFonts w:hint="eastAsia" w:ascii="宋体" w:hAnsi="宋体" w:eastAsia="宋体" w:cs="宋体"/>
          <w:bCs/>
          <w:color w:val="auto"/>
          <w:szCs w:val="24"/>
        </w:rPr>
        <w:t>③</w:t>
      </w:r>
      <w:r>
        <w:rPr>
          <w:rFonts w:hint="eastAsia" w:ascii="宋体" w:hAnsi="宋体" w:eastAsia="宋体" w:cs="宋体"/>
          <w:color w:val="auto"/>
          <w:szCs w:val="24"/>
        </w:rPr>
        <w:t>捏造事实、提供虚假材料或者以非法手段取得证明材料的投诉将被驳回，并将提出投诉的投标人列入不良行为记录名单，禁止其一至三年内参加政府采购活动。</w:t>
      </w:r>
    </w:p>
    <w:p w14:paraId="7F88DF1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7、依法严惩捏造事实诬告陷害、诽谤他人的行为。</w:t>
      </w:r>
    </w:p>
    <w:p w14:paraId="5B2E4C8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①《中华人民共和国刑法》第243条【诬告陷害罪】捏造事实诬告陷害他人，意图使他人受刑事追究，情节严重的，处三年以下有期徒刑、拘役或者管制；造成严重后果的，处三年以上十年以下有期徒刑。</w:t>
      </w:r>
    </w:p>
    <w:p w14:paraId="7C100431">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②《中华人民共和国刑法》第246条【侮辱罪、诽谤罪】以暴力或者其他方法公然侮辱他人或者捏造事实诽谤他人，情节严重的，处三年以下有期徒刑、拘役、管制或者剥夺政治权利。</w:t>
      </w:r>
    </w:p>
    <w:p w14:paraId="7AE923A2">
      <w:pPr>
        <w:spacing w:line="288" w:lineRule="auto"/>
        <w:ind w:firstLine="480" w:firstLineChars="200"/>
        <w:rPr>
          <w:rFonts w:hint="eastAsia" w:ascii="宋体" w:hAnsi="宋体" w:eastAsia="宋体" w:cs="宋体"/>
          <w:color w:val="auto"/>
          <w:szCs w:val="24"/>
        </w:rPr>
      </w:pPr>
      <w:bookmarkStart w:id="23" w:name="_Toc13334"/>
      <w:bookmarkStart w:id="24" w:name="_Toc32437"/>
      <w:bookmarkStart w:id="25" w:name="_Toc26247"/>
      <w:bookmarkStart w:id="26" w:name="_Toc16384"/>
      <w:r>
        <w:rPr>
          <w:rFonts w:hint="eastAsia" w:ascii="宋体" w:hAnsi="宋体" w:eastAsia="宋体" w:cs="宋体"/>
          <w:color w:val="auto"/>
          <w:szCs w:val="24"/>
        </w:rPr>
        <w:t>8、质疑函递交地址：</w:t>
      </w:r>
    </w:p>
    <w:p w14:paraId="7EEF5B6D">
      <w:pPr>
        <w:spacing w:line="288" w:lineRule="auto"/>
        <w:ind w:firstLine="480" w:firstLineChars="200"/>
        <w:rPr>
          <w:rFonts w:hint="eastAsia" w:ascii="宋体" w:hAnsi="宋体" w:eastAsia="宋体" w:cs="宋体"/>
          <w:b w:val="0"/>
          <w:bCs w:val="0"/>
          <w:color w:val="auto"/>
          <w:szCs w:val="24"/>
          <w:lang w:val="en-US" w:eastAsia="zh-CN"/>
        </w:rPr>
      </w:pPr>
      <w:r>
        <w:rPr>
          <w:rFonts w:hint="eastAsia" w:ascii="宋体" w:hAnsi="宋体" w:eastAsia="宋体" w:cs="宋体"/>
          <w:color w:val="auto"/>
          <w:szCs w:val="24"/>
        </w:rPr>
        <w:t>采购代理机构：</w:t>
      </w:r>
      <w:r>
        <w:rPr>
          <w:rFonts w:hint="eastAsia" w:hAnsi="宋体" w:cs="宋体"/>
          <w:color w:val="auto"/>
          <w:szCs w:val="24"/>
          <w:lang w:eastAsia="zh-CN"/>
        </w:rPr>
        <w:t>陕西盛誉恒正项目管理有限公司</w:t>
      </w:r>
      <w:r>
        <w:rPr>
          <w:rFonts w:hint="eastAsia" w:ascii="宋体" w:hAnsi="宋体" w:eastAsia="宋体" w:cs="宋体"/>
          <w:color w:val="auto"/>
          <w:szCs w:val="24"/>
        </w:rPr>
        <w:t xml:space="preserve">  </w:t>
      </w:r>
      <w:r>
        <w:rPr>
          <w:rFonts w:hint="eastAsia" w:ascii="宋体" w:hAnsi="宋体" w:eastAsia="宋体" w:cs="宋体"/>
          <w:b w:val="0"/>
          <w:bCs w:val="0"/>
          <w:color w:val="auto"/>
          <w:szCs w:val="24"/>
        </w:rPr>
        <w:t xml:space="preserve"> </w:t>
      </w:r>
      <w:r>
        <w:rPr>
          <w:rFonts w:hint="eastAsia" w:ascii="宋体" w:hAnsi="宋体" w:eastAsia="宋体" w:cs="宋体"/>
          <w:b w:val="0"/>
          <w:bCs w:val="0"/>
          <w:color w:val="auto"/>
          <w:szCs w:val="24"/>
          <w:highlight w:val="none"/>
        </w:rPr>
        <w:t>联系电话：</w:t>
      </w:r>
      <w:r>
        <w:rPr>
          <w:rFonts w:hint="eastAsia" w:ascii="宋体" w:hAnsi="宋体" w:eastAsia="宋体" w:cs="宋体"/>
          <w:b w:val="0"/>
          <w:bCs w:val="0"/>
          <w:color w:val="auto"/>
          <w:szCs w:val="24"/>
          <w:highlight w:val="none"/>
          <w:lang w:val="en-US" w:eastAsia="zh-CN"/>
        </w:rPr>
        <w:t>18717696566</w:t>
      </w:r>
    </w:p>
    <w:p w14:paraId="43B18897">
      <w:pPr>
        <w:spacing w:line="288" w:lineRule="auto"/>
        <w:ind w:firstLine="480" w:firstLineChars="200"/>
        <w:rPr>
          <w:rFonts w:hint="default" w:ascii="宋体" w:hAnsi="宋体" w:eastAsia="宋体" w:cs="宋体"/>
          <w:color w:val="0000FF"/>
          <w:szCs w:val="24"/>
          <w:lang w:val="en-US" w:eastAsia="zh-CN"/>
        </w:rPr>
      </w:pPr>
      <w:r>
        <w:rPr>
          <w:rFonts w:hint="eastAsia" w:ascii="宋体" w:hAnsi="宋体" w:eastAsia="宋体" w:cs="宋体"/>
          <w:color w:val="auto"/>
          <w:szCs w:val="24"/>
        </w:rPr>
        <w:t>递交地址：</w:t>
      </w:r>
      <w:r>
        <w:rPr>
          <w:rFonts w:hint="eastAsia" w:ascii="宋体" w:hAnsi="宋体" w:eastAsia="宋体" w:cs="宋体"/>
          <w:color w:val="auto"/>
          <w:szCs w:val="24"/>
          <w:lang w:eastAsia="zh-CN"/>
        </w:rPr>
        <w:t>陕西省榆林市绿洲阳光小区1号楼1单元</w:t>
      </w:r>
      <w:r>
        <w:rPr>
          <w:rFonts w:hint="eastAsia" w:hAnsi="宋体" w:cs="宋体"/>
          <w:color w:val="auto"/>
          <w:szCs w:val="24"/>
          <w:lang w:val="en-US" w:eastAsia="zh-CN"/>
        </w:rPr>
        <w:t>19</w:t>
      </w:r>
      <w:r>
        <w:rPr>
          <w:rFonts w:hint="eastAsia" w:ascii="宋体" w:hAnsi="宋体" w:eastAsia="宋体" w:cs="宋体"/>
          <w:color w:val="auto"/>
          <w:szCs w:val="24"/>
          <w:lang w:eastAsia="zh-CN"/>
        </w:rPr>
        <w:t>01</w:t>
      </w:r>
    </w:p>
    <w:p w14:paraId="00259F5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9、投诉书递交地址：</w:t>
      </w:r>
    </w:p>
    <w:p w14:paraId="5A708BC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监督机构：</w:t>
      </w:r>
      <w:r>
        <w:rPr>
          <w:rFonts w:hint="eastAsia" w:hAnsi="宋体" w:cs="宋体"/>
          <w:color w:val="auto"/>
          <w:szCs w:val="24"/>
          <w:lang w:val="en-US" w:eastAsia="zh-CN"/>
        </w:rPr>
        <w:t>清涧县</w:t>
      </w:r>
      <w:r>
        <w:rPr>
          <w:rFonts w:hint="eastAsia" w:ascii="宋体" w:hAnsi="宋体" w:eastAsia="宋体" w:cs="宋体"/>
          <w:color w:val="auto"/>
          <w:szCs w:val="24"/>
        </w:rPr>
        <w:t>财政局</w:t>
      </w:r>
    </w:p>
    <w:p w14:paraId="6DD59498">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（三）关于信用记录的查询和使用</w:t>
      </w:r>
    </w:p>
    <w:p w14:paraId="5CF348BC">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1、采购人、采购代理机构在资格审查阶段通过【信用中国（www.creditchina.gov.cn】、【中国政府采购网（www.ccgp.gov.cn）】网站对投标人的信用情况进行甄别。对列入严重失信主体、重大税收违法失信主体、政府采购严重违法失信行为记录名单及其他不符合《中华人民共和国政府采购法》第二十二条规定条件的投标人，拒绝其参本次投标活动。</w:t>
      </w:r>
    </w:p>
    <w:p w14:paraId="72933D51">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2、投标人在参加政府采购活动前3年内因违法经营被禁止在一定期限内参加政府采购活动，期限届满的，可以参加政府采购活动的，但投标人应提供相关证明材料。</w:t>
      </w:r>
    </w:p>
    <w:p w14:paraId="0B1C6CF5">
      <w:pPr>
        <w:spacing w:line="288" w:lineRule="auto"/>
        <w:ind w:firstLine="480" w:firstLineChars="200"/>
        <w:rPr>
          <w:rFonts w:hint="eastAsia" w:ascii="宋体" w:hAnsi="宋体" w:eastAsia="宋体" w:cs="宋体"/>
          <w:color w:val="auto"/>
          <w:spacing w:val="-10"/>
          <w:szCs w:val="24"/>
        </w:rPr>
      </w:pPr>
      <w:r>
        <w:rPr>
          <w:rFonts w:hint="eastAsia" w:ascii="宋体" w:hAnsi="宋体" w:eastAsia="宋体" w:cs="宋体"/>
          <w:color w:val="auto"/>
          <w:szCs w:val="24"/>
        </w:rPr>
        <w:t>3、投标人信用记录查询的时间段为“招标公告发布之日（含当日）至提交投标文件截止之日（不含当日）”。信用记录查询的结果，将以纸质截图或将截图保存至电子介质的形式留存。投标人未如实填报《书面声明函》的，视为“投标人提供虚假材料谋取中标、成交的”行为，</w:t>
      </w:r>
      <w:r>
        <w:rPr>
          <w:rFonts w:hint="eastAsia" w:ascii="宋体" w:hAnsi="宋体" w:eastAsia="宋体" w:cs="宋体"/>
          <w:color w:val="auto"/>
          <w:spacing w:val="-10"/>
          <w:szCs w:val="24"/>
        </w:rPr>
        <w:t>拒绝其参本次投标活动。</w:t>
      </w:r>
      <w:bookmarkEnd w:id="23"/>
      <w:bookmarkEnd w:id="24"/>
      <w:bookmarkEnd w:id="25"/>
      <w:bookmarkEnd w:id="26"/>
      <w:bookmarkStart w:id="27" w:name="_Toc4945"/>
      <w:bookmarkStart w:id="28" w:name="_Toc30404"/>
      <w:bookmarkStart w:id="29" w:name="_Toc15976"/>
      <w:bookmarkStart w:id="30" w:name="_Toc4661"/>
    </w:p>
    <w:bookmarkEnd w:id="27"/>
    <w:bookmarkEnd w:id="28"/>
    <w:bookmarkEnd w:id="29"/>
    <w:bookmarkEnd w:id="30"/>
    <w:p w14:paraId="222A0935">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210" w:leftChars="0"/>
        <w:textAlignment w:val="auto"/>
        <w:rPr>
          <w:rFonts w:hint="eastAsia" w:ascii="宋体" w:hAnsi="宋体" w:eastAsia="宋体" w:cs="宋体"/>
          <w:b/>
          <w:bCs/>
          <w:color w:val="auto"/>
          <w:sz w:val="24"/>
          <w:szCs w:val="24"/>
        </w:rPr>
      </w:pPr>
      <w:bookmarkStart w:id="31" w:name="_Toc22982"/>
      <w:bookmarkStart w:id="32" w:name="_Toc1993"/>
      <w:bookmarkStart w:id="33" w:name="_Toc16749"/>
      <w:bookmarkStart w:id="34" w:name="_Toc16492"/>
      <w:r>
        <w:rPr>
          <w:rFonts w:hint="eastAsia" w:ascii="宋体" w:hAnsi="宋体" w:eastAsia="宋体" w:cs="宋体"/>
          <w:b/>
          <w:bCs/>
          <w:color w:val="auto"/>
          <w:sz w:val="24"/>
          <w:szCs w:val="24"/>
          <w:lang w:val="en-US" w:eastAsia="zh-CN"/>
        </w:rPr>
        <w:t>（四）中小企业划型标准</w:t>
      </w:r>
    </w:p>
    <w:p w14:paraId="68CAF1F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一、根据《中华人民共和国中小企业促进法》和《国务院关于进一步促进中小企业发展的若干意见》(国发〔2009〕36号)，制定本规定。</w:t>
      </w:r>
    </w:p>
    <w:p w14:paraId="681BD20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二、中小企业划分为中型、小型、微型三种类型，具体标准根据企业从业人员、营业收入、资产总额等指标，结合行业特点制定。</w:t>
      </w:r>
    </w:p>
    <w:p w14:paraId="7D5A40AF">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6BBA47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四、各行业划型标准为：</w:t>
      </w:r>
    </w:p>
    <w:p w14:paraId="5A67DFD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（一）农、林、牧、渔业。营业收入20000万元以下的为中小微型企业。其中，营业收入500万元及以上的为中型企业，营业收入50万元及以上的为小型企业，营业收入50万元以下的为微型企业。</w:t>
      </w:r>
    </w:p>
    <w:p w14:paraId="3C958CA5">
      <w:pPr>
        <w:spacing w:line="288" w:lineRule="auto"/>
        <w:ind w:firstLine="482" w:firstLineChars="200"/>
        <w:rPr>
          <w:rFonts w:hint="eastAsia" w:ascii="宋体" w:hAnsi="宋体" w:eastAsia="宋体" w:cs="宋体"/>
          <w:b/>
          <w:bCs/>
          <w:color w:val="auto"/>
          <w:szCs w:val="24"/>
        </w:rPr>
      </w:pPr>
      <w:r>
        <w:rPr>
          <w:rFonts w:hint="eastAsia" w:ascii="宋体" w:hAnsi="宋体" w:eastAsia="宋体" w:cs="宋体"/>
          <w:b/>
          <w:bCs/>
          <w:color w:val="auto"/>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49BB2E5">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43AC4C">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6386659">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29063D8">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773C5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8F73A0E">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1423A52">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D7DC377">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A731148">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59EDA2">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AE3B66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6830404">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0170B12">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FE664E6">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（十六）其他未列明行业。从业人员300人以下的为中小微型企业。其中，从业人员100人及以上的为中型企业；从业人员10人及以上的为小型企业；从业人员10人以下的为微型企业。</w:t>
      </w:r>
    </w:p>
    <w:p w14:paraId="6187AD9E">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五、企业类型的划分以统计部门的统计数据为依据。</w:t>
      </w:r>
    </w:p>
    <w:p w14:paraId="0313EBD1">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六、本规定适用于在中华人民共和国境内依法设立的各类所有制和各种组织形式的企业。个体工商户和本规定以外的行业，参照本规定进行划型。</w:t>
      </w:r>
    </w:p>
    <w:p w14:paraId="11FB8511">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40472662">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八、本规定由工业和信息化部、国家统计局会同有关部门根据《国民经济行业分类》修订情况和企业发展变化情况适时修订。</w:t>
      </w:r>
    </w:p>
    <w:p w14:paraId="5C18F0FA">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九、本规定由工业和信息化部、国家统计局会同有关部门负责解释。</w:t>
      </w:r>
    </w:p>
    <w:p w14:paraId="4E0B59A6">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十、本规定自发布之日起执行，原国家经贸委、原国家计委、财政部和国家统计局2003年颁布的《中小企业标准暂行规定》同时废止。</w:t>
      </w:r>
    </w:p>
    <w:p w14:paraId="389E590A">
      <w:pPr>
        <w:spacing w:line="288" w:lineRule="auto"/>
        <w:ind w:firstLine="480" w:firstLineChars="200"/>
        <w:jc w:val="lef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   （十一）政采文件</w:t>
      </w:r>
    </w:p>
    <w:p w14:paraId="6755FFEC">
      <w:pPr>
        <w:spacing w:line="288" w:lineRule="auto"/>
        <w:ind w:firstLine="241" w:firstLineChars="100"/>
        <w:rPr>
          <w:rFonts w:hint="eastAsia" w:ascii="宋体" w:hAnsi="宋体" w:eastAsia="宋体" w:cs="宋体"/>
          <w:color w:val="auto"/>
          <w:sz w:val="24"/>
          <w:szCs w:val="24"/>
          <w:lang w:val="en-US" w:eastAsia="zh-CN"/>
        </w:rPr>
      </w:pPr>
      <w:r>
        <w:rPr>
          <w:rFonts w:hint="eastAsia" w:ascii="宋体" w:hAnsi="宋体" w:eastAsia="宋体" w:cs="宋体"/>
          <w:b/>
          <w:bCs/>
          <w:color w:val="auto"/>
          <w:szCs w:val="24"/>
        </w:rPr>
        <w:t>（</w:t>
      </w:r>
      <w:r>
        <w:rPr>
          <w:rFonts w:hint="eastAsia" w:ascii="宋体" w:hAnsi="宋体" w:eastAsia="宋体" w:cs="宋体"/>
          <w:b/>
          <w:bCs/>
          <w:color w:val="auto"/>
          <w:szCs w:val="24"/>
          <w:lang w:eastAsia="zh-CN"/>
        </w:rPr>
        <w:t>五</w:t>
      </w:r>
      <w:r>
        <w:rPr>
          <w:rFonts w:hint="eastAsia" w:ascii="宋体" w:hAnsi="宋体" w:eastAsia="宋体" w:cs="宋体"/>
          <w:b/>
          <w:bCs/>
          <w:color w:val="auto"/>
          <w:szCs w:val="24"/>
        </w:rPr>
        <w:t>）执行优惠政策</w:t>
      </w:r>
    </w:p>
    <w:p w14:paraId="19D2A5E4">
      <w:pPr>
        <w:pStyle w:val="11"/>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 xml:space="preserve">政府采购促进中小企业发展管理办法 </w:t>
      </w:r>
    </w:p>
    <w:p w14:paraId="25B7C9F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第一条 为了发挥政府采购的政策功能，促进中小企业 健康发展，根据《中华人民共和国政府采购法》、《中华人民 共和国中小企业促进法》等有关法律法规，制定本办法。 </w:t>
      </w:r>
    </w:p>
    <w:p w14:paraId="1DA3ED0C">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 中视同中小企业。 </w:t>
      </w:r>
    </w:p>
    <w:p w14:paraId="105BDE1E">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第三条 采购人在政府采购活动中应当通过加强采购 需求管理，落实预留采购份额、价格评审优惠、优先采购等 措施，提高中小企业在政府采购中的份额，支持中小企业发展。 </w:t>
      </w:r>
    </w:p>
    <w:p w14:paraId="5054D5DB">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第四条 在政府采购活动中，供应商提供的货物、工程或者服务符合下列情形的，享受本办法规定的中小企业扶持政策： </w:t>
      </w:r>
    </w:p>
    <w:p w14:paraId="0BA967BD">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（一）在货物采购项目中，货物由中小企业制造，即货物由中小企业生产且使用该中小企业商号或者注册商标； </w:t>
      </w:r>
    </w:p>
    <w:p w14:paraId="4CAC2E9D">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（二）在工程采购项目中，工程由中小企业承建，即工程施工单位为中小企业； </w:t>
      </w:r>
    </w:p>
    <w:p w14:paraId="6B88B3F4">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（三）在服务采购项目中，服务由中小企业承接，即提供服务的人员为中小企业依照《中华人民共和国劳动合同法》订立劳动合同的从业人员。</w:t>
      </w:r>
    </w:p>
    <w:p w14:paraId="7A510EE7">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3CA7A7BA">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第五条 采购人在政府采购活动中应当合理确定采购 项目的采购需求，不得以企业注册资本、资产总额、营业收入、从业人员、利润、纳税额等规模条件和财务指标作为供应商的资格要求或者评审因素，不得在企业股权结构、经营 年限等方面对中小企业实行差别待遇或者歧视待遇。 </w:t>
      </w:r>
    </w:p>
    <w:p w14:paraId="70769866">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第六条 主管预算单位应当组织评估本部门及所属单 位政府采购项目，统筹制定面向中小企业预留采购份额的具体方案，对适宜由中小企业提供的采购项目和采购包，预留采购份额专门面向中小企业采购，并在政府采购预算中单独列示。符合下列情形之一的，可不专门面向中小企业预留采购份额：</w:t>
      </w:r>
    </w:p>
    <w:p w14:paraId="4A86B2B3">
      <w:pPr>
        <w:spacing w:line="288" w:lineRule="auto"/>
        <w:ind w:firstLine="480" w:firstLineChars="200"/>
        <w:jc w:val="left"/>
        <w:rPr>
          <w:rFonts w:hint="eastAsia" w:ascii="宋体" w:hAnsi="宋体" w:eastAsia="宋体" w:cs="宋体"/>
          <w:color w:val="auto"/>
          <w:szCs w:val="24"/>
          <w:lang w:val="en-US" w:eastAsia="zh-CN"/>
        </w:rPr>
      </w:pPr>
      <w:r>
        <w:rPr>
          <w:rFonts w:hint="eastAsia" w:ascii="宋体" w:hAnsi="宋体" w:eastAsia="宋体" w:cs="宋体"/>
          <w:color w:val="auto"/>
          <w:szCs w:val="24"/>
        </w:rPr>
        <w:t>（一）法律法规和国家有关政策明确规定优先或者应当面向事业单位、社会组织等非企业主体采购的；</w:t>
      </w:r>
    </w:p>
    <w:p w14:paraId="70A5BB2F">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（二）因确需使用不可替代的专利、专有技术，基础设 施限制，或者提供特定公共服务等原因，只能从中小企业之 外的供应商处采购的； </w:t>
      </w:r>
    </w:p>
    <w:p w14:paraId="6D890465">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（三）按照本办法规定预留采购份额无法确保充分供应、 充分竞争，或者存在可能影响政府采购目标实现的情形； </w:t>
      </w:r>
    </w:p>
    <w:p w14:paraId="3EB1F658">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（四）框架协议采购项目； </w:t>
      </w:r>
    </w:p>
    <w:p w14:paraId="46197F39">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（五）省级以上人民政府财政部门规定的其他情形。 除上述情形外，其他均为适宜由中小企业提供的情形。</w:t>
      </w:r>
    </w:p>
    <w:p w14:paraId="6C3E797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 第七条 采购限额标准以上，200万元以下的货物和服务采购项目、400 万元以下的工程采购项目，适宜由中小企业提供的，采购人应当专门面向中小企业采购。 </w:t>
      </w:r>
    </w:p>
    <w:p w14:paraId="1D8120C7">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 </w:t>
      </w:r>
    </w:p>
    <w:p w14:paraId="2727427F">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（一）将采购项目整体或者设置采购包专门面向中小企业采购； </w:t>
      </w:r>
    </w:p>
    <w:p w14:paraId="39A5DBE9">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（二）要求供应商以联合体形式参加采购活动，且联合 体中中小企业承担的部分达到一定比例； </w:t>
      </w:r>
    </w:p>
    <w:p w14:paraId="3FCEDC8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（三）要求获得采购合同的供应商将采购项目中的一定比例分包给一家或者多家中小企业。 组成联合体或者接受分包合同的中小企业与联合体内其他企业、分包企业之间不得存在直接控股、管理关系。 </w:t>
      </w:r>
    </w:p>
    <w:p w14:paraId="6E5A4829">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第九条 对于经主管预算单位统筹后未预留份额专门面向中小企业采购的采购项目，以及预留份额项目中的非预留部分采购包，采购人、采购代理机构应当对符合本办法规定的小微企业报价给予 6%—10%（工程项目为 3%—5%）的扣除，用扣除后的价格参加评审。适用招标投标法的政府采购工程建设项目，采用综合评估法但未采用低价优先法计算价格分的，评标时应当在采用原报价进行评分的基础上增加其价格得分的 3%—5%作为其价格分。 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 的小微企业与联合体内其他企业、分包企业之间存在直接控股、管理关系的，不享受价格扣除优惠政策。 价格扣除比例或者价格分加分比例对小型企业和微型 企业同等对待，不作区分。具体采购项目的价格扣除比例或 者价格分加分比例，由采购人根据采购标的相关行业平均利 润率、市场竞争状况等，在本办法规定的幅度内确定。 </w:t>
      </w:r>
    </w:p>
    <w:p w14:paraId="72A0EF04">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 </w:t>
      </w:r>
    </w:p>
    <w:p w14:paraId="081ED892">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第十一条 中小企业参加政府采购活动，应当出具本办 法规定的《中小企业声明函》（附 1），否则不得享受相关中 小企业扶持政策。任何单位和个人不得要求供应商提供《中小企业声明函》之外的中小企业身份证明文件。 </w:t>
      </w:r>
    </w:p>
    <w:p w14:paraId="073E42CB">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第十二条 采购项目涉及中小企业采购的，采购文件应当明确以下内容： </w:t>
      </w:r>
    </w:p>
    <w:p w14:paraId="3FAFBAF5">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（一）预留份额的采购项目或者采购包，明确该项目或相关采购包专门面向中小企业采购，以及相关标的及预算金额； </w:t>
      </w:r>
    </w:p>
    <w:p w14:paraId="0E2E306C">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（二）要求以联合体形式参加或者合同分包的，明确联合协议或者分包意向协议中中小企业合同金额应当达到的比例，并作为供应商资格条件； </w:t>
      </w:r>
    </w:p>
    <w:p w14:paraId="4A7A6A56">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（三）非预留份额的采购项目或者采购包，明确有关价格扣除比例或者价格分加分比例； </w:t>
      </w:r>
    </w:p>
    <w:p w14:paraId="0E14C7EF">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（四）规定依据本办法规定享受扶持政策获得政府采购合同的，小微企业不得将合同分包给大中型企业，中型企业不得将合同分包给大型企业； </w:t>
      </w:r>
    </w:p>
    <w:p w14:paraId="06B29B28">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（五）采购人认为具备相关条件的，明确对中小企业在资金支付期限、预付款比例等方面的优惠措施； </w:t>
      </w:r>
    </w:p>
    <w:p w14:paraId="5AB44E85">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（六）明确采购标的对应的中小企业划分标准所属行业； </w:t>
      </w:r>
    </w:p>
    <w:p w14:paraId="27FC7C8D">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（七）法律法规和省级以上人民政府财政部门规定的其他事项。 </w:t>
      </w:r>
    </w:p>
    <w:p w14:paraId="11F0AB5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第十三条 中标、成交供应商享受本办法规定的中小企业扶持政策的，采购人、采购代理机构应当随中标、成交结果公开中标、成交供应商的《中小企业声明函》。 适用招标投标法的政府采购工程建设项目，应当在公示中标候选人时公开中标候选人的《中小企业声明函》。 </w:t>
      </w:r>
    </w:p>
    <w:p w14:paraId="3FBBA059">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第十四条 对于通过预留采购项目、预留专门采购包、 要求以联合体形式参加或者合同分包等措施签订的采购合同，应当明确标注本合同为中小企业预留合同。其中，要求以联合体形式参加采购活动或者合同分包的，应当将联合协议或者分包意向协议作为采购合同的组成部分。 </w:t>
      </w:r>
    </w:p>
    <w:p w14:paraId="074FED7A">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第十五条 鼓励各地区、各部门在采购活动中允许中小 企业引入信用担保手段，为中小企业在投标（响应）保证、 履约保证等方面提供专业化服务。鼓励中小企业依法合规通 过政府采购合同融资。</w:t>
      </w:r>
    </w:p>
    <w:p w14:paraId="5879AF59">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 第十六条 政府采购监督检查、投诉处理及政府采购行 政处罚中对中小企业的认定，由货物制造商或者工程、服务 供应商注册登记所在地的县级以上人民政府中小企业主管 部门负责。 中小企业主管部门应当在收到财政部门或者有关招标 投标行政监督部门关于协助开展中小企业认定函后10个工作日内做出书面答复。 </w:t>
      </w:r>
    </w:p>
    <w:p w14:paraId="64B80423">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第十七条 各地区、各部门应当对涉及中小企业采购的 预算项目实施全过程绩效管理，合理设置绩效目标和指标，落实扶持中小企业有关政策要求，定期开展绩效监控和评价， 强化绩效评价结果应用。 </w:t>
      </w:r>
    </w:p>
    <w:p w14:paraId="116A8934">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第十八条 主管预算单位应当自 2022 年起向同级财政部门报告本部门上一年度面向中小企业预留份额和采购的具体情况，并在中国政府采购网公开预留项目执行情况(附2)。未达到本办法规定的预留份额比例的，应当作出说明。 </w:t>
      </w:r>
    </w:p>
    <w:p w14:paraId="549B0B9D">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 </w:t>
      </w:r>
    </w:p>
    <w:p w14:paraId="65CABCBB">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第二十条 供应商按照本办法规定提供声明函内容不实的，属于提供虚假材料谋取中标、成交，依照《中华人民共和国政府采购法》等国家有关规定追究相应责任。 适用招标投标法的政府采购工程建设项目，投标人按照本办法规定提供声明函内容不实的，属于弄虚作假骗取中标， 依照《中华人民共和国招标投标法》等国家有关规定追究相应责任。 </w:t>
      </w:r>
    </w:p>
    <w:p w14:paraId="4AA8C6C0">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第二十一条 财政部门、中小企业主管部门及其工作人员在履行职责中违反本办法规定及存在其他滥用职权、玩忽 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 </w:t>
      </w:r>
    </w:p>
    <w:p w14:paraId="3BE7CA14">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第二十二条 对外援助项目、国家相关资格或者资质管理制度另有规定的项目，不适用本办法。 </w:t>
      </w:r>
    </w:p>
    <w:p w14:paraId="3B8FE19C">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第二十三条 关于视同中小企业的其他主体的政府采 购扶持政策，由财政部会同有关部门另行规定。 </w:t>
      </w:r>
    </w:p>
    <w:p w14:paraId="554881BA">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第二十四条 省级财政部门可以会同中小企业主管部 门根据本办法的规定制定具体实施办法。 </w:t>
      </w:r>
    </w:p>
    <w:p w14:paraId="41567D16">
      <w:pPr>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第二十五条 本办法自 2021 年 1 月 1 日起施行。《财政部工业和信息化部关于印发〈政府采购促进中小企业发展暂行办法〉的通知》（财库﹝2011﹞181 号）同时废止。</w:t>
      </w:r>
    </w:p>
    <w:p w14:paraId="700BEF8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right="0"/>
        <w:jc w:val="both"/>
        <w:rPr>
          <w:rFonts w:hint="eastAsia" w:ascii="宋体" w:hAnsi="宋体" w:eastAsia="宋体" w:cs="宋体"/>
          <w:b/>
          <w:bCs/>
          <w:i w:val="0"/>
          <w:iCs w:val="0"/>
          <w:caps w:val="0"/>
          <w:color w:val="auto"/>
          <w:spacing w:val="0"/>
          <w:sz w:val="24"/>
          <w:szCs w:val="24"/>
          <w:u w:val="none"/>
        </w:rPr>
      </w:pPr>
      <w:r>
        <w:rPr>
          <w:rFonts w:hint="eastAsia" w:ascii="宋体" w:hAnsi="宋体" w:eastAsia="宋体" w:cs="宋体"/>
          <w:b/>
          <w:bCs/>
          <w:i w:val="0"/>
          <w:iCs w:val="0"/>
          <w:caps w:val="0"/>
          <w:color w:val="auto"/>
          <w:spacing w:val="0"/>
          <w:sz w:val="24"/>
          <w:szCs w:val="24"/>
          <w:u w:val="none"/>
          <w:shd w:val="clear" w:color="auto" w:fill="FFFFFF"/>
          <w:lang w:val="en-US" w:eastAsia="zh-CN"/>
        </w:rPr>
        <w:t>2.</w:t>
      </w:r>
      <w:r>
        <w:rPr>
          <w:rFonts w:hint="eastAsia" w:ascii="宋体" w:hAnsi="宋体" w:eastAsia="宋体" w:cs="宋体"/>
          <w:b/>
          <w:bCs/>
          <w:i w:val="0"/>
          <w:iCs w:val="0"/>
          <w:caps w:val="0"/>
          <w:color w:val="auto"/>
          <w:spacing w:val="0"/>
          <w:sz w:val="24"/>
          <w:szCs w:val="24"/>
          <w:u w:val="none"/>
          <w:shd w:val="clear" w:color="auto" w:fill="FFFFFF"/>
        </w:rPr>
        <w:t>榆林市财政局关于进一步加大政府采购支持中小企业力度的通知</w:t>
      </w:r>
    </w:p>
    <w:p w14:paraId="144A40B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center"/>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 榆政财采发〔2022〕10号</w:t>
      </w:r>
    </w:p>
    <w:p w14:paraId="55828EC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市级各部门各单位，各县市区、榆林高新区、榆神工业区财政局，各政府采购代理机构，各评审专家:</w:t>
      </w:r>
    </w:p>
    <w:p w14:paraId="1D29DB8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为深入贯彻党中央、国务院和省委、省政府决策部署，全面落实中省关于稳住经济大盘的有关要求，加强政府采购领域对中小企业支持力度，降低中小企业参与门槛，根据《陕西省财政厅关于进一步加大政府采购支持中小企业力度的通知》（陕财办采〔2022〕5号）等相关规定要求，提出以下工作措施，请遵照执行：</w:t>
      </w:r>
    </w:p>
    <w:p w14:paraId="0DE42C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一、提高政府采购面向中小企业预留份额。采购限额标准以上，200万元以下的货物和服务采购项目、400万元以下的工程采购项目，适宜由中小企业提供的，采购人应当专门面向中小企业采购。超过200万元的货物和服务采购项目、超过400万元的工程采购项目中适宜由中小企业提供的，面向中小企业的预留份额今年阶段性提高至40%以上，其中预留给小微企业比例不低于70%。采购单位应当通过加强采购需求管理，切实把政府采购面向中小企业预留份额的政策落到实处。</w:t>
      </w:r>
    </w:p>
    <w:p w14:paraId="34D1EA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二、调整对小微企业的价格评审优惠幅度。明确对非专门面向中小企业采购的货物服务项目，小微企业的价格扣除比例提高至20%。对于货物服务采购项目联合协议或者分包意向协议约定小微企业的合同份额占到合同总金额30%以上的，价格扣除优惠提高至6%。自本通知执行之日起发布采购公告或者发出采购邀请的货物服务采购项目，按照本通知规定的评审优惠幅度执行。</w:t>
      </w:r>
    </w:p>
    <w:p w14:paraId="6A42D70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三、准确理解政策支持范围。在货物采购项目中，货物由中小企业制造（货物由中小企业生产且使用该中小企业商号或者注册商标）的，可享受中小企业扶持政策，对投标企业性质不作要求。如果一个采购项目或采购包含有多个采购标的的，则每个采购标的均应由中小企业制造。在政府采购项目中，工程由中小企业承建的、服务由中小企业承接的，可享受中小企业扶持政策。供应商应当按照采购文件中明确的采购标的对应行业出具中小企业声明函。专门面向中小企业采购的项目或者采购包，不再执行价格评审优惠的扶持政策。</w:t>
      </w:r>
    </w:p>
    <w:p w14:paraId="7BF6DD0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四、完善采购文件编制。采购人和采购代理机构发布的采购公告和采购文件，应明确该项目或相关采购包是否专门面向中小企业采购，明确价格评审优惠政策和价格扣除比例，推动政策的有效执行。采购公告和采购文件应告知参加政府采购活动的中小企业，应当出具《政府采购促进中小企业发展管理办法》规定的《中小企业声明函》，否则不得享受相关中小企业扶持政策。任何单位和个人不得要求供应商提供《中小企业声明函》之外的中小企业身份证明文件。</w:t>
      </w:r>
    </w:p>
    <w:p w14:paraId="46DC226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五、支持中小企业政府采购信用融资工作。采购人、采购代理机构要加强政策宣传，在采购文件中明确注明融资平台、渠道等内容，主动向参与政府采购活动的供应商宣传政府采购信用贷款政策。采购人、采购代理机构对有贷款意向的供应商，要积极配合，提供相关信息、资料。</w:t>
      </w:r>
    </w:p>
    <w:p w14:paraId="019EB8D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六、加快政府采购资金支付进度。政府采购合同应当约定资金支付的方式、时间和条件，明确逾期支付资金的违约责任。对于满足合同约定支付条件的，采购人应当自货物、工程、服务交付之日起30日内支付款项;合同另有约定的，付款期限最长不得超过60日。采购人与中小企业约定以货物、工程、服务交付后经检验或者验收合格作为支付中小企业款项条件的，付款期限应当自检验或者验收合格之日起算。</w:t>
      </w:r>
    </w:p>
    <w:p w14:paraId="56D44AF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lef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七、其他事项。县市区财政部门在审核采购人备案的采购项目时，对落实政府采购支持中小企业政策情况要严格把关。对于采购人、代理机构、评审专家未落实政府采购支持中小企业发展政策的行为，财政部门将根据政府采购法律法规做出严肃处理。</w:t>
      </w:r>
    </w:p>
    <w:p w14:paraId="387FF04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0"/>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 </w:t>
      </w:r>
    </w:p>
    <w:p w14:paraId="0A1EED2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righ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榆林市财政局</w:t>
      </w:r>
    </w:p>
    <w:p w14:paraId="729AF9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spacing w:before="0" w:beforeAutospacing="0" w:after="0" w:afterAutospacing="0" w:line="420" w:lineRule="atLeast"/>
        <w:ind w:left="0" w:right="0" w:firstLine="420"/>
        <w:jc w:val="right"/>
        <w:rPr>
          <w:rFonts w:hint="eastAsia" w:ascii="宋体" w:hAnsi="宋体" w:eastAsia="宋体" w:cs="宋体"/>
          <w:i w:val="0"/>
          <w:iCs w:val="0"/>
          <w:caps w:val="0"/>
          <w:color w:val="auto"/>
          <w:spacing w:val="0"/>
          <w:sz w:val="24"/>
          <w:szCs w:val="24"/>
          <w:u w:val="none"/>
        </w:rPr>
      </w:pPr>
      <w:r>
        <w:rPr>
          <w:rFonts w:hint="eastAsia" w:ascii="宋体" w:hAnsi="宋体" w:eastAsia="宋体" w:cs="宋体"/>
          <w:i w:val="0"/>
          <w:iCs w:val="0"/>
          <w:caps w:val="0"/>
          <w:color w:val="auto"/>
          <w:spacing w:val="0"/>
          <w:sz w:val="24"/>
          <w:szCs w:val="24"/>
          <w:u w:val="none"/>
          <w:shd w:val="clear" w:color="auto" w:fill="FFFFFF"/>
        </w:rPr>
        <w:t>2022年6月15日</w:t>
      </w:r>
    </w:p>
    <w:p w14:paraId="2479D99A">
      <w:pPr>
        <w:pStyle w:val="11"/>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6A57257C">
      <w:pPr>
        <w:pStyle w:val="11"/>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7BFC9AD3">
      <w:pPr>
        <w:pStyle w:val="7"/>
        <w:pageBreakBefore w:val="0"/>
        <w:numPr>
          <w:ilvl w:val="0"/>
          <w:numId w:val="0"/>
        </w:numPr>
        <w:kinsoku/>
        <w:wordWrap w:val="0"/>
        <w:overflowPunct/>
        <w:topLinePunct w:val="0"/>
        <w:autoSpaceDE/>
        <w:autoSpaceDN/>
        <w:bidi w:val="0"/>
        <w:ind w:leftChars="0"/>
        <w:rPr>
          <w:rStyle w:val="26"/>
          <w:rFonts w:hint="eastAsia" w:ascii="宋体" w:hAnsi="宋体" w:eastAsia="宋体" w:cs="宋体"/>
          <w:bCs w:val="0"/>
          <w:color w:val="auto"/>
          <w:kern w:val="0"/>
          <w:sz w:val="24"/>
          <w:szCs w:val="24"/>
          <w:shd w:val="clear" w:color="auto" w:fill="FFFFFF"/>
          <w:vertAlign w:val="baseline"/>
          <w:lang w:val="en-US" w:eastAsia="zh-CN" w:bidi="ar"/>
        </w:rPr>
      </w:pPr>
      <w:r>
        <w:rPr>
          <w:rStyle w:val="26"/>
          <w:rFonts w:hint="eastAsia" w:ascii="宋体" w:hAnsi="宋体" w:eastAsia="宋体" w:cs="宋体"/>
          <w:bCs w:val="0"/>
          <w:color w:val="auto"/>
          <w:kern w:val="0"/>
          <w:sz w:val="24"/>
          <w:szCs w:val="24"/>
          <w:shd w:val="clear" w:color="auto" w:fill="FFFFFF"/>
          <w:vertAlign w:val="baseline"/>
          <w:lang w:val="en-US" w:eastAsia="zh-CN" w:bidi="ar"/>
        </w:rPr>
        <w:br w:type="textWrapping"/>
      </w:r>
    </w:p>
    <w:p w14:paraId="6386BCF8">
      <w:pPr>
        <w:pStyle w:val="7"/>
        <w:pageBreakBefore w:val="0"/>
        <w:numPr>
          <w:ilvl w:val="0"/>
          <w:numId w:val="0"/>
        </w:numPr>
        <w:kinsoku/>
        <w:wordWrap w:val="0"/>
        <w:overflowPunct/>
        <w:topLinePunct w:val="0"/>
        <w:autoSpaceDE/>
        <w:autoSpaceDN/>
        <w:bidi w:val="0"/>
        <w:ind w:leftChars="0"/>
        <w:rPr>
          <w:rStyle w:val="26"/>
          <w:rFonts w:hint="eastAsia" w:ascii="宋体" w:hAnsi="宋体" w:eastAsia="宋体" w:cs="宋体"/>
          <w:bCs w:val="0"/>
          <w:color w:val="auto"/>
          <w:kern w:val="0"/>
          <w:sz w:val="24"/>
          <w:szCs w:val="24"/>
          <w:shd w:val="clear" w:color="auto" w:fill="FFFFFF"/>
          <w:vertAlign w:val="baseline"/>
          <w:lang w:val="en-US" w:eastAsia="zh-CN" w:bidi="ar"/>
        </w:rPr>
      </w:pPr>
      <w:r>
        <w:rPr>
          <w:rStyle w:val="26"/>
          <w:rFonts w:hint="eastAsia" w:ascii="宋体" w:hAnsi="宋体" w:eastAsia="宋体" w:cs="宋体"/>
          <w:bCs w:val="0"/>
          <w:color w:val="auto"/>
          <w:kern w:val="0"/>
          <w:sz w:val="24"/>
          <w:szCs w:val="24"/>
          <w:shd w:val="clear" w:color="auto" w:fill="FFFFFF"/>
          <w:vertAlign w:val="baseline"/>
          <w:lang w:val="en-US" w:eastAsia="zh-CN" w:bidi="ar"/>
        </w:rPr>
        <w:br w:type="textWrapping"/>
      </w:r>
    </w:p>
    <w:p w14:paraId="0A4ED8CD">
      <w:pPr>
        <w:pStyle w:val="7"/>
        <w:pageBreakBefore w:val="0"/>
        <w:numPr>
          <w:ilvl w:val="0"/>
          <w:numId w:val="0"/>
        </w:numPr>
        <w:kinsoku/>
        <w:wordWrap w:val="0"/>
        <w:overflowPunct/>
        <w:topLinePunct w:val="0"/>
        <w:autoSpaceDE/>
        <w:autoSpaceDN/>
        <w:bidi w:val="0"/>
        <w:ind w:leftChars="0"/>
        <w:rPr>
          <w:rStyle w:val="26"/>
          <w:rFonts w:hint="eastAsia" w:ascii="宋体" w:hAnsi="宋体" w:eastAsia="宋体" w:cs="宋体"/>
          <w:bCs w:val="0"/>
          <w:color w:val="auto"/>
          <w:kern w:val="0"/>
          <w:sz w:val="24"/>
          <w:szCs w:val="24"/>
          <w:shd w:val="clear" w:color="auto" w:fill="FFFFFF"/>
          <w:vertAlign w:val="baseline"/>
          <w:lang w:val="en-US" w:eastAsia="zh-CN" w:bidi="ar"/>
        </w:rPr>
      </w:pPr>
    </w:p>
    <w:p w14:paraId="26E49057">
      <w:pPr>
        <w:pStyle w:val="7"/>
        <w:pageBreakBefore w:val="0"/>
        <w:numPr>
          <w:ilvl w:val="0"/>
          <w:numId w:val="0"/>
        </w:numPr>
        <w:kinsoku/>
        <w:wordWrap w:val="0"/>
        <w:overflowPunct/>
        <w:topLinePunct w:val="0"/>
        <w:autoSpaceDE/>
        <w:autoSpaceDN/>
        <w:bidi w:val="0"/>
        <w:ind w:leftChars="0"/>
        <w:rPr>
          <w:rFonts w:hint="eastAsia" w:ascii="宋体" w:hAnsi="宋体" w:eastAsia="宋体" w:cs="宋体"/>
          <w:color w:val="auto"/>
          <w:sz w:val="24"/>
          <w:szCs w:val="24"/>
        </w:rPr>
      </w:pPr>
      <w:r>
        <w:rPr>
          <w:rStyle w:val="26"/>
          <w:rFonts w:hint="eastAsia" w:ascii="宋体" w:hAnsi="宋体" w:eastAsia="宋体" w:cs="宋体"/>
          <w:bCs w:val="0"/>
          <w:color w:val="auto"/>
          <w:kern w:val="0"/>
          <w:sz w:val="24"/>
          <w:szCs w:val="24"/>
          <w:shd w:val="clear" w:color="auto" w:fill="FFFFFF"/>
          <w:vertAlign w:val="baseline"/>
          <w:lang w:val="en-US" w:eastAsia="zh-CN" w:bidi="ar"/>
        </w:rPr>
        <w:t>3.关于促进残疾人就业政府采购政策的通知</w:t>
      </w:r>
    </w:p>
    <w:p w14:paraId="1978AD2A">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95"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财库〔2017〕141号</w:t>
      </w:r>
    </w:p>
    <w:p w14:paraId="4D06EBEF">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right="0"/>
        <w:jc w:val="left"/>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2FF48FD7">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为了发挥政府采购促进残疾人就业的作用，进一步保障残疾人权益，依照《政府采购法》、《残疾人保障法》等法律法规及相关规定，现就促进残疾人就业政府采购政策通知如下：</w:t>
      </w:r>
    </w:p>
    <w:p w14:paraId="51031577">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一、享受政府采购支持政策的残疾人福利性单位应当同时满足以下条件：</w:t>
      </w:r>
    </w:p>
    <w:p w14:paraId="3C3049A2">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（一）安置的残疾人占本单位在职职工人数的比例不低于25%（含25%），并且安置的残疾人人数不少于10人（含10人）；</w:t>
      </w:r>
    </w:p>
    <w:p w14:paraId="6FD9E589">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（二）依法与安置的每位残疾人签订了一年以上（含一年）的劳动合同或服务协议；</w:t>
      </w:r>
    </w:p>
    <w:p w14:paraId="259590E8">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（三）为安置的每位残疾人按月足额缴纳了基本养老保险、基本医疗保险、失业保险、工伤保险和生育保险等社会保险费；</w:t>
      </w:r>
    </w:p>
    <w:p w14:paraId="6CB5454F">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（四）通过银行等金融机构向安置的每位残疾人，按月支付了不低于单位所在区县适用的经省级人民政府批准的月最低工资标准的工资；</w:t>
      </w:r>
    </w:p>
    <w:p w14:paraId="48378870">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（五）提供本单位制造的货物、承担的工程或者服务（以下简称产品），或者提供其他残疾人福利性单位制造的货物（不包括使用非残疾人福利性单位注册商标的货物）。</w:t>
      </w:r>
    </w:p>
    <w:p w14:paraId="40BB7574">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BD56CEC">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225098C7">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中标、成交供应商为残疾人福利性单位的，采购人或者其委托的采购代理机构应当随中标、成交结果同时公告其《残疾人福利性单位声明函》，接受社会监督。</w:t>
      </w:r>
    </w:p>
    <w:p w14:paraId="62033B3D">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供应商提供的《残疾人福利性单位声明函》与事实不符的，依照《政府采购法》第七十七条第一款的规定追究法律责任。</w:t>
      </w:r>
    </w:p>
    <w:p w14:paraId="0F6C28E9">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B819A92">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四、采购人采购公开招标数额标准以上的货物或者服务，因落实促进残疾人就业政策的需要，依法履行有关报批程序后，可采用公开招标以外的采购方式。</w:t>
      </w:r>
    </w:p>
    <w:p w14:paraId="28D62E96">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07D6A5CB">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0DC14B0">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七、本通知自2017年10月1日起执行。</w:t>
      </w:r>
    </w:p>
    <w:p w14:paraId="0A18930A">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960"/>
        <w:jc w:val="center"/>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 xml:space="preserve">                                                财政部民政部</w:t>
      </w:r>
    </w:p>
    <w:p w14:paraId="099F27AA">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960"/>
        <w:jc w:val="right"/>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 xml:space="preserve">   中国残疾人联合会</w:t>
      </w:r>
    </w:p>
    <w:p w14:paraId="5C628553">
      <w:pPr>
        <w:keepNext w:val="0"/>
        <w:keepLines w:val="0"/>
        <w:pageBreakBefore w:val="0"/>
        <w:widowControl/>
        <w:suppressLineNumbers w:val="0"/>
        <w:shd w:val="clear" w:color="auto" w:fill="FFFFFF"/>
        <w:kinsoku/>
        <w:wordWrap w:val="0"/>
        <w:overflowPunct/>
        <w:topLinePunct w:val="0"/>
        <w:autoSpaceDE/>
        <w:autoSpaceDN/>
        <w:bidi w:val="0"/>
        <w:spacing w:before="100" w:beforeAutospacing="1" w:after="100" w:afterAutospacing="1" w:line="405"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b w:val="0"/>
          <w:bCs w:val="0"/>
          <w:color w:val="auto"/>
          <w:kern w:val="0"/>
          <w:sz w:val="24"/>
          <w:szCs w:val="24"/>
          <w:shd w:val="clear" w:color="auto" w:fill="FFFFFF"/>
          <w:vertAlign w:val="baseline"/>
          <w:lang w:val="en-US" w:eastAsia="zh-CN" w:bidi="ar"/>
        </w:rPr>
        <w:t xml:space="preserve">                                         2017年8月22日</w:t>
      </w:r>
    </w:p>
    <w:p w14:paraId="741BDAAE">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br w:type="textWrapping"/>
      </w:r>
    </w:p>
    <w:p w14:paraId="4788C1BB">
      <w:pPr>
        <w:spacing w:line="288" w:lineRule="auto"/>
        <w:ind w:firstLine="241" w:firstLineChars="100"/>
        <w:rPr>
          <w:rFonts w:hint="eastAsia" w:ascii="宋体" w:hAnsi="宋体" w:eastAsia="宋体" w:cs="宋体"/>
          <w:b/>
          <w:color w:val="auto"/>
          <w:szCs w:val="24"/>
        </w:rPr>
      </w:pPr>
    </w:p>
    <w:p w14:paraId="53121CA8">
      <w:pPr>
        <w:spacing w:line="288" w:lineRule="auto"/>
        <w:ind w:firstLine="241" w:firstLineChars="100"/>
        <w:rPr>
          <w:rFonts w:hint="eastAsia" w:ascii="宋体" w:hAnsi="宋体" w:eastAsia="宋体" w:cs="宋体"/>
          <w:b/>
          <w:bCs/>
          <w:color w:val="auto"/>
          <w:szCs w:val="24"/>
        </w:rPr>
      </w:pPr>
      <w:r>
        <w:rPr>
          <w:rFonts w:hint="eastAsia" w:ascii="宋体" w:hAnsi="宋体" w:eastAsia="宋体" w:cs="宋体"/>
          <w:b/>
          <w:color w:val="auto"/>
          <w:szCs w:val="24"/>
        </w:rPr>
        <w:br w:type="textWrapping"/>
      </w:r>
      <w:r>
        <w:rPr>
          <w:rFonts w:hint="eastAsia" w:ascii="宋体" w:hAnsi="宋体" w:eastAsia="宋体" w:cs="宋体"/>
          <w:b/>
          <w:color w:val="auto"/>
          <w:szCs w:val="24"/>
        </w:rPr>
        <w:br w:type="textWrapping"/>
      </w:r>
      <w:r>
        <w:rPr>
          <w:rFonts w:hint="eastAsia" w:ascii="宋体" w:hAnsi="宋体" w:eastAsia="宋体" w:cs="宋体"/>
          <w:b/>
          <w:color w:val="auto"/>
          <w:szCs w:val="24"/>
        </w:rPr>
        <w:br w:type="textWrapping"/>
      </w:r>
      <w:r>
        <w:rPr>
          <w:rFonts w:hint="eastAsia" w:ascii="宋体" w:hAnsi="宋体" w:eastAsia="宋体" w:cs="宋体"/>
          <w:b/>
          <w:color w:val="auto"/>
          <w:szCs w:val="24"/>
        </w:rPr>
        <w:br w:type="textWrapping"/>
      </w:r>
      <w:r>
        <w:rPr>
          <w:rFonts w:hint="eastAsia" w:ascii="宋体" w:hAnsi="宋体" w:eastAsia="宋体" w:cs="宋体"/>
          <w:b/>
          <w:color w:val="auto"/>
          <w:szCs w:val="24"/>
        </w:rPr>
        <w:t>（五）关于知识产权与保密事项</w:t>
      </w:r>
      <w:bookmarkEnd w:id="31"/>
      <w:bookmarkEnd w:id="32"/>
      <w:bookmarkEnd w:id="33"/>
      <w:bookmarkEnd w:id="34"/>
    </w:p>
    <w:p w14:paraId="72B79D87">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bCs/>
          <w:color w:val="auto"/>
          <w:szCs w:val="24"/>
        </w:rPr>
        <w:t>1、所有涉及知识产权的产品及设计，投标人必须确保采购人拥有其合法的、不受限制的无偿使用权，并免受任何侵权诉讼或索偿，否则，由此产生的一切经济损失和法律责任由投标人承担。</w:t>
      </w:r>
    </w:p>
    <w:p w14:paraId="66A56B3C">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bCs/>
          <w:color w:val="auto"/>
          <w:szCs w:val="24"/>
        </w:rPr>
        <w:t>2、由采购人向投标人提供的所有资料，投标人不得向第三方透露或将其用于本次投标以外的任何用途。开标后，若采购人有要求，投标人须归还采购人认为需保密的文件和资料，并销毁所有相应的备份文件及资料。</w:t>
      </w:r>
    </w:p>
    <w:p w14:paraId="0BCA7EB1">
      <w:pPr>
        <w:spacing w:line="288" w:lineRule="auto"/>
        <w:ind w:firstLine="241" w:firstLineChars="100"/>
        <w:rPr>
          <w:rFonts w:hint="eastAsia" w:ascii="宋体" w:hAnsi="宋体" w:eastAsia="宋体" w:cs="宋体"/>
          <w:b/>
          <w:bCs/>
          <w:color w:val="auto"/>
          <w:szCs w:val="24"/>
        </w:rPr>
      </w:pPr>
      <w:r>
        <w:rPr>
          <w:rFonts w:hint="eastAsia" w:ascii="宋体" w:hAnsi="宋体" w:eastAsia="宋体" w:cs="宋体"/>
          <w:b/>
          <w:bCs/>
          <w:color w:val="auto"/>
          <w:szCs w:val="24"/>
        </w:rPr>
        <w:t>（六）政采贷业务</w:t>
      </w:r>
    </w:p>
    <w:p w14:paraId="43865712">
      <w:pPr>
        <w:spacing w:line="288" w:lineRule="auto"/>
        <w:ind w:firstLine="480" w:firstLineChars="200"/>
        <w:rPr>
          <w:rFonts w:hint="eastAsia" w:ascii="宋体" w:hAnsi="宋体" w:eastAsia="宋体" w:cs="宋体"/>
          <w:bCs/>
          <w:color w:val="auto"/>
          <w:szCs w:val="24"/>
        </w:rPr>
      </w:pPr>
      <w:bookmarkStart w:id="35" w:name="_Toc24866"/>
      <w:bookmarkStart w:id="36" w:name="_Toc18387"/>
      <w:bookmarkStart w:id="37" w:name="_Toc19023"/>
      <w:bookmarkStart w:id="38" w:name="_Toc2340"/>
      <w:r>
        <w:rPr>
          <w:rFonts w:hint="eastAsia" w:ascii="宋体" w:hAnsi="宋体" w:eastAsia="宋体" w:cs="宋体"/>
          <w:bCs/>
          <w:color w:val="auto"/>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投标人可根据自身资金需求，登录陕西省政府采购信用融资平台（http://www.ccgp-shaanxi.gov.cn/zcdservice/zcd/shanxi/）在线申请，依法参加政府采购信用融资活动。</w:t>
      </w:r>
    </w:p>
    <w:p w14:paraId="4163E27C">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bCs/>
          <w:color w:val="auto"/>
          <w:szCs w:val="24"/>
        </w:rPr>
        <w:t>目前的合作银行有：北京银行、中国建设银行、中信银行、中国平安银行、中国光大银行、浦发银行、兴业银行、中国工商银行、秦农银行、浙商银行、中国银行、西安银行、中国农业银行、中国邮政储蓄银行。</w:t>
      </w:r>
    </w:p>
    <w:p w14:paraId="0F57A242">
      <w:pPr>
        <w:ind w:firstLine="241" w:firstLineChars="100"/>
        <w:rPr>
          <w:rFonts w:hint="eastAsia" w:ascii="宋体" w:hAnsi="宋体" w:eastAsia="宋体" w:cs="宋体"/>
          <w:b/>
          <w:bCs/>
          <w:color w:val="auto"/>
          <w:szCs w:val="24"/>
        </w:rPr>
      </w:pPr>
      <w:r>
        <w:rPr>
          <w:rFonts w:hint="eastAsia" w:ascii="宋体" w:hAnsi="宋体" w:eastAsia="宋体" w:cs="宋体"/>
          <w:b/>
          <w:bCs/>
          <w:color w:val="auto"/>
          <w:szCs w:val="24"/>
        </w:rPr>
        <w:t>（七）投标人的投标费用自理</w:t>
      </w:r>
      <w:bookmarkEnd w:id="35"/>
      <w:bookmarkEnd w:id="36"/>
      <w:bookmarkEnd w:id="37"/>
      <w:bookmarkEnd w:id="38"/>
      <w:r>
        <w:rPr>
          <w:rFonts w:hint="eastAsia" w:ascii="宋体" w:hAnsi="宋体" w:eastAsia="宋体" w:cs="宋体"/>
          <w:b/>
          <w:bCs/>
          <w:color w:val="auto"/>
          <w:szCs w:val="24"/>
        </w:rPr>
        <w:t>。</w:t>
      </w:r>
    </w:p>
    <w:p w14:paraId="119FF6D4">
      <w:pPr>
        <w:pStyle w:val="21"/>
        <w:spacing w:after="0" w:line="288" w:lineRule="auto"/>
        <w:ind w:firstLine="0" w:firstLineChars="0"/>
        <w:outlineLvl w:val="1"/>
        <w:rPr>
          <w:rFonts w:hint="eastAsia" w:ascii="宋体" w:hAnsi="宋体" w:eastAsia="宋体" w:cs="宋体"/>
          <w:b/>
          <w:color w:val="auto"/>
          <w:sz w:val="24"/>
          <w:szCs w:val="24"/>
        </w:rPr>
      </w:pPr>
      <w:bookmarkStart w:id="39" w:name="_Toc48834285"/>
      <w:bookmarkStart w:id="40" w:name="_Toc25185"/>
      <w:bookmarkStart w:id="41" w:name="_Toc48834447"/>
      <w:bookmarkStart w:id="42" w:name="_Toc48834158"/>
      <w:bookmarkStart w:id="43" w:name="_Toc48834088"/>
      <w:bookmarkStart w:id="44" w:name="_Toc48834526"/>
      <w:bookmarkStart w:id="45" w:name="_Toc16501"/>
      <w:r>
        <w:rPr>
          <w:rFonts w:hint="eastAsia" w:ascii="宋体" w:hAnsi="宋体" w:eastAsia="宋体" w:cs="宋体"/>
          <w:b/>
          <w:color w:val="auto"/>
          <w:sz w:val="24"/>
          <w:szCs w:val="24"/>
        </w:rPr>
        <w:t>三、招标文件</w:t>
      </w:r>
      <w:bookmarkEnd w:id="39"/>
      <w:bookmarkEnd w:id="40"/>
      <w:bookmarkEnd w:id="41"/>
      <w:bookmarkEnd w:id="42"/>
      <w:bookmarkEnd w:id="43"/>
      <w:bookmarkEnd w:id="44"/>
      <w:bookmarkEnd w:id="45"/>
    </w:p>
    <w:p w14:paraId="2945EEC5">
      <w:pPr>
        <w:spacing w:line="288" w:lineRule="auto"/>
        <w:ind w:firstLine="241" w:firstLineChars="100"/>
        <w:rPr>
          <w:rFonts w:hint="eastAsia" w:ascii="宋体" w:hAnsi="宋体" w:eastAsia="宋体" w:cs="宋体"/>
          <w:b/>
          <w:color w:val="auto"/>
          <w:szCs w:val="24"/>
        </w:rPr>
      </w:pPr>
      <w:bookmarkStart w:id="46" w:name="_Toc19555"/>
      <w:bookmarkStart w:id="47" w:name="_Toc5972"/>
      <w:bookmarkStart w:id="48" w:name="_Toc20323"/>
      <w:bookmarkStart w:id="49" w:name="_Toc7620"/>
      <w:r>
        <w:rPr>
          <w:rFonts w:hint="eastAsia" w:ascii="宋体" w:hAnsi="宋体" w:eastAsia="宋体" w:cs="宋体"/>
          <w:b/>
          <w:color w:val="auto"/>
          <w:szCs w:val="24"/>
        </w:rPr>
        <w:t>（一）招标文件包括下列内容</w:t>
      </w:r>
      <w:bookmarkEnd w:id="46"/>
      <w:bookmarkEnd w:id="47"/>
      <w:bookmarkEnd w:id="48"/>
      <w:bookmarkEnd w:id="49"/>
    </w:p>
    <w:p w14:paraId="08191695">
      <w:pPr>
        <w:spacing w:line="288"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rPr>
        <w:t>第一章 招标公告</w:t>
      </w:r>
    </w:p>
    <w:p w14:paraId="45CB43F2">
      <w:pPr>
        <w:spacing w:line="288"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rPr>
        <w:t>第二章 投标人须知</w:t>
      </w:r>
    </w:p>
    <w:p w14:paraId="523B1852">
      <w:pPr>
        <w:spacing w:line="288" w:lineRule="auto"/>
        <w:ind w:firstLine="720" w:firstLineChars="300"/>
        <w:rPr>
          <w:rFonts w:hint="eastAsia" w:ascii="宋体" w:hAnsi="宋体" w:eastAsia="宋体" w:cs="宋体"/>
          <w:color w:val="auto"/>
          <w:szCs w:val="24"/>
        </w:rPr>
      </w:pPr>
      <w:bookmarkStart w:id="50" w:name="_Toc32645"/>
      <w:bookmarkStart w:id="51" w:name="_Toc7448"/>
      <w:bookmarkStart w:id="52" w:name="_Toc18777"/>
      <w:bookmarkStart w:id="53" w:name="_Toc4199"/>
      <w:r>
        <w:rPr>
          <w:rFonts w:hint="eastAsia" w:ascii="宋体" w:hAnsi="宋体" w:eastAsia="宋体" w:cs="宋体"/>
          <w:color w:val="auto"/>
          <w:szCs w:val="24"/>
        </w:rPr>
        <w:t>第三章 评审办法及标准</w:t>
      </w:r>
    </w:p>
    <w:p w14:paraId="6B5DEFC3">
      <w:pPr>
        <w:spacing w:line="288"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rPr>
        <w:t>第四章 招标内容及采购要求</w:t>
      </w:r>
    </w:p>
    <w:p w14:paraId="2F083545">
      <w:pPr>
        <w:spacing w:line="288"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rPr>
        <w:t>第五章 合同基本条款及格式</w:t>
      </w:r>
    </w:p>
    <w:p w14:paraId="26976759">
      <w:pPr>
        <w:spacing w:line="288"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rPr>
        <w:t>第六章 投标文件构成及格式</w:t>
      </w:r>
    </w:p>
    <w:p w14:paraId="21D7BBF8">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（二）招标文件的检查及阅读</w:t>
      </w:r>
      <w:bookmarkEnd w:id="50"/>
      <w:bookmarkEnd w:id="51"/>
      <w:bookmarkEnd w:id="52"/>
      <w:bookmarkEnd w:id="53"/>
    </w:p>
    <w:p w14:paraId="0BBBC4ED">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投标人下载招标文件后应仔细阅读检查招标文件中的所有内容，按照招标文件中所列事项、条款、规范要求及格式，在投标文件中对招标文件做出全面的响应，并按招标文件的要求提交全部资料。</w:t>
      </w:r>
    </w:p>
    <w:p w14:paraId="4A32307F">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如本项目废标后需重新组织招标，采购代理机构将重新编制、发布新版招标文件，投标人应按新版招标文件重新编制投标文件。原招标文件及投标文件失效。</w:t>
      </w:r>
    </w:p>
    <w:p w14:paraId="589480AF">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bCs/>
          <w:color w:val="auto"/>
          <w:szCs w:val="24"/>
        </w:rPr>
        <w:t>投标文件封面、投标函以及法定代表人授权委托书三处的项目名称、项目编号、标段（如有）应当与最新发布的招标文件保持一致，否则将被视为无效投标文件。</w:t>
      </w:r>
    </w:p>
    <w:p w14:paraId="062F9FAA">
      <w:pPr>
        <w:spacing w:line="288" w:lineRule="auto"/>
        <w:ind w:firstLine="241" w:firstLineChars="100"/>
        <w:rPr>
          <w:rFonts w:hint="eastAsia" w:ascii="宋体" w:hAnsi="宋体" w:eastAsia="宋体" w:cs="宋体"/>
          <w:b/>
          <w:color w:val="auto"/>
          <w:szCs w:val="24"/>
        </w:rPr>
      </w:pPr>
      <w:bookmarkStart w:id="54" w:name="_Toc25748"/>
      <w:bookmarkStart w:id="55" w:name="_Toc6302"/>
      <w:bookmarkStart w:id="56" w:name="_Toc21665"/>
      <w:bookmarkStart w:id="57" w:name="_Toc27301"/>
      <w:r>
        <w:rPr>
          <w:rFonts w:hint="eastAsia" w:ascii="宋体" w:hAnsi="宋体" w:eastAsia="宋体" w:cs="宋体"/>
          <w:b/>
          <w:color w:val="auto"/>
          <w:szCs w:val="24"/>
        </w:rPr>
        <w:t>（三）招标文件的修改、澄清</w:t>
      </w:r>
      <w:bookmarkEnd w:id="54"/>
      <w:bookmarkEnd w:id="55"/>
      <w:bookmarkEnd w:id="56"/>
      <w:bookmarkEnd w:id="57"/>
    </w:p>
    <w:p w14:paraId="312E1DE8">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1、采购代理可以对已发出的招标文件进行必要的澄清或者修改，</w:t>
      </w:r>
      <w:r>
        <w:rPr>
          <w:rFonts w:hint="eastAsia" w:ascii="宋体" w:hAnsi="宋体" w:eastAsia="宋体" w:cs="宋体"/>
          <w:bCs/>
          <w:color w:val="auto"/>
          <w:szCs w:val="24"/>
        </w:rPr>
        <w:t>但不得改变采购标的资格条件。</w:t>
      </w:r>
      <w:r>
        <w:rPr>
          <w:rFonts w:hint="eastAsia" w:ascii="宋体" w:hAnsi="宋体" w:eastAsia="宋体" w:cs="宋体"/>
          <w:color w:val="auto"/>
          <w:szCs w:val="24"/>
        </w:rPr>
        <w:t>澄清或者修改应将在原公告发布媒体上发布澄清公告，其内容为招标文件的组成部分。</w:t>
      </w:r>
    </w:p>
    <w:p w14:paraId="6CF8F412">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2、澄清或者修改的内容可能影响投标文件编制的，采购代理机构将在投标截止时间至少15日前，在</w:t>
      </w:r>
      <w:r>
        <w:rPr>
          <w:rFonts w:hint="eastAsia" w:ascii="宋体" w:hAnsi="宋体" w:eastAsia="宋体" w:cs="宋体"/>
          <w:color w:val="auto"/>
          <w:spacing w:val="-10"/>
          <w:szCs w:val="24"/>
        </w:rPr>
        <w:t>原公告</w:t>
      </w:r>
      <w:r>
        <w:rPr>
          <w:rFonts w:hint="eastAsia" w:ascii="宋体" w:hAnsi="宋体" w:eastAsia="宋体" w:cs="宋体"/>
          <w:color w:val="auto"/>
          <w:szCs w:val="24"/>
        </w:rPr>
        <w:t>发布媒体上</w:t>
      </w:r>
      <w:r>
        <w:rPr>
          <w:rFonts w:hint="eastAsia" w:ascii="宋体" w:hAnsi="宋体" w:eastAsia="宋体" w:cs="宋体"/>
          <w:bCs/>
          <w:color w:val="auto"/>
          <w:szCs w:val="24"/>
        </w:rPr>
        <w:t>发布更正公告；</w:t>
      </w:r>
      <w:r>
        <w:rPr>
          <w:rFonts w:hint="eastAsia" w:ascii="宋体" w:hAnsi="宋体" w:eastAsia="宋体" w:cs="宋体"/>
          <w:color w:val="auto"/>
          <w:szCs w:val="24"/>
        </w:rPr>
        <w:t>不足15日，采购代理机构将顺延提交投标文件的截止时间。</w:t>
      </w:r>
    </w:p>
    <w:p w14:paraId="33068F21">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投标人对招标文件提出质疑的，应在招标文件公告期限届满之日起7个工作日内以书面形式提出，采购人或采购代理机构以书面形式予以答复；在此之后提出的针对招标文件的质疑为无效质疑。答复的内容可能影响投标文件编制的，采购代理机构将在财政部门指定的政府采购信息发布媒体上</w:t>
      </w:r>
      <w:r>
        <w:rPr>
          <w:rFonts w:hint="eastAsia" w:ascii="宋体" w:hAnsi="宋体" w:eastAsia="宋体" w:cs="宋体"/>
          <w:bCs/>
          <w:color w:val="auto"/>
          <w:szCs w:val="24"/>
        </w:rPr>
        <w:t>发布更正公告。</w:t>
      </w:r>
    </w:p>
    <w:p w14:paraId="76208F45">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color w:val="auto"/>
          <w:szCs w:val="24"/>
        </w:rPr>
        <w:t>4、各投标人在提交投标文件截止时间之前，应随时关注下列地址发布的变更公告，也可登录全国公共资源交易平台（陕西省）政府采购交易系统查看左上角的信息提醒，采购代理机构</w:t>
      </w:r>
      <w:r>
        <w:rPr>
          <w:rFonts w:hint="eastAsia" w:ascii="宋体" w:hAnsi="宋体" w:eastAsia="宋体" w:cs="宋体"/>
          <w:bCs/>
          <w:color w:val="auto"/>
          <w:szCs w:val="24"/>
        </w:rPr>
        <w:t>不再单独通知，因投标人未及时关注所造成的一切后果由投标人自行承担：</w:t>
      </w:r>
    </w:p>
    <w:p w14:paraId="0E1D73E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34"/>
          <w:rFonts w:hint="eastAsia" w:ascii="宋体" w:hAnsi="宋体" w:eastAsia="宋体" w:cs="宋体"/>
          <w:color w:val="auto"/>
          <w:szCs w:val="24"/>
          <w:u w:val="none"/>
        </w:rPr>
        <w:t>陕西省政府采购网</w:t>
      </w:r>
      <w:r>
        <w:rPr>
          <w:rStyle w:val="34"/>
          <w:rFonts w:hint="eastAsia" w:ascii="宋体" w:hAnsi="宋体" w:eastAsia="宋体" w:cs="宋体"/>
          <w:color w:val="auto"/>
          <w:szCs w:val="24"/>
          <w:u w:val="none"/>
        </w:rPr>
        <w:fldChar w:fldCharType="end"/>
      </w:r>
      <w:r>
        <w:rPr>
          <w:rFonts w:hint="eastAsia" w:ascii="宋体" w:hAnsi="宋体" w:eastAsia="宋体" w:cs="宋体"/>
          <w:color w:val="auto"/>
          <w:szCs w:val="24"/>
        </w:rPr>
        <w:t>（www.ccgp-shaanxi.gov.cn）】中的〖首页·〉省级公告·〉更正公告〗；</w:t>
      </w:r>
    </w:p>
    <w:p w14:paraId="694F2B8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（2）【全国公共资源交易平台（陕西省）（http://www.sxggzyjy.cn/）】中的〖首页·〉交易大厅·〉政府采购〗。</w:t>
      </w:r>
    </w:p>
    <w:p w14:paraId="6574985F">
      <w:pPr>
        <w:spacing w:line="288" w:lineRule="auto"/>
        <w:ind w:firstLine="241" w:firstLineChars="100"/>
        <w:rPr>
          <w:rFonts w:hint="eastAsia" w:ascii="宋体" w:hAnsi="宋体" w:eastAsia="宋体" w:cs="宋体"/>
          <w:b/>
          <w:color w:val="auto"/>
          <w:szCs w:val="24"/>
        </w:rPr>
      </w:pPr>
      <w:bookmarkStart w:id="58" w:name="_Toc27379"/>
      <w:bookmarkStart w:id="59" w:name="_Toc6095"/>
      <w:bookmarkStart w:id="60" w:name="_Toc4045"/>
      <w:bookmarkStart w:id="61" w:name="_Toc9044"/>
      <w:r>
        <w:rPr>
          <w:rFonts w:hint="eastAsia" w:ascii="宋体" w:hAnsi="宋体" w:eastAsia="宋体" w:cs="宋体"/>
          <w:b/>
          <w:color w:val="auto"/>
          <w:szCs w:val="24"/>
        </w:rPr>
        <w:t>（四）招标文件的解释权归采购代理机构。</w:t>
      </w:r>
      <w:bookmarkEnd w:id="58"/>
      <w:bookmarkEnd w:id="59"/>
      <w:bookmarkEnd w:id="60"/>
      <w:bookmarkEnd w:id="61"/>
    </w:p>
    <w:p w14:paraId="09B9211C">
      <w:pPr>
        <w:pStyle w:val="21"/>
        <w:spacing w:after="0" w:line="288" w:lineRule="auto"/>
        <w:ind w:firstLine="0" w:firstLineChars="0"/>
        <w:outlineLvl w:val="1"/>
        <w:rPr>
          <w:rFonts w:hint="eastAsia" w:ascii="宋体" w:hAnsi="宋体" w:eastAsia="宋体" w:cs="宋体"/>
          <w:b/>
          <w:color w:val="auto"/>
          <w:sz w:val="24"/>
          <w:szCs w:val="24"/>
        </w:rPr>
      </w:pPr>
      <w:bookmarkStart w:id="62" w:name="_Toc21823"/>
      <w:bookmarkStart w:id="63" w:name="_Toc48834159"/>
      <w:bookmarkStart w:id="64" w:name="_Toc48834527"/>
      <w:bookmarkStart w:id="65" w:name="_Toc48834448"/>
      <w:bookmarkStart w:id="66" w:name="_Toc48834089"/>
      <w:bookmarkStart w:id="67" w:name="_Toc48834286"/>
      <w:bookmarkStart w:id="68" w:name="_Toc23774"/>
      <w:r>
        <w:rPr>
          <w:rFonts w:hint="eastAsia" w:ascii="宋体" w:hAnsi="宋体" w:eastAsia="宋体" w:cs="宋体"/>
          <w:b/>
          <w:color w:val="auto"/>
          <w:sz w:val="24"/>
          <w:szCs w:val="24"/>
        </w:rPr>
        <w:t>四、投标保证金</w:t>
      </w:r>
      <w:bookmarkEnd w:id="62"/>
      <w:bookmarkEnd w:id="63"/>
      <w:bookmarkEnd w:id="64"/>
      <w:bookmarkEnd w:id="65"/>
      <w:bookmarkEnd w:id="66"/>
      <w:bookmarkEnd w:id="67"/>
      <w:bookmarkEnd w:id="68"/>
    </w:p>
    <w:p w14:paraId="7850EEF2">
      <w:pPr>
        <w:spacing w:line="288" w:lineRule="auto"/>
        <w:ind w:firstLine="241" w:firstLineChars="100"/>
        <w:rPr>
          <w:rFonts w:hint="eastAsia" w:ascii="宋体" w:hAnsi="宋体" w:eastAsia="宋体" w:cs="宋体"/>
          <w:b/>
          <w:bCs/>
          <w:color w:val="auto"/>
          <w:szCs w:val="24"/>
        </w:rPr>
      </w:pPr>
      <w:bookmarkStart w:id="69" w:name="_Toc26951"/>
      <w:bookmarkStart w:id="70" w:name="_Toc6322"/>
      <w:bookmarkStart w:id="71" w:name="_Toc31398"/>
      <w:bookmarkStart w:id="72" w:name="_Toc30183"/>
      <w:r>
        <w:rPr>
          <w:rFonts w:hint="eastAsia" w:ascii="宋体" w:hAnsi="宋体" w:eastAsia="宋体" w:cs="宋体"/>
          <w:b/>
          <w:bCs/>
          <w:color w:val="auto"/>
          <w:szCs w:val="24"/>
        </w:rPr>
        <w:t>（一）投标保证金的交纳</w:t>
      </w:r>
      <w:bookmarkEnd w:id="69"/>
      <w:bookmarkEnd w:id="70"/>
      <w:bookmarkEnd w:id="71"/>
      <w:bookmarkEnd w:id="72"/>
    </w:p>
    <w:p w14:paraId="3701DBC1">
      <w:pPr>
        <w:spacing w:line="288" w:lineRule="auto"/>
        <w:ind w:firstLine="480" w:firstLineChars="200"/>
        <w:rPr>
          <w:rFonts w:hint="eastAsia" w:ascii="宋体" w:hAnsi="宋体" w:eastAsia="宋体" w:cs="宋体"/>
          <w:b/>
          <w:color w:val="auto"/>
          <w:szCs w:val="24"/>
        </w:rPr>
      </w:pPr>
      <w:bookmarkStart w:id="73" w:name="_Toc3906"/>
      <w:bookmarkStart w:id="74" w:name="_Toc32650"/>
      <w:bookmarkStart w:id="75" w:name="_Toc16718"/>
      <w:bookmarkStart w:id="76" w:name="_Toc19969"/>
      <w:r>
        <w:rPr>
          <w:rFonts w:hint="eastAsia" w:ascii="宋体" w:hAnsi="宋体" w:eastAsia="宋体" w:cs="宋体"/>
          <w:color w:val="auto"/>
          <w:szCs w:val="24"/>
        </w:rPr>
        <w:t>投标人应按“投标人须知前附表”要求交纳投标保证金。</w:t>
      </w:r>
      <w:bookmarkEnd w:id="73"/>
      <w:bookmarkEnd w:id="74"/>
      <w:bookmarkEnd w:id="75"/>
      <w:bookmarkEnd w:id="76"/>
      <w:bookmarkStart w:id="77" w:name="_Toc16421"/>
      <w:bookmarkStart w:id="78" w:name="_Toc48834090"/>
      <w:bookmarkStart w:id="79" w:name="_Toc48834449"/>
      <w:bookmarkStart w:id="80" w:name="_Toc48834528"/>
      <w:bookmarkStart w:id="81" w:name="_Toc48834287"/>
      <w:bookmarkStart w:id="82" w:name="_Toc48834160"/>
      <w:bookmarkStart w:id="83" w:name="_Toc542"/>
    </w:p>
    <w:p w14:paraId="00E3BBA0">
      <w:pPr>
        <w:pStyle w:val="21"/>
        <w:spacing w:after="0" w:line="288" w:lineRule="auto"/>
        <w:ind w:firstLine="0" w:firstLineChars="0"/>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五、投标报价</w:t>
      </w:r>
      <w:bookmarkEnd w:id="77"/>
      <w:bookmarkEnd w:id="78"/>
      <w:bookmarkEnd w:id="79"/>
      <w:bookmarkEnd w:id="80"/>
      <w:bookmarkEnd w:id="81"/>
      <w:bookmarkEnd w:id="82"/>
      <w:bookmarkEnd w:id="83"/>
    </w:p>
    <w:p w14:paraId="2F3D182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报价是投标人响应招标项目要求的全部工作内容的价格体现，包括完成采购内容所需的直接费、间接费、利润、税金及其它相关的一切费用，还需包含管理服务人员的工资、社会保险和按规定提取的福利费等，投入的机械设备应包含燃油费、维修保养、配件更换及车辆保险费用等一切有关的费用。投标人在报价时应充分考虑所有可能发生的费用，招标文件未列明，而投标人认为应当计取的费用均应列入报价中。报价时不论是否计取，采购人均按已计取对待。</w:t>
      </w:r>
    </w:p>
    <w:p w14:paraId="61AC6AFA">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（一）投标人应严格按照《投标文件构成及格式》中《开标一览表》中的相关要求填写分类报价及其他需要响应的内容。</w:t>
      </w:r>
    </w:p>
    <w:p w14:paraId="083E68DA">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（二）投标报价货币：人民币；单位：元。</w:t>
      </w:r>
    </w:p>
    <w:p w14:paraId="5B534163">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（三）投标报价只能提交唯一报价，并且在合同履行过程中是固定不变的，任何有选择的报价将不予接受，按无效投标处理。</w:t>
      </w:r>
    </w:p>
    <w:p w14:paraId="447EEC9C">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（四）投标报价应遵守《中华人民共和国价格法》，投标人不得以低于成本的报价参与投标。</w:t>
      </w:r>
    </w:p>
    <w:p w14:paraId="4F5048E1">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（五）投标文件报价出现前后不一致的，除招标文件另有规定外，按照下列规定修正：</w:t>
      </w:r>
    </w:p>
    <w:p w14:paraId="0C463D4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1、投标文件中开标一览表内容与投标文件中相应内容不一致的，以开标一览表为准；</w:t>
      </w:r>
    </w:p>
    <w:p w14:paraId="41FAB14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2、大写金额和小写金额不一致的，以大写金额为准；</w:t>
      </w:r>
    </w:p>
    <w:p w14:paraId="3BC2D80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3、单价金额小数点或者百分比有明显错位的，以开标一览表的总价为准，并修改单价；</w:t>
      </w:r>
    </w:p>
    <w:p w14:paraId="427C884E">
      <w:pPr>
        <w:spacing w:line="288" w:lineRule="auto"/>
        <w:ind w:firstLine="480" w:firstLineChars="200"/>
        <w:rPr>
          <w:rFonts w:hint="eastAsia" w:ascii="宋体" w:hAnsi="宋体" w:eastAsia="宋体" w:cs="宋体"/>
          <w:bCs/>
          <w:color w:val="auto"/>
          <w:szCs w:val="24"/>
        </w:rPr>
      </w:pPr>
      <w:r>
        <w:rPr>
          <w:rFonts w:hint="eastAsia" w:ascii="宋体" w:hAnsi="宋体" w:eastAsia="宋体" w:cs="宋体"/>
          <w:color w:val="auto"/>
          <w:szCs w:val="24"/>
        </w:rPr>
        <w:t>4、总价金额与按单价汇总金额不一致的，以单价金额计算结果为准；同时出现两种以上不一致的，按照前款规定的顺序修正。</w:t>
      </w:r>
      <w:r>
        <w:rPr>
          <w:rFonts w:hint="eastAsia" w:ascii="宋体" w:hAnsi="宋体" w:eastAsia="宋体" w:cs="宋体"/>
          <w:bCs/>
          <w:color w:val="auto"/>
          <w:szCs w:val="24"/>
        </w:rPr>
        <w:t>修正后的报价经投标人确认后产生约束力，投标人不确认的，其投标无效。</w:t>
      </w:r>
    </w:p>
    <w:p w14:paraId="00EFAD37">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（六）因投标人对招标文件理解不透、误解、疏漏或对市场行情了解不清造成的后果和风险，均由投标人自己负责。</w:t>
      </w:r>
    </w:p>
    <w:p w14:paraId="3B7131E3">
      <w:pPr>
        <w:spacing w:line="288" w:lineRule="auto"/>
        <w:outlineLvl w:val="1"/>
        <w:rPr>
          <w:rFonts w:hint="eastAsia" w:ascii="宋体" w:hAnsi="宋体" w:eastAsia="宋体" w:cs="宋体"/>
          <w:b/>
          <w:color w:val="auto"/>
          <w:szCs w:val="24"/>
        </w:rPr>
      </w:pPr>
      <w:bookmarkStart w:id="84" w:name="_Toc48834529"/>
      <w:bookmarkStart w:id="85" w:name="_Toc48834288"/>
      <w:bookmarkStart w:id="86" w:name="_Toc48834091"/>
      <w:bookmarkStart w:id="87" w:name="_Toc48834450"/>
      <w:bookmarkStart w:id="88" w:name="_Toc48834161"/>
      <w:bookmarkStart w:id="89" w:name="_Toc31048"/>
      <w:bookmarkStart w:id="90" w:name="_Toc18746"/>
      <w:r>
        <w:rPr>
          <w:rFonts w:hint="eastAsia" w:ascii="宋体" w:hAnsi="宋体" w:eastAsia="宋体" w:cs="宋体"/>
          <w:b/>
          <w:color w:val="auto"/>
          <w:szCs w:val="24"/>
        </w:rPr>
        <w:t>六、投标文件</w:t>
      </w:r>
      <w:bookmarkEnd w:id="84"/>
      <w:bookmarkEnd w:id="85"/>
      <w:bookmarkEnd w:id="86"/>
      <w:bookmarkEnd w:id="87"/>
      <w:bookmarkEnd w:id="88"/>
      <w:bookmarkEnd w:id="89"/>
      <w:bookmarkEnd w:id="90"/>
    </w:p>
    <w:p w14:paraId="263F794D">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（一）投标文件的式样</w:t>
      </w:r>
    </w:p>
    <w:p w14:paraId="2CF0A70A">
      <w:pPr>
        <w:pStyle w:val="21"/>
        <w:spacing w:after="0" w:line="288"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本项目采用电子投标文件的形式。</w:t>
      </w:r>
    </w:p>
    <w:p w14:paraId="35D20382">
      <w:pPr>
        <w:pStyle w:val="21"/>
        <w:spacing w:after="0" w:line="288"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编制电子投标文件时，应使用最新发布的电子招标文件及专用制作工具进行编制。并使用数字认证证书（CA 锁）对电子投标文件进行签章、加密、递交及开标时解密等相关招投标事宜。</w:t>
      </w:r>
    </w:p>
    <w:p w14:paraId="340C11FA">
      <w:pPr>
        <w:pStyle w:val="21"/>
        <w:spacing w:after="0" w:line="288"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1、电子招标文件下载。投标人登录全国公共资源交易平台（陕西省） 网站〖首页·〉电子交易平台·〉企业端〗后，在〖招标公告/出让公告〗 模块中选择项目点击“我要投标”，参与投标活动。然后即可在〖我的项目〗中点击“项目流程&gt;交易文件下载”下载电子招标文件。 </w:t>
      </w:r>
    </w:p>
    <w:p w14:paraId="6D695FC7">
      <w:pPr>
        <w:pStyle w:val="21"/>
        <w:spacing w:after="0" w:line="288"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电子招标文件需要使用专用软件打开、浏览。投标人可在全国公共资源交易平台（陕西省）网站〖首页·〉服务指南·〉下载专区〗免费下载“陕西省公共资源交易平台政府采购电子标书制作工具(8.0.1.01)”，并升级至最新版本，使用该客户端可以打开电子招标文件。软件操作手册详见全国公共资源交易平台（陕西省）网站〖首页·〉服务指南·〉下载专区〗中的《陕西省公共资源交易（政府采购类）投标文件制作软件操作手册》。</w:t>
      </w:r>
    </w:p>
    <w:p w14:paraId="2DD6DB45">
      <w:pPr>
        <w:pStyle w:val="21"/>
        <w:spacing w:after="0" w:line="288"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3、制作电子投标文件。电子投标文件同样需要使用上述软件进行编制。在编制过程中，如有技术性问题，请先翻阅操作手册，或致电软件开发商。 </w:t>
      </w:r>
    </w:p>
    <w:p w14:paraId="62848CE6">
      <w:pPr>
        <w:pStyle w:val="21"/>
        <w:spacing w:after="0" w:line="288" w:lineRule="auto"/>
        <w:ind w:firstLine="0" w:firstLineChars="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技术支持热线：4009280095、4009980000 </w:t>
      </w:r>
    </w:p>
    <w:p w14:paraId="5875C3AC">
      <w:pPr>
        <w:pStyle w:val="21"/>
        <w:spacing w:after="0" w:line="288" w:lineRule="auto"/>
        <w:ind w:firstLine="0" w:firstLineChars="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CA锁购买：榆林市民大厦</w:t>
      </w:r>
      <w:r>
        <w:rPr>
          <w:rFonts w:hint="eastAsia" w:ascii="宋体" w:hAnsi="宋体" w:eastAsia="宋体" w:cs="宋体"/>
          <w:bCs/>
          <w:color w:val="auto"/>
          <w:sz w:val="24"/>
          <w:szCs w:val="24"/>
          <w:lang w:eastAsia="zh-CN"/>
        </w:rPr>
        <w:t>三</w:t>
      </w:r>
      <w:r>
        <w:rPr>
          <w:rFonts w:hint="eastAsia" w:ascii="宋体" w:hAnsi="宋体" w:eastAsia="宋体" w:cs="宋体"/>
          <w:bCs/>
          <w:color w:val="auto"/>
          <w:sz w:val="24"/>
          <w:szCs w:val="24"/>
        </w:rPr>
        <w:t>楼窗口    电话：0912-3515031</w:t>
      </w:r>
    </w:p>
    <w:p w14:paraId="5F53CF5D">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（二）投标文件有效期</w:t>
      </w:r>
    </w:p>
    <w:p w14:paraId="2AA6C83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投标文件有效期为</w:t>
      </w:r>
      <w:r>
        <w:rPr>
          <w:rFonts w:hint="eastAsia" w:ascii="宋体" w:hAnsi="宋体" w:eastAsia="宋体" w:cs="宋体"/>
          <w:bCs/>
          <w:color w:val="auto"/>
          <w:szCs w:val="24"/>
        </w:rPr>
        <w:t>自开标之日起90个日历日</w:t>
      </w:r>
      <w:r>
        <w:rPr>
          <w:rFonts w:hint="eastAsia" w:ascii="宋体" w:hAnsi="宋体" w:eastAsia="宋体" w:cs="宋体"/>
          <w:color w:val="auto"/>
          <w:szCs w:val="24"/>
        </w:rPr>
        <w:t>。如中标，延长至合同执行完毕时止。</w:t>
      </w:r>
    </w:p>
    <w:p w14:paraId="45BE44E8">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（三）投标文件的提交</w:t>
      </w:r>
    </w:p>
    <w:p w14:paraId="401D77B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电子投标文件可于提交投标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7F53F628">
      <w:pPr>
        <w:pStyle w:val="9"/>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2、纸质版文件递交</w:t>
      </w:r>
    </w:p>
    <w:p w14:paraId="6A9EF9F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中标人需将一正两副纸质投标文件邮寄或送达至代理公司（邮寄地址：</w:t>
      </w:r>
      <w:r>
        <w:rPr>
          <w:rFonts w:hint="eastAsia" w:ascii="宋体" w:hAnsi="宋体" w:eastAsia="宋体" w:cs="宋体"/>
          <w:color w:val="auto"/>
          <w:szCs w:val="24"/>
          <w:lang w:eastAsia="zh-CN"/>
        </w:rPr>
        <w:t>陕西省榆林市绿洲阳光小区1号楼1单元1</w:t>
      </w:r>
      <w:r>
        <w:rPr>
          <w:rFonts w:hint="eastAsia" w:hAnsi="宋体" w:cs="宋体"/>
          <w:color w:val="auto"/>
          <w:szCs w:val="24"/>
          <w:lang w:val="en-US" w:eastAsia="zh-CN"/>
        </w:rPr>
        <w:t>9</w:t>
      </w:r>
      <w:r>
        <w:rPr>
          <w:rFonts w:hint="eastAsia" w:ascii="宋体" w:hAnsi="宋体" w:eastAsia="宋体" w:cs="宋体"/>
          <w:color w:val="auto"/>
          <w:szCs w:val="24"/>
          <w:lang w:eastAsia="zh-CN"/>
        </w:rPr>
        <w:t>01</w:t>
      </w:r>
      <w:r>
        <w:rPr>
          <w:rFonts w:hint="eastAsia" w:ascii="宋体" w:hAnsi="宋体" w:eastAsia="宋体" w:cs="宋体"/>
          <w:color w:val="auto"/>
          <w:szCs w:val="24"/>
        </w:rPr>
        <w:t>，联系人：王浩南，联系电话：18717696566）</w:t>
      </w:r>
    </w:p>
    <w:p w14:paraId="4C639FB7">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（四）投标文件的补充、修改和撤回</w:t>
      </w:r>
    </w:p>
    <w:p w14:paraId="2ADAABC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1、投标人在上传投标文件后，且在提交投标文件截止时间前，可以对所提交的投标文件进行补充、修改或撤回。</w:t>
      </w:r>
    </w:p>
    <w:p w14:paraId="64004A82">
      <w:pPr>
        <w:pStyle w:val="45"/>
        <w:numPr>
          <w:ilvl w:val="0"/>
          <w:numId w:val="1"/>
        </w:numPr>
        <w:spacing w:line="288" w:lineRule="auto"/>
        <w:ind w:firstLine="480"/>
        <w:rPr>
          <w:rFonts w:hint="eastAsia" w:ascii="宋体" w:hAnsi="宋体" w:eastAsia="宋体" w:cs="宋体"/>
          <w:color w:val="auto"/>
          <w:szCs w:val="24"/>
        </w:rPr>
      </w:pPr>
      <w:r>
        <w:rPr>
          <w:rFonts w:hint="eastAsia" w:ascii="宋体" w:hAnsi="宋体" w:eastAsia="宋体" w:cs="宋体"/>
          <w:color w:val="auto"/>
          <w:szCs w:val="24"/>
        </w:rPr>
        <w:t>对电子投标文件进行补充、修改的，应先从电子交易平台上撤回旧版，再重新提交新版的同时提供与新版电子投标文件内容一致的纸质投标文件。</w:t>
      </w:r>
    </w:p>
    <w:p w14:paraId="45186E3B">
      <w:pPr>
        <w:pStyle w:val="45"/>
        <w:numPr>
          <w:ilvl w:val="0"/>
          <w:numId w:val="1"/>
        </w:numPr>
        <w:spacing w:line="288" w:lineRule="auto"/>
        <w:ind w:firstLine="480"/>
        <w:rPr>
          <w:rFonts w:hint="eastAsia" w:ascii="宋体" w:hAnsi="宋体" w:eastAsia="宋体" w:cs="宋体"/>
          <w:color w:val="auto"/>
          <w:szCs w:val="24"/>
        </w:rPr>
      </w:pPr>
      <w:r>
        <w:rPr>
          <w:rFonts w:hint="eastAsia" w:ascii="宋体" w:hAnsi="宋体" w:eastAsia="宋体" w:cs="宋体"/>
          <w:color w:val="auto"/>
          <w:szCs w:val="24"/>
        </w:rPr>
        <w:t>投标文件提交截止时间后，投标人不得对其投标文件做任何修改。</w:t>
      </w:r>
    </w:p>
    <w:p w14:paraId="51B06E3B">
      <w:pPr>
        <w:pStyle w:val="21"/>
        <w:spacing w:after="0"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4、投标人在提交投标文件截止时间后撤回投标文件的，投标保证金不予退还。</w:t>
      </w:r>
    </w:p>
    <w:p w14:paraId="4BF18C4B">
      <w:pPr>
        <w:pStyle w:val="21"/>
        <w:spacing w:after="0" w:line="288" w:lineRule="auto"/>
        <w:ind w:firstLine="241"/>
        <w:rPr>
          <w:rFonts w:hint="eastAsia" w:ascii="宋体" w:hAnsi="宋体" w:eastAsia="宋体" w:cs="宋体"/>
          <w:b/>
          <w:color w:val="auto"/>
          <w:sz w:val="24"/>
          <w:szCs w:val="24"/>
        </w:rPr>
      </w:pPr>
      <w:r>
        <w:rPr>
          <w:rFonts w:hint="eastAsia" w:ascii="宋体" w:hAnsi="宋体" w:eastAsia="宋体" w:cs="宋体"/>
          <w:b/>
          <w:color w:val="auto"/>
          <w:sz w:val="24"/>
          <w:szCs w:val="24"/>
        </w:rPr>
        <w:t>（五）投标人出现下列情况之一的，其投标文件视为无效文件：</w:t>
      </w:r>
    </w:p>
    <w:p w14:paraId="4540C58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1、逾期提交电子投标文件和纸质投标文件；</w:t>
      </w:r>
    </w:p>
    <w:p w14:paraId="1D16DAC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2、提交的投标文件与本项目不相符；</w:t>
      </w:r>
    </w:p>
    <w:p w14:paraId="7AD314B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3、投标人拒绝对电子投标文件进行解密；</w:t>
      </w:r>
    </w:p>
    <w:p w14:paraId="60572CF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4、因投标人自身原因（如未带CA锁、或所带CA锁与制作电子投标文件使用的CA锁不一致、或沿用旧版招标文件编制投标文件等情形），导致在规定时间内无法解密投标文件；</w:t>
      </w:r>
    </w:p>
    <w:p w14:paraId="2C93DAE8">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5、上传的电子投标文件无法打开。</w:t>
      </w:r>
    </w:p>
    <w:p w14:paraId="46309DDC">
      <w:pPr>
        <w:pStyle w:val="21"/>
        <w:spacing w:after="0" w:line="288" w:lineRule="auto"/>
        <w:ind w:firstLine="0" w:firstLineChars="0"/>
        <w:outlineLvl w:val="1"/>
        <w:rPr>
          <w:rFonts w:hint="eastAsia" w:ascii="宋体" w:hAnsi="宋体" w:eastAsia="宋体" w:cs="宋体"/>
          <w:b/>
          <w:color w:val="auto"/>
          <w:sz w:val="24"/>
          <w:szCs w:val="24"/>
        </w:rPr>
      </w:pPr>
      <w:bookmarkStart w:id="91" w:name="_Toc48834092"/>
      <w:bookmarkStart w:id="92" w:name="_Toc48834289"/>
      <w:bookmarkStart w:id="93" w:name="_Toc21349"/>
      <w:bookmarkStart w:id="94" w:name="_Toc48834530"/>
      <w:bookmarkStart w:id="95" w:name="_Toc14082125"/>
      <w:bookmarkStart w:id="96" w:name="_Toc48834451"/>
      <w:bookmarkStart w:id="97" w:name="_Toc48834162"/>
      <w:bookmarkStart w:id="98" w:name="_Toc7276"/>
      <w:r>
        <w:rPr>
          <w:rFonts w:hint="eastAsia" w:ascii="宋体" w:hAnsi="宋体" w:eastAsia="宋体" w:cs="宋体"/>
          <w:b/>
          <w:color w:val="auto"/>
          <w:sz w:val="24"/>
          <w:szCs w:val="24"/>
        </w:rPr>
        <w:t>七、组织开标</w:t>
      </w:r>
      <w:bookmarkEnd w:id="91"/>
      <w:bookmarkEnd w:id="92"/>
      <w:bookmarkEnd w:id="93"/>
      <w:bookmarkEnd w:id="94"/>
      <w:bookmarkEnd w:id="95"/>
      <w:bookmarkEnd w:id="96"/>
      <w:bookmarkEnd w:id="97"/>
      <w:bookmarkEnd w:id="98"/>
    </w:p>
    <w:p w14:paraId="70711A57">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（一）采购代理机构组织招标、开标、评标工作，整个过程受政府采购监管机构的监督、管理。</w:t>
      </w:r>
    </w:p>
    <w:p w14:paraId="77B4CBC6">
      <w:pPr>
        <w:spacing w:line="288" w:lineRule="auto"/>
        <w:ind w:firstLine="240" w:firstLineChars="100"/>
        <w:rPr>
          <w:rFonts w:hint="eastAsia" w:ascii="宋体" w:hAnsi="宋体" w:eastAsia="宋体" w:cs="宋体"/>
          <w:b/>
          <w:bCs/>
          <w:color w:val="auto"/>
          <w:szCs w:val="24"/>
        </w:rPr>
      </w:pPr>
      <w:r>
        <w:rPr>
          <w:rFonts w:hint="eastAsia" w:ascii="宋体" w:hAnsi="宋体" w:eastAsia="宋体" w:cs="宋体"/>
          <w:color w:val="auto"/>
          <w:szCs w:val="24"/>
        </w:rPr>
        <w:t>（二）采购代理机构在招标文件规定的时间和地点组织开标，投标人必须按时签到。</w:t>
      </w:r>
    </w:p>
    <w:p w14:paraId="49D3429E">
      <w:pPr>
        <w:spacing w:line="288" w:lineRule="auto"/>
        <w:ind w:firstLine="480" w:firstLineChars="200"/>
        <w:rPr>
          <w:rFonts w:hint="eastAsia" w:ascii="宋体" w:hAnsi="宋体" w:eastAsia="宋体" w:cs="宋体"/>
          <w:b/>
          <w:bCs/>
          <w:color w:val="auto"/>
          <w:szCs w:val="24"/>
        </w:rPr>
      </w:pPr>
      <w:r>
        <w:rPr>
          <w:rFonts w:hint="eastAsia" w:ascii="宋体" w:hAnsi="宋体" w:eastAsia="宋体" w:cs="宋体"/>
          <w:color w:val="auto"/>
          <w:szCs w:val="24"/>
        </w:rPr>
        <w:t xml:space="preserve">    投标人不足3家的，不得开标。</w:t>
      </w:r>
    </w:p>
    <w:p w14:paraId="4354355F">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（三）开标时，投标人应在规定时间内，使用电子投标文件加密时所用的数字认证证书（CA锁）在不见面开标会议中自行解密电子投标文件。</w:t>
      </w:r>
    </w:p>
    <w:p w14:paraId="26BA92BA">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（四）开标会议记录由采购代理机构工作人员记录，参加开标的采购人及采购代理机构工作人员签到，所有资料随招标文件一并存档。</w:t>
      </w:r>
    </w:p>
    <w:p w14:paraId="5D0EFADF">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（五）投标人对不见面开标过程和开标记录有疑义，以及认为采购人、采购代理机构相关工作人员有需要回避情形的，应在不见面开标会议中及时提出询问或回避申请，采购人、采购代理机构应当及时处理。</w:t>
      </w:r>
    </w:p>
    <w:p w14:paraId="4CD7D560">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（六）投标人未参加开标的，视同认可开标结果。</w:t>
      </w:r>
    </w:p>
    <w:p w14:paraId="79335989">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（七）特殊情形下的应急处置：</w:t>
      </w:r>
    </w:p>
    <w:p w14:paraId="6816772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在开标、评审过程中，如因停电、断网、电子化系统故障等特殊原因导致电子化开、评标无法正常进行时，视具体情况确定是否停止开评标活动。 </w:t>
      </w:r>
    </w:p>
    <w:p w14:paraId="12C98220">
      <w:pPr>
        <w:pStyle w:val="21"/>
        <w:spacing w:after="0" w:line="288" w:lineRule="auto"/>
        <w:ind w:firstLine="0" w:firstLineChars="0"/>
        <w:outlineLvl w:val="1"/>
        <w:rPr>
          <w:rFonts w:hint="eastAsia" w:ascii="宋体" w:hAnsi="宋体" w:eastAsia="宋体" w:cs="宋体"/>
          <w:b/>
          <w:color w:val="auto"/>
          <w:sz w:val="24"/>
          <w:szCs w:val="24"/>
        </w:rPr>
      </w:pPr>
      <w:bookmarkStart w:id="99" w:name="_Toc48834531"/>
      <w:bookmarkStart w:id="100" w:name="_Toc48834093"/>
      <w:bookmarkStart w:id="101" w:name="_Toc14082126"/>
      <w:bookmarkStart w:id="102" w:name="_Toc26927"/>
      <w:bookmarkStart w:id="103" w:name="_Toc48834452"/>
      <w:bookmarkStart w:id="104" w:name="_Toc48834163"/>
      <w:bookmarkStart w:id="105" w:name="_Toc13365"/>
      <w:bookmarkStart w:id="106" w:name="_Toc48834290"/>
      <w:bookmarkStart w:id="107" w:name="_Toc48834454"/>
      <w:bookmarkStart w:id="108" w:name="_Toc48834165"/>
      <w:bookmarkStart w:id="109" w:name="_Toc48834533"/>
      <w:bookmarkStart w:id="110" w:name="_Toc14917"/>
      <w:bookmarkStart w:id="111" w:name="_Toc48834292"/>
      <w:bookmarkStart w:id="112" w:name="_Toc48834095"/>
      <w:r>
        <w:rPr>
          <w:rFonts w:hint="eastAsia" w:ascii="宋体" w:hAnsi="宋体" w:eastAsia="宋体" w:cs="宋体"/>
          <w:b/>
          <w:color w:val="auto"/>
          <w:sz w:val="24"/>
          <w:szCs w:val="24"/>
        </w:rPr>
        <w:t>八、资格审查</w:t>
      </w:r>
      <w:bookmarkEnd w:id="99"/>
      <w:bookmarkEnd w:id="100"/>
      <w:bookmarkEnd w:id="101"/>
      <w:bookmarkEnd w:id="102"/>
      <w:bookmarkEnd w:id="103"/>
      <w:bookmarkEnd w:id="104"/>
      <w:bookmarkEnd w:id="105"/>
      <w:bookmarkEnd w:id="106"/>
    </w:p>
    <w:p w14:paraId="3E91E438">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开标结束后，按《政府采购货物和服务招标投标管理办法》（财政部令第87号），由采购人依法对投标人的资格证明文件进行审查。未通过资格审查的投标人其投标文件将被视为无效。</w:t>
      </w:r>
    </w:p>
    <w:p w14:paraId="0A1F18A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1、满足《中华人民共和国政府采购法》第二十二条规定。</w:t>
      </w:r>
    </w:p>
    <w:p w14:paraId="238344B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2、本项目的特定资格要求：</w:t>
      </w:r>
    </w:p>
    <w:p w14:paraId="30A00671">
      <w:pPr>
        <w:spacing w:line="288" w:lineRule="auto"/>
        <w:ind w:firstLine="480" w:firstLineChars="200"/>
        <w:rPr>
          <w:rFonts w:hint="eastAsia" w:ascii="宋体" w:hAnsi="宋体" w:eastAsia="宋体" w:cs="宋体"/>
          <w:b/>
          <w:bCs/>
          <w:color w:val="auto"/>
          <w:szCs w:val="24"/>
        </w:rPr>
      </w:pPr>
      <w:r>
        <w:rPr>
          <w:rFonts w:hint="eastAsia" w:ascii="宋体" w:hAnsi="宋体" w:eastAsia="宋体" w:cs="宋体"/>
          <w:color w:val="auto"/>
          <w:szCs w:val="24"/>
          <w:lang w:val="zh-CN"/>
        </w:rPr>
        <w:t>以下资格要求由资格审查人在现场通过网络查询：</w:t>
      </w:r>
    </w:p>
    <w:p w14:paraId="33F86601">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（1）投标人为具有独立承担民事责任能力的法人、事业法人、其他组织或自然人。企业法人应提供合法有效的标识有统一社会信用代码的营业执照；事业法人应提 供事业单位法人证书；其他组织应提供合法登记证明文件； 自然人应提供身份证；</w:t>
      </w:r>
    </w:p>
    <w:p w14:paraId="33B7A753">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（2）参加政府采购活动前 3 年内经营活动中没有重大违法记录声明书；投标时限内“信用中国”(</w:t>
      </w: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 HYPERLINK "https://www.creditchina.gov.cn"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 w:val="0"/>
          <w:bCs w:val="0"/>
          <w:color w:val="auto"/>
          <w:sz w:val="24"/>
          <w:szCs w:val="24"/>
          <w:lang w:val="en-US" w:eastAsia="zh-CN"/>
        </w:rPr>
        <w:t>www.creditchina.gov.cn</w:t>
      </w:r>
      <w:r>
        <w:rPr>
          <w:rFonts w:hint="eastAsia" w:ascii="宋体" w:hAnsi="宋体" w:eastAsia="宋体" w:cs="宋体"/>
          <w:b w:val="0"/>
          <w:bCs w:val="0"/>
          <w:color w:val="auto"/>
          <w:sz w:val="24"/>
          <w:szCs w:val="24"/>
          <w:lang w:val="en-US" w:eastAsia="zh-CN"/>
        </w:rPr>
        <w:fldChar w:fldCharType="end"/>
      </w:r>
      <w:r>
        <w:rPr>
          <w:rFonts w:hint="eastAsia" w:ascii="宋体" w:hAnsi="宋体" w:eastAsia="宋体" w:cs="宋体"/>
          <w:b w:val="0"/>
          <w:bCs w:val="0"/>
          <w:color w:val="auto"/>
          <w:sz w:val="24"/>
          <w:szCs w:val="24"/>
          <w:lang w:val="en-US" w:eastAsia="zh-CN"/>
        </w:rPr>
        <w:t>)网站生成的带水印信用报告，供应商不得为“信用中国”网站（</w:t>
      </w: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 HYPERLINK "https://www.creditchina.gov.cn"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 w:val="0"/>
          <w:bCs w:val="0"/>
          <w:color w:val="auto"/>
          <w:sz w:val="24"/>
          <w:szCs w:val="24"/>
          <w:lang w:val="en-US" w:eastAsia="zh-CN"/>
        </w:rPr>
        <w:t>www.creditchina.gov.cn</w:t>
      </w:r>
      <w:r>
        <w:rPr>
          <w:rFonts w:hint="eastAsia" w:ascii="宋体" w:hAnsi="宋体" w:eastAsia="宋体" w:cs="宋体"/>
          <w:b w:val="0"/>
          <w:bCs w:val="0"/>
          <w:color w:val="auto"/>
          <w:sz w:val="24"/>
          <w:szCs w:val="24"/>
          <w:lang w:val="en-US" w:eastAsia="zh-CN"/>
        </w:rPr>
        <w:fldChar w:fldCharType="end"/>
      </w:r>
      <w:r>
        <w:rPr>
          <w:rFonts w:hint="eastAsia" w:ascii="宋体" w:hAnsi="宋体" w:eastAsia="宋体" w:cs="宋体"/>
          <w:b w:val="0"/>
          <w:bCs w:val="0"/>
          <w:color w:val="auto"/>
          <w:sz w:val="24"/>
          <w:szCs w:val="24"/>
          <w:lang w:val="en-US" w:eastAsia="zh-CN"/>
        </w:rPr>
        <w:t>）中列入重大税收违法失信主体、政府采购严重违法失信行为记录名单，不得为中国政府采购网（</w:t>
      </w:r>
      <w:r>
        <w:rPr>
          <w:rFonts w:hint="eastAsia" w:ascii="宋体" w:hAnsi="宋体" w:eastAsia="宋体" w:cs="宋体"/>
          <w:b w:val="0"/>
          <w:bCs w:val="0"/>
          <w:color w:val="auto"/>
          <w:sz w:val="24"/>
          <w:szCs w:val="24"/>
          <w:lang w:val="en-US" w:eastAsia="zh-CN"/>
        </w:rPr>
        <w:fldChar w:fldCharType="begin"/>
      </w:r>
      <w:r>
        <w:rPr>
          <w:rFonts w:hint="eastAsia" w:ascii="宋体" w:hAnsi="宋体" w:eastAsia="宋体" w:cs="宋体"/>
          <w:b w:val="0"/>
          <w:bCs w:val="0"/>
          <w:color w:val="auto"/>
          <w:sz w:val="24"/>
          <w:szCs w:val="24"/>
          <w:lang w:val="en-US" w:eastAsia="zh-CN"/>
        </w:rPr>
        <w:instrText xml:space="preserve"> HYPERLINK "https://www.ccgp.gov.cn" </w:instrText>
      </w:r>
      <w:r>
        <w:rPr>
          <w:rFonts w:hint="eastAsia" w:ascii="宋体" w:hAnsi="宋体" w:eastAsia="宋体" w:cs="宋体"/>
          <w:b w:val="0"/>
          <w:bCs w:val="0"/>
          <w:color w:val="auto"/>
          <w:sz w:val="24"/>
          <w:szCs w:val="24"/>
          <w:lang w:val="en-US" w:eastAsia="zh-CN"/>
        </w:rPr>
        <w:fldChar w:fldCharType="separate"/>
      </w:r>
      <w:r>
        <w:rPr>
          <w:rFonts w:hint="eastAsia" w:ascii="宋体" w:hAnsi="宋体" w:eastAsia="宋体" w:cs="宋体"/>
          <w:b w:val="0"/>
          <w:bCs w:val="0"/>
          <w:color w:val="auto"/>
          <w:sz w:val="24"/>
          <w:szCs w:val="24"/>
          <w:lang w:val="en-US" w:eastAsia="zh-CN"/>
        </w:rPr>
        <w:t>www.ccgp.gov.cn</w:t>
      </w:r>
      <w:r>
        <w:rPr>
          <w:rFonts w:hint="eastAsia" w:ascii="宋体" w:hAnsi="宋体" w:eastAsia="宋体" w:cs="宋体"/>
          <w:b w:val="0"/>
          <w:bCs w:val="0"/>
          <w:color w:val="auto"/>
          <w:sz w:val="24"/>
          <w:szCs w:val="24"/>
          <w:lang w:val="en-US" w:eastAsia="zh-CN"/>
        </w:rPr>
        <w:fldChar w:fldCharType="end"/>
      </w:r>
      <w:r>
        <w:rPr>
          <w:rFonts w:hint="eastAsia" w:ascii="宋体" w:hAnsi="宋体" w:eastAsia="宋体" w:cs="宋体"/>
          <w:b w:val="0"/>
          <w:bCs w:val="0"/>
          <w:color w:val="auto"/>
          <w:sz w:val="24"/>
          <w:szCs w:val="24"/>
          <w:lang w:val="en-US" w:eastAsia="zh-CN"/>
        </w:rPr>
        <w:t>）政府采购严重违法失信行为记录名单中被财政部门禁止参加政府采购活动的供应商（提供查询结果网页截图并加盖供应商公章）；同时提供榆林市政府采购货物类项目供应商信用承诺书。</w:t>
      </w:r>
    </w:p>
    <w:p w14:paraId="54F27595">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财务状况报告：经会计事务所或审计机构出具的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3D0EEC56">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（4）税收缴纳证明：提供 2025 年 8 月至投标截止时间止任意一个月完税证明，完税证明上应有税务机关的公章（加盖公章复印件）；依法免税的供应商应提供相关文件证明；</w:t>
      </w:r>
    </w:p>
    <w:p w14:paraId="2420FF97">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（5）社会保障资金缴纳证明：提供 2025 年 8 月至投标截止时间止任意一个月的社会保障资金缴存单据或社保机构开具的社会保险参保缴费情况证明；依法不需要缴纳社会保障资金的应提供相关文件证明；</w:t>
      </w:r>
    </w:p>
    <w:p w14:paraId="289E994F">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（6）提供具有履行合同所必需的设备和专业技术能力的证明资料或承诺书；</w:t>
      </w:r>
    </w:p>
    <w:p w14:paraId="686D10C1">
      <w:pPr>
        <w:pStyle w:val="9"/>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（7）本项目以“投标信用承诺书 ”代替投标保证金；</w:t>
      </w:r>
    </w:p>
    <w:p w14:paraId="0DEA0B22">
      <w:pPr>
        <w:pStyle w:val="9"/>
        <w:ind w:left="480" w:leftChars="200" w:firstLine="0" w:firstLineChars="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（8）本项目</w:t>
      </w:r>
      <w:r>
        <w:rPr>
          <w:rFonts w:hint="eastAsia" w:ascii="宋体" w:hAnsi="宋体" w:cs="宋体"/>
          <w:b w:val="0"/>
          <w:bCs w:val="0"/>
          <w:color w:val="auto"/>
          <w:sz w:val="24"/>
          <w:szCs w:val="24"/>
          <w:lang w:val="en-US" w:eastAsia="zh-CN"/>
        </w:rPr>
        <w:t>不</w:t>
      </w:r>
      <w:r>
        <w:rPr>
          <w:rFonts w:hint="eastAsia" w:ascii="宋体" w:hAnsi="宋体" w:eastAsia="宋体" w:cs="宋体"/>
          <w:b w:val="0"/>
          <w:bCs w:val="0"/>
          <w:color w:val="auto"/>
          <w:sz w:val="24"/>
          <w:szCs w:val="24"/>
          <w:lang w:val="en-US" w:eastAsia="zh-CN"/>
        </w:rPr>
        <w:t>专门面向中小企业采购；</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（9）本项目不接受联合体投标，单位负责人为同一人或者存在直接控股、管理关系的不同供应商，不得参加同一合同项下的政府采购活动；</w:t>
      </w:r>
    </w:p>
    <w:p w14:paraId="4BE0881F">
      <w:pPr>
        <w:pStyle w:val="9"/>
        <w:ind w:firstLine="482" w:firstLineChars="200"/>
        <w:rPr>
          <w:rFonts w:hint="eastAsia" w:ascii="宋体" w:hAnsi="宋体" w:eastAsia="宋体" w:cs="宋体"/>
          <w:color w:val="auto"/>
        </w:rPr>
      </w:pPr>
      <w:r>
        <w:rPr>
          <w:rFonts w:hint="eastAsia" w:ascii="宋体" w:hAnsi="宋体" w:eastAsia="宋体" w:cs="宋体"/>
          <w:b/>
          <w:bCs/>
          <w:color w:val="auto"/>
          <w:sz w:val="24"/>
          <w:szCs w:val="24"/>
        </w:rPr>
        <w:t>通过资格审查的投标人不足3家的，不得评标。</w:t>
      </w:r>
    </w:p>
    <w:p w14:paraId="742B3F11">
      <w:pPr>
        <w:pStyle w:val="21"/>
        <w:spacing w:after="0" w:line="288" w:lineRule="auto"/>
        <w:ind w:firstLine="0" w:firstLineChars="0"/>
        <w:outlineLvl w:val="1"/>
        <w:rPr>
          <w:rFonts w:hint="eastAsia" w:ascii="宋体" w:hAnsi="宋体" w:eastAsia="宋体" w:cs="宋体"/>
          <w:b/>
          <w:color w:val="auto"/>
          <w:sz w:val="24"/>
          <w:szCs w:val="24"/>
        </w:rPr>
      </w:pPr>
      <w:bookmarkStart w:id="113" w:name="_Toc48834532"/>
      <w:bookmarkStart w:id="114" w:name="_Toc48834453"/>
      <w:bookmarkStart w:id="115" w:name="_Toc23906"/>
      <w:bookmarkStart w:id="116" w:name="_Toc48834164"/>
      <w:bookmarkStart w:id="117" w:name="_Toc48834094"/>
      <w:bookmarkStart w:id="118" w:name="_Toc48834291"/>
      <w:bookmarkStart w:id="119" w:name="_Toc22512"/>
      <w:r>
        <w:rPr>
          <w:rFonts w:hint="eastAsia" w:ascii="宋体" w:hAnsi="宋体" w:eastAsia="宋体" w:cs="宋体"/>
          <w:b/>
          <w:color w:val="auto"/>
          <w:sz w:val="24"/>
          <w:szCs w:val="24"/>
        </w:rPr>
        <w:t>九、组织评标</w:t>
      </w:r>
      <w:bookmarkEnd w:id="113"/>
      <w:bookmarkEnd w:id="114"/>
      <w:bookmarkEnd w:id="115"/>
      <w:bookmarkEnd w:id="116"/>
      <w:bookmarkEnd w:id="117"/>
      <w:bookmarkEnd w:id="118"/>
      <w:bookmarkEnd w:id="119"/>
    </w:p>
    <w:p w14:paraId="392AF1DC">
      <w:pPr>
        <w:spacing w:line="288" w:lineRule="auto"/>
        <w:ind w:firstLine="241" w:firstLineChars="100"/>
        <w:rPr>
          <w:rFonts w:hint="eastAsia" w:ascii="宋体" w:hAnsi="宋体" w:eastAsia="宋体" w:cs="宋体"/>
          <w:b/>
          <w:color w:val="auto"/>
          <w:szCs w:val="24"/>
        </w:rPr>
      </w:pPr>
      <w:bookmarkStart w:id="120" w:name="_Toc30503"/>
      <w:bookmarkStart w:id="121" w:name="_Toc19349"/>
      <w:bookmarkStart w:id="122" w:name="_Toc9950"/>
      <w:bookmarkStart w:id="123" w:name="_Toc31809"/>
      <w:r>
        <w:rPr>
          <w:rFonts w:hint="eastAsia" w:ascii="宋体" w:hAnsi="宋体" w:eastAsia="宋体" w:cs="宋体"/>
          <w:b/>
          <w:color w:val="auto"/>
          <w:szCs w:val="24"/>
        </w:rPr>
        <w:t>（一）采购代理机构负责组织评标工作，并履行下列职责：</w:t>
      </w:r>
      <w:bookmarkEnd w:id="120"/>
      <w:bookmarkEnd w:id="121"/>
      <w:bookmarkEnd w:id="122"/>
      <w:bookmarkEnd w:id="123"/>
    </w:p>
    <w:p w14:paraId="36953895">
      <w:pPr>
        <w:spacing w:line="288" w:lineRule="auto"/>
        <w:ind w:firstLine="480" w:firstLineChars="200"/>
        <w:rPr>
          <w:rFonts w:hint="eastAsia" w:ascii="宋体" w:hAnsi="宋体" w:eastAsia="宋体" w:cs="宋体"/>
          <w:color w:val="auto"/>
          <w:szCs w:val="24"/>
        </w:rPr>
      </w:pPr>
      <w:bookmarkStart w:id="124" w:name="_Toc6679"/>
      <w:bookmarkStart w:id="125" w:name="_Toc14136"/>
      <w:bookmarkStart w:id="126" w:name="_Toc27001"/>
      <w:bookmarkStart w:id="127" w:name="_Toc21732"/>
      <w:r>
        <w:rPr>
          <w:rFonts w:hint="eastAsia" w:ascii="宋体" w:hAnsi="宋体" w:eastAsia="宋体" w:cs="宋体"/>
          <w:color w:val="auto"/>
          <w:szCs w:val="24"/>
        </w:rPr>
        <w:t>1、核对评审专家身份和采购人代表授权函，对评审专家在政府采购活动中的职责履行情况予以记录；</w:t>
      </w:r>
    </w:p>
    <w:p w14:paraId="4FAFAB8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2、宣布评标纪律；</w:t>
      </w:r>
    </w:p>
    <w:p w14:paraId="183865B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3、公布投标人名单，告知评审专家应当回避的情形；</w:t>
      </w:r>
    </w:p>
    <w:p w14:paraId="070C02C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4、组织评标委员会推选评标组长，采购人代表不得担任组长；</w:t>
      </w:r>
    </w:p>
    <w:p w14:paraId="2CF17F2E">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5、在评标期间采取必要的通讯管理措施，保证评标活动不受外界干扰；</w:t>
      </w:r>
    </w:p>
    <w:p w14:paraId="3C40EB3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6、根据评标委员会的要求介绍政府采购相关政策法规、招标文件；</w:t>
      </w:r>
    </w:p>
    <w:p w14:paraId="63D07FC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7、维护评标秩序，监督评标委员会依照招标文件规定的评标程序、方法和标准进行独立评审，及时制止和纠正采购人代表、评审专家的倾向性言论或者违法违规行为；</w:t>
      </w:r>
    </w:p>
    <w:p w14:paraId="7BFB3F3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8、核对评标结果；</w:t>
      </w:r>
    </w:p>
    <w:p w14:paraId="4B511E2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9、评审工作完成后，按照规定向评审专家支付劳务报酬和异地评审差旅费，不得向评审专家以外的其他人员支付评审劳务报酬；</w:t>
      </w:r>
    </w:p>
    <w:p w14:paraId="0A3991C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10、处理与评标有关的其他事项。</w:t>
      </w:r>
    </w:p>
    <w:p w14:paraId="651E5444">
      <w:pPr>
        <w:spacing w:line="288" w:lineRule="auto"/>
        <w:ind w:firstLine="241" w:firstLineChars="100"/>
        <w:rPr>
          <w:rFonts w:hint="eastAsia" w:ascii="宋体" w:hAnsi="宋体" w:eastAsia="宋体" w:cs="宋体"/>
          <w:color w:val="auto"/>
          <w:szCs w:val="24"/>
        </w:rPr>
      </w:pPr>
      <w:r>
        <w:rPr>
          <w:rFonts w:hint="eastAsia" w:ascii="宋体" w:hAnsi="宋体" w:eastAsia="宋体" w:cs="宋体"/>
          <w:b/>
          <w:color w:val="auto"/>
          <w:szCs w:val="24"/>
        </w:rPr>
        <w:t>（二）评标委员会负责具体评标事务，并独立履行下列职责：</w:t>
      </w:r>
      <w:bookmarkEnd w:id="124"/>
      <w:bookmarkEnd w:id="125"/>
      <w:bookmarkEnd w:id="126"/>
      <w:bookmarkEnd w:id="127"/>
    </w:p>
    <w:p w14:paraId="080B107F">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1、严格遵守评审工作纪律，按照客观、公正、审慎的原则，根据招标文件规定的评审程序、评审方法和评审标准进行独立评审；</w:t>
      </w:r>
    </w:p>
    <w:p w14:paraId="04125288">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2、发现招标文件内容违反国家有关强制性规定或者招标文件存在歧义、重大缺陷导致评审工作无法进行时，应当停止评审并向采购人或者采购代理机构书面说明情况；</w:t>
      </w:r>
    </w:p>
    <w:p w14:paraId="542BB25E">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3、审查、评价投标文件是否符合招标文件的商务、技术等实质性要求；</w:t>
      </w:r>
    </w:p>
    <w:p w14:paraId="612643FB">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4、要求投标人对投标文件有关事项做出澄清或者说明；</w:t>
      </w:r>
    </w:p>
    <w:p w14:paraId="7BFFBE48">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5、对投标文件进行比较和评价；</w:t>
      </w:r>
    </w:p>
    <w:p w14:paraId="72B55CAC">
      <w:pPr>
        <w:pStyle w:val="19"/>
        <w:spacing w:beforeAutospacing="0" w:afterAutospacing="0" w:line="288" w:lineRule="auto"/>
        <w:ind w:firstLine="480" w:firstLineChars="200"/>
        <w:jc w:val="both"/>
        <w:rPr>
          <w:rFonts w:hint="eastAsia" w:ascii="宋体" w:hAnsi="宋体" w:eastAsia="宋体" w:cs="宋体"/>
          <w:color w:val="auto"/>
          <w:szCs w:val="24"/>
          <w:highlight w:val="yellow"/>
          <w:shd w:val="clear" w:color="auto" w:fill="FFFFFF"/>
        </w:rPr>
      </w:pPr>
      <w:r>
        <w:rPr>
          <w:rFonts w:hint="eastAsia" w:ascii="宋体" w:hAnsi="宋体" w:eastAsia="宋体" w:cs="宋体"/>
          <w:color w:val="auto"/>
          <w:szCs w:val="24"/>
          <w:shd w:val="clear" w:color="auto" w:fill="FFFFFF"/>
        </w:rPr>
        <w:t>6、确定中标候选人名单；</w:t>
      </w:r>
    </w:p>
    <w:p w14:paraId="46FBC602">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7、配合答复投标人的询问、质疑和投诉等事项,不得泄露评审文件、评审情况和在评审过程中获悉的商业秘密；</w:t>
      </w:r>
    </w:p>
    <w:p w14:paraId="04B4BF07">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8、向采购人、采购代理机构或者有关部门报告评标中发现的违法行为。审查、评价投标文件是否符合招标文件的商务、技术等实质性要求。</w:t>
      </w:r>
    </w:p>
    <w:p w14:paraId="2992968C">
      <w:pPr>
        <w:pStyle w:val="19"/>
        <w:spacing w:beforeAutospacing="0" w:afterAutospacing="0" w:line="288" w:lineRule="auto"/>
        <w:ind w:firstLine="480" w:firstLineChars="20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9、编写评标报告。</w:t>
      </w:r>
      <w:bookmarkStart w:id="128" w:name="_Toc4951"/>
      <w:bookmarkStart w:id="129" w:name="_Toc4434"/>
      <w:bookmarkStart w:id="130" w:name="_Toc932"/>
      <w:bookmarkStart w:id="131" w:name="_Toc29039"/>
    </w:p>
    <w:p w14:paraId="5726A466">
      <w:pPr>
        <w:ind w:firstLine="241" w:firstLineChars="100"/>
        <w:rPr>
          <w:rFonts w:hint="eastAsia" w:ascii="宋体" w:hAnsi="宋体" w:eastAsia="宋体" w:cs="宋体"/>
          <w:b/>
          <w:bCs/>
          <w:color w:val="auto"/>
          <w:szCs w:val="24"/>
        </w:rPr>
      </w:pPr>
      <w:r>
        <w:rPr>
          <w:rFonts w:hint="eastAsia" w:ascii="宋体" w:hAnsi="宋体" w:eastAsia="宋体" w:cs="宋体"/>
          <w:b/>
          <w:bCs/>
          <w:color w:val="auto"/>
          <w:szCs w:val="24"/>
        </w:rPr>
        <w:t>（三）组建评标委员会</w:t>
      </w:r>
      <w:bookmarkEnd w:id="128"/>
      <w:bookmarkEnd w:id="129"/>
      <w:bookmarkEnd w:id="130"/>
      <w:bookmarkEnd w:id="131"/>
    </w:p>
    <w:p w14:paraId="59BEE9D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1、为了确保评标工作的公平、公正，依据政府采购法和政府采购相关法规、规章，成立评标委员会。</w:t>
      </w:r>
    </w:p>
    <w:p w14:paraId="5B85672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评标专家从政府采购评审专家库内相关专业的专家名单中随机抽取。评标委员会由采购人代表和评审专家组成，成员人数应当为5人以上单数（符合下列情形之一的，评标委员会成员人数应当为7人以上单数，采购预算金额在1000万元以上；技术复杂；社会影响较大。）其中采购人代表须持有专家授权函。评标委员会按照招标文件规定的评标方法独立进行评标工作。</w:t>
      </w:r>
    </w:p>
    <w:p w14:paraId="67656B20">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评标中因评标委员会成员缺席、回避或者健康等特殊原因导致评标委员会组成不符合规定的，采购代理机构应当依法补足后继续评标。被更换的评标委员会成员所做出的评标意见无效。无法及时补足评标委员会成员的，采购代理机构应当停止评标活动，封存所有投标文件和开标、评标资料，依法重新组建评标委员会进行评标。原评标委员会所做出的评标意见无效。</w:t>
      </w:r>
    </w:p>
    <w:p w14:paraId="741D1D2F">
      <w:pPr>
        <w:spacing w:line="288" w:lineRule="auto"/>
        <w:ind w:firstLine="241" w:firstLineChars="100"/>
        <w:rPr>
          <w:rFonts w:hint="eastAsia" w:ascii="宋体" w:hAnsi="宋体" w:eastAsia="宋体" w:cs="宋体"/>
          <w:color w:val="auto"/>
          <w:szCs w:val="24"/>
        </w:rPr>
      </w:pPr>
      <w:bookmarkStart w:id="132" w:name="_Toc19340"/>
      <w:bookmarkStart w:id="133" w:name="_Toc21681"/>
      <w:bookmarkStart w:id="134" w:name="_Toc23735"/>
      <w:bookmarkStart w:id="135" w:name="_Toc3980"/>
      <w:r>
        <w:rPr>
          <w:rFonts w:hint="eastAsia" w:ascii="宋体" w:hAnsi="宋体" w:eastAsia="宋体" w:cs="宋体"/>
          <w:b/>
          <w:color w:val="auto"/>
          <w:szCs w:val="24"/>
        </w:rPr>
        <w:t>（四）评标方法：本次评审采用综合评分法</w:t>
      </w:r>
      <w:bookmarkEnd w:id="132"/>
      <w:bookmarkEnd w:id="133"/>
      <w:bookmarkEnd w:id="134"/>
      <w:bookmarkEnd w:id="135"/>
    </w:p>
    <w:p w14:paraId="1CE718AF">
      <w:pPr>
        <w:spacing w:line="288" w:lineRule="auto"/>
        <w:ind w:firstLine="480" w:firstLineChars="200"/>
        <w:rPr>
          <w:rFonts w:hint="eastAsia" w:ascii="宋体" w:hAnsi="宋体" w:eastAsia="宋体" w:cs="宋体"/>
          <w:color w:val="auto"/>
          <w:szCs w:val="24"/>
        </w:rPr>
      </w:pPr>
      <w:r>
        <w:rPr>
          <w:rFonts w:hint="eastAsia" w:ascii="宋体" w:hAnsi="宋体" w:eastAsia="宋体" w:cs="宋体"/>
          <w:bCs/>
          <w:color w:val="auto"/>
          <w:szCs w:val="24"/>
        </w:rPr>
        <w:t>综合评分法</w:t>
      </w:r>
      <w:r>
        <w:rPr>
          <w:rFonts w:hint="eastAsia" w:ascii="宋体" w:hAnsi="宋体" w:eastAsia="宋体" w:cs="宋体"/>
          <w:color w:val="auto"/>
          <w:szCs w:val="24"/>
        </w:rPr>
        <w:t>，是指</w:t>
      </w:r>
      <w:r>
        <w:rPr>
          <w:rFonts w:hint="eastAsia" w:ascii="宋体" w:hAnsi="宋体" w:eastAsia="宋体" w:cs="宋体"/>
          <w:color w:val="auto"/>
          <w:spacing w:val="-10"/>
          <w:szCs w:val="24"/>
        </w:rPr>
        <w:t>即</w:t>
      </w:r>
      <w:r>
        <w:rPr>
          <w:rFonts w:hint="eastAsia" w:ascii="宋体" w:hAnsi="宋体" w:eastAsia="宋体" w:cs="宋体"/>
          <w:color w:val="auto"/>
          <w:szCs w:val="24"/>
        </w:rPr>
        <w:t>投标文件满足招标文件全部实质性要求，且按照评审因素的量化指标评审得分最高的投标人为中标候选人的评标方法。</w:t>
      </w:r>
    </w:p>
    <w:p w14:paraId="7BAB6A22">
      <w:pPr>
        <w:spacing w:line="288" w:lineRule="auto"/>
        <w:ind w:firstLine="241" w:firstLineChars="100"/>
        <w:rPr>
          <w:rFonts w:hint="eastAsia" w:ascii="宋体" w:hAnsi="宋体" w:eastAsia="宋体" w:cs="宋体"/>
          <w:b/>
          <w:color w:val="auto"/>
          <w:szCs w:val="24"/>
        </w:rPr>
      </w:pPr>
      <w:bookmarkStart w:id="136" w:name="_Toc52"/>
      <w:bookmarkStart w:id="137" w:name="_Toc25401"/>
      <w:bookmarkStart w:id="138" w:name="_Toc15709"/>
      <w:bookmarkStart w:id="139" w:name="_Toc27146"/>
      <w:r>
        <w:rPr>
          <w:rFonts w:hint="eastAsia" w:ascii="宋体" w:hAnsi="宋体" w:eastAsia="宋体" w:cs="宋体"/>
          <w:b/>
          <w:color w:val="auto"/>
          <w:szCs w:val="24"/>
        </w:rPr>
        <w:t>（五）评标程序</w:t>
      </w:r>
      <w:bookmarkEnd w:id="136"/>
      <w:bookmarkEnd w:id="137"/>
      <w:bookmarkEnd w:id="138"/>
      <w:bookmarkEnd w:id="139"/>
    </w:p>
    <w:p w14:paraId="0E32BBA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分步评审，每一步评审不符合招标文件要求者，不得进入下一步评审，全部评审合格的投标人，进入最后的打分，最后按得分由高向低排序，推荐中标候选投标人。</w:t>
      </w:r>
    </w:p>
    <w:p w14:paraId="720F30DE">
      <w:pPr>
        <w:spacing w:line="288" w:lineRule="auto"/>
        <w:ind w:firstLine="482" w:firstLineChars="200"/>
        <w:rPr>
          <w:rFonts w:hint="eastAsia" w:ascii="宋体" w:hAnsi="宋体" w:eastAsia="宋体" w:cs="宋体"/>
          <w:b/>
          <w:color w:val="auto"/>
          <w:szCs w:val="24"/>
        </w:rPr>
      </w:pPr>
      <w:r>
        <w:rPr>
          <w:rFonts w:hint="eastAsia" w:ascii="宋体" w:hAnsi="宋体" w:eastAsia="宋体" w:cs="宋体"/>
          <w:b/>
          <w:color w:val="auto"/>
          <w:szCs w:val="24"/>
        </w:rPr>
        <w:t>1、投标文件的符合性审查</w:t>
      </w:r>
    </w:p>
    <w:p w14:paraId="72FBF57A">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评标委员会应依据招标文件的规定，对投标文件的有效性、完整性和对招标文件的响应程度进行审查，以确定是否对招标文件的全部实质性要求做出响应。</w:t>
      </w:r>
    </w:p>
    <w:p w14:paraId="5E9EBAA4">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评标委员会应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323BCDFD">
      <w:pPr>
        <w:spacing w:line="288" w:lineRule="auto"/>
        <w:ind w:firstLine="482" w:firstLineChars="200"/>
        <w:rPr>
          <w:rFonts w:hint="eastAsia" w:ascii="宋体" w:hAnsi="宋体" w:eastAsia="宋体" w:cs="宋体"/>
          <w:b/>
          <w:color w:val="auto"/>
          <w:szCs w:val="24"/>
        </w:rPr>
      </w:pPr>
      <w:r>
        <w:rPr>
          <w:rFonts w:hint="eastAsia" w:ascii="宋体" w:hAnsi="宋体" w:eastAsia="宋体" w:cs="宋体"/>
          <w:b/>
          <w:color w:val="auto"/>
          <w:szCs w:val="24"/>
        </w:rPr>
        <w:t>2、投标文件的澄清</w:t>
      </w:r>
    </w:p>
    <w:p w14:paraId="327E1BB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（1）评标委员会在对投标文件的有效性、完整性和响应程度进行审查时，可以要求投标人对投标文件中含义不明确、同类问题表述不一致或者有明显文字和计算错误的内容等做出必要的澄清、说明或者补正。</w:t>
      </w:r>
    </w:p>
    <w:p w14:paraId="644EF7C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（2）依照民法中的过失责任原则，澄清、说明或补正前评标委员会将按最不利于投标投标人的原则对投标文件做出评判。</w:t>
      </w:r>
    </w:p>
    <w:p w14:paraId="2CDB7C0D">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评标委员会要求投标人澄清、说明或者补正投标文件应通过书面形式做出。投标人应当在规定的澄清时限内按评标委员会要求的方式提交，投标人的澄清、说明或者补正应当由法定代表人或其授权代表签字或者加盖公章。</w:t>
      </w:r>
    </w:p>
    <w:p w14:paraId="6A5D4E5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（4）投标人的澄清、说明或者补正不得超出投标文件的范围或者改变投标文件的实质性内容。澄清、说明或者补正的内容将作为合同履行的重要依据。</w:t>
      </w:r>
    </w:p>
    <w:p w14:paraId="4D9D9F13">
      <w:pPr>
        <w:spacing w:line="288" w:lineRule="auto"/>
        <w:ind w:firstLine="482" w:firstLineChars="200"/>
        <w:rPr>
          <w:rFonts w:hint="eastAsia" w:ascii="宋体" w:hAnsi="宋体" w:eastAsia="宋体" w:cs="宋体"/>
          <w:b/>
          <w:color w:val="auto"/>
          <w:szCs w:val="24"/>
        </w:rPr>
      </w:pPr>
      <w:r>
        <w:rPr>
          <w:rFonts w:hint="eastAsia" w:ascii="宋体" w:hAnsi="宋体" w:eastAsia="宋体" w:cs="宋体"/>
          <w:b/>
          <w:color w:val="auto"/>
          <w:szCs w:val="24"/>
        </w:rPr>
        <w:t>3、综合比较与评价</w:t>
      </w:r>
    </w:p>
    <w:p w14:paraId="1EDC88DD">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评标委员会应按“评审要素及分值一览表”中规定的评标标准，对通过符合性和响应性审查的投标文件进行商务和技术评估，综合比较与评价。</w:t>
      </w:r>
    </w:p>
    <w:p w14:paraId="0800A41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对被认定为</w:t>
      </w:r>
      <w:r>
        <w:rPr>
          <w:rFonts w:hint="eastAsia" w:ascii="宋体" w:hAnsi="宋体" w:eastAsia="宋体" w:cs="宋体"/>
          <w:bCs/>
          <w:color w:val="auto"/>
          <w:szCs w:val="24"/>
        </w:rPr>
        <w:t>小微企业（含小型、微型企业）、监狱企业、残疾人福利性单位</w:t>
      </w:r>
      <w:r>
        <w:rPr>
          <w:rFonts w:hint="eastAsia" w:ascii="宋体" w:hAnsi="宋体" w:eastAsia="宋体" w:cs="宋体"/>
          <w:color w:val="auto"/>
          <w:szCs w:val="24"/>
        </w:rPr>
        <w:t xml:space="preserve">（参照本章（四）执行优惠政策）提供的投标报价给予20%的价格扣除，用扣除后的价格参与评审排序，除此之外的其他情形均不适用本款规定。 </w:t>
      </w:r>
    </w:p>
    <w:p w14:paraId="197C5BBE">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评标委员会应审查投标人是否具备“落实政府采购政策”的资格，如不符合相关文件要求或投标人未提供相关声明或证明材料，投标人不可以享受价格折扣优惠政策。</w:t>
      </w:r>
    </w:p>
    <w:p w14:paraId="03B2639D">
      <w:pPr>
        <w:spacing w:line="288" w:lineRule="auto"/>
        <w:ind w:firstLine="482" w:firstLineChars="200"/>
        <w:rPr>
          <w:rFonts w:hint="eastAsia" w:ascii="宋体" w:hAnsi="宋体" w:eastAsia="宋体" w:cs="宋体"/>
          <w:b/>
          <w:color w:val="auto"/>
          <w:szCs w:val="24"/>
        </w:rPr>
      </w:pPr>
      <w:r>
        <w:rPr>
          <w:rFonts w:hint="eastAsia" w:ascii="宋体" w:hAnsi="宋体" w:eastAsia="宋体" w:cs="宋体"/>
          <w:b/>
          <w:color w:val="auto"/>
          <w:szCs w:val="24"/>
        </w:rPr>
        <w:t>4、推荐中标候选投标人</w:t>
      </w:r>
    </w:p>
    <w:p w14:paraId="743AF4C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4033929">
      <w:pPr>
        <w:spacing w:line="288" w:lineRule="auto"/>
        <w:ind w:firstLine="482" w:firstLineChars="200"/>
        <w:rPr>
          <w:rFonts w:hint="eastAsia" w:ascii="宋体" w:hAnsi="宋体" w:eastAsia="宋体" w:cs="宋体"/>
          <w:b/>
          <w:color w:val="auto"/>
          <w:szCs w:val="24"/>
        </w:rPr>
      </w:pPr>
      <w:r>
        <w:rPr>
          <w:rFonts w:hint="eastAsia" w:ascii="宋体" w:hAnsi="宋体" w:eastAsia="宋体" w:cs="宋体"/>
          <w:b/>
          <w:color w:val="auto"/>
          <w:szCs w:val="24"/>
        </w:rPr>
        <w:t>5、编写评标报告</w:t>
      </w:r>
    </w:p>
    <w:p w14:paraId="6308837F">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（1）评标委员会应根据全体评标成员签字的原始评标记录和评标结果编写评标报告。</w:t>
      </w:r>
    </w:p>
    <w:p w14:paraId="390D059C">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（2）评标委员会成员对需要共同认定的事项存在争议的，应当按照少数服从多数的原则做出结论。持不同意见的评标委员会成员应当在评标报告上签署不同意见及理由，否则视为同意评标报告。</w:t>
      </w:r>
    </w:p>
    <w:p w14:paraId="2E682EB8">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3）除出现分值汇总计算错误、分项评分超出评分标准范围、评标委员会成员对客观评审因素评分不一致、经评标委员会认定评分畸高畸低的四种情况之一的以外，任何人不得修改评标结果。出现上述情形的处理方法：</w:t>
      </w:r>
    </w:p>
    <w:p w14:paraId="783F920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评标结果汇总完成，评标报告签署前，评标委员会应当当场修改评标结果，并在评标报告中记载。</w:t>
      </w:r>
    </w:p>
    <w:p w14:paraId="34D057EE">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评标结果汇总完成，评标报告签署后，应当组织原评标委员会进行重新评审，重新评审改变评标结果的，书面报告至财政局。 </w:t>
      </w:r>
    </w:p>
    <w:p w14:paraId="7602B644">
      <w:pPr>
        <w:spacing w:line="288" w:lineRule="auto"/>
        <w:outlineLvl w:val="1"/>
        <w:rPr>
          <w:rFonts w:hint="eastAsia" w:ascii="宋体" w:hAnsi="宋体" w:eastAsia="宋体" w:cs="宋体"/>
          <w:b/>
          <w:color w:val="auto"/>
          <w:szCs w:val="24"/>
        </w:rPr>
      </w:pPr>
      <w:bookmarkStart w:id="140" w:name="_Toc3564"/>
      <w:r>
        <w:rPr>
          <w:rFonts w:hint="eastAsia" w:ascii="宋体" w:hAnsi="宋体" w:eastAsia="宋体" w:cs="宋体"/>
          <w:b/>
          <w:color w:val="auto"/>
          <w:szCs w:val="24"/>
        </w:rPr>
        <w:t>十、无效投标情形</w:t>
      </w:r>
      <w:bookmarkEnd w:id="140"/>
    </w:p>
    <w:p w14:paraId="12625304">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（一）投标人存在下列情况之一的，投标无效:</w:t>
      </w:r>
    </w:p>
    <w:p w14:paraId="423BA2AD">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1、未按照招标文件的规定提交投标保证金；</w:t>
      </w:r>
    </w:p>
    <w:p w14:paraId="49C01547">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2、投标文件未按招标文件要求签署、盖章；</w:t>
      </w:r>
    </w:p>
    <w:p w14:paraId="69D7AAF1">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3、不具备招标文件中规定的资格要求；</w:t>
      </w:r>
    </w:p>
    <w:p w14:paraId="72D0D76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4、报价超过招标文件中规定的预算金额或者最高限价；</w:t>
      </w:r>
    </w:p>
    <w:p w14:paraId="7545C38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5、投标文件含有采购人不能接受的附加条件；</w:t>
      </w:r>
    </w:p>
    <w:p w14:paraId="6C378C4A">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6、有选择的报价将不予接受，按无效投标处理；</w:t>
      </w:r>
    </w:p>
    <w:p w14:paraId="530EE6F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7、按《政府采购货物和服务招标投标管理办法》（财政部令第87号）修正后的报价经投标人确认后产生约束力，投标人不确认的，其投标无效；</w:t>
      </w:r>
    </w:p>
    <w:p w14:paraId="19C23563">
      <w:pPr>
        <w:ind w:firstLine="480" w:firstLineChars="200"/>
        <w:rPr>
          <w:rFonts w:hint="eastAsia" w:ascii="宋体" w:hAnsi="宋体" w:eastAsia="宋体" w:cs="宋体"/>
          <w:color w:val="auto"/>
          <w:szCs w:val="24"/>
          <w:lang w:val="en-US" w:eastAsia="zh-CN"/>
        </w:rPr>
      </w:pPr>
      <w:r>
        <w:rPr>
          <w:rFonts w:hint="eastAsia" w:hAnsi="宋体" w:cs="宋体"/>
          <w:color w:val="auto"/>
          <w:szCs w:val="24"/>
          <w:lang w:val="en-US" w:eastAsia="zh-CN"/>
        </w:rPr>
        <w:t>8、</w:t>
      </w:r>
      <w:r>
        <w:rPr>
          <w:rFonts w:hint="eastAsia" w:ascii="宋体" w:hAnsi="宋体" w:eastAsia="宋体" w:cs="宋体"/>
          <w:color w:val="auto"/>
          <w:szCs w:val="24"/>
          <w:lang w:val="en-US" w:eastAsia="zh-CN"/>
        </w:rPr>
        <w:t>投标人须有经法定代表或授权委托人签字并盖章的针对本项目的售后服务承诺；</w:t>
      </w:r>
    </w:p>
    <w:p w14:paraId="1A0FEFE9">
      <w:pPr>
        <w:spacing w:line="288" w:lineRule="auto"/>
        <w:ind w:firstLine="480" w:firstLineChars="200"/>
        <w:rPr>
          <w:rFonts w:hint="eastAsia" w:ascii="宋体" w:hAnsi="宋体" w:eastAsia="宋体" w:cs="宋体"/>
          <w:color w:val="auto"/>
          <w:szCs w:val="24"/>
          <w:lang w:val="en-US" w:eastAsia="zh-CN"/>
        </w:rPr>
      </w:pPr>
      <w:r>
        <w:rPr>
          <w:rFonts w:hint="eastAsia" w:hAnsi="宋体" w:cs="宋体"/>
          <w:color w:val="auto"/>
          <w:szCs w:val="24"/>
          <w:lang w:val="en-US" w:eastAsia="zh-CN"/>
        </w:rPr>
        <w:t>9、</w:t>
      </w:r>
      <w:r>
        <w:rPr>
          <w:rFonts w:hint="eastAsia" w:ascii="宋体" w:hAnsi="宋体" w:eastAsia="宋体" w:cs="宋体"/>
          <w:color w:val="auto"/>
          <w:szCs w:val="24"/>
          <w:lang w:val="en-US" w:eastAsia="zh-CN"/>
        </w:rPr>
        <w:t>投标人应具备完成本次服务的能力，并在人员、设备、资金等方面具有相应的组织管理能力承诺书；及质量保证承诺书；（以上承诺书经法定代表或授权委托人签字并盖章）。</w:t>
      </w:r>
    </w:p>
    <w:p w14:paraId="3C4A98E9">
      <w:pPr>
        <w:spacing w:line="288" w:lineRule="auto"/>
        <w:ind w:firstLine="480" w:firstLineChars="200"/>
        <w:rPr>
          <w:rFonts w:hint="eastAsia" w:ascii="宋体" w:hAnsi="宋体" w:eastAsia="宋体" w:cs="宋体"/>
          <w:color w:val="auto"/>
          <w:szCs w:val="24"/>
          <w:lang w:val="en-US" w:eastAsia="zh-CN"/>
        </w:rPr>
      </w:pPr>
      <w:r>
        <w:rPr>
          <w:rFonts w:hint="eastAsia" w:hAnsi="宋体" w:cs="宋体"/>
          <w:color w:val="auto"/>
          <w:szCs w:val="24"/>
          <w:lang w:val="en-US" w:eastAsia="zh-CN"/>
        </w:rPr>
        <w:t>10、</w:t>
      </w:r>
      <w:r>
        <w:rPr>
          <w:rFonts w:hint="eastAsia" w:ascii="宋体" w:hAnsi="宋体" w:eastAsia="宋体" w:cs="宋体"/>
          <w:color w:val="auto"/>
          <w:szCs w:val="24"/>
          <w:lang w:val="en-US" w:eastAsia="zh-CN"/>
        </w:rPr>
        <w:t>被授权人和法定代表人须提供本单位劳动合同及被授权人2026年1月至今已缴存的任意一个月的社会保障资金缴纳证明。五险一金其中一项即可，应可查询。</w:t>
      </w:r>
    </w:p>
    <w:p w14:paraId="1F5D0AD0">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（二）投标人存在下列情形之一的，视为串通投标，其投标无效：</w:t>
      </w:r>
    </w:p>
    <w:p w14:paraId="74A8060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 1、不同投标人的投标文件由同一单位或者个人编制；</w:t>
      </w:r>
    </w:p>
    <w:p w14:paraId="0C72A312">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 2、不同投标人委托同一单位或者个人办理投标事宜；</w:t>
      </w:r>
    </w:p>
    <w:p w14:paraId="66AFEFD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 3、不同投标人的投标文件载明的项目管理成员或者联系人员为同一人；</w:t>
      </w:r>
    </w:p>
    <w:p w14:paraId="6DC9BF2E">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 4、不同投标人的投标文件异常一致或者投标报价呈规律性差异；</w:t>
      </w:r>
    </w:p>
    <w:p w14:paraId="46251F78">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 5、不同投标人的投标文件相互混装；</w:t>
      </w:r>
    </w:p>
    <w:p w14:paraId="53B99694">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 6、不同投标人的投标保证金从同一单位或者个人的账户转出。</w:t>
      </w:r>
    </w:p>
    <w:p w14:paraId="6B674409">
      <w:pPr>
        <w:spacing w:line="288" w:lineRule="auto"/>
        <w:ind w:firstLine="241" w:firstLineChars="100"/>
        <w:rPr>
          <w:rFonts w:hint="eastAsia" w:ascii="宋体" w:hAnsi="宋体" w:eastAsia="宋体" w:cs="宋体"/>
          <w:b/>
          <w:color w:val="auto"/>
          <w:szCs w:val="24"/>
        </w:rPr>
      </w:pPr>
      <w:r>
        <w:rPr>
          <w:rFonts w:hint="eastAsia" w:ascii="宋体" w:hAnsi="宋体" w:eastAsia="宋体" w:cs="宋体"/>
          <w:b/>
          <w:color w:val="auto"/>
          <w:szCs w:val="24"/>
        </w:rPr>
        <w:t>（三）投标人不得以低于成本的报价参加本次采购项目。</w:t>
      </w:r>
    </w:p>
    <w:p w14:paraId="0823C7C3">
      <w:pPr>
        <w:spacing w:line="288" w:lineRule="auto"/>
        <w:ind w:firstLine="480" w:firstLineChars="200"/>
        <w:rPr>
          <w:rFonts w:hint="eastAsia" w:ascii="宋体" w:hAnsi="宋体" w:eastAsia="宋体" w:cs="宋体"/>
          <w:b/>
          <w:color w:val="auto"/>
          <w:szCs w:val="24"/>
        </w:rPr>
      </w:pPr>
      <w:r>
        <w:rPr>
          <w:rFonts w:hint="eastAsia" w:ascii="宋体" w:hAnsi="宋体" w:eastAsia="宋体" w:cs="宋体"/>
          <w:color w:val="auto"/>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8EA4DDE">
      <w:pPr>
        <w:pStyle w:val="21"/>
        <w:spacing w:after="0" w:line="288" w:lineRule="auto"/>
        <w:ind w:firstLine="0" w:firstLineChars="0"/>
        <w:outlineLvl w:val="1"/>
        <w:rPr>
          <w:rFonts w:hint="eastAsia" w:ascii="宋体" w:hAnsi="宋体" w:eastAsia="宋体" w:cs="宋体"/>
          <w:b/>
          <w:color w:val="auto"/>
          <w:sz w:val="24"/>
          <w:szCs w:val="24"/>
        </w:rPr>
      </w:pPr>
      <w:bookmarkStart w:id="141" w:name="_Toc8479"/>
      <w:r>
        <w:rPr>
          <w:rFonts w:hint="eastAsia" w:ascii="宋体" w:hAnsi="宋体" w:eastAsia="宋体" w:cs="宋体"/>
          <w:b/>
          <w:color w:val="auto"/>
          <w:sz w:val="24"/>
          <w:szCs w:val="24"/>
        </w:rPr>
        <w:t>十一、中标</w:t>
      </w:r>
      <w:bookmarkEnd w:id="107"/>
      <w:bookmarkEnd w:id="108"/>
      <w:bookmarkEnd w:id="109"/>
      <w:bookmarkEnd w:id="110"/>
      <w:bookmarkEnd w:id="111"/>
      <w:bookmarkEnd w:id="112"/>
      <w:bookmarkEnd w:id="141"/>
    </w:p>
    <w:p w14:paraId="6FF73357">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（一）采购代理机构在评标工作结束后2个工作日内将评标报告送采购人。</w:t>
      </w:r>
    </w:p>
    <w:p w14:paraId="0DCE5CD6">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二）采购人在收到评标报告之日起5个工作日内，在评标报告确定的中标候选人名单中按顺序确定中标投标人。（采购人在收到评标报告5个工作日内未按评标报告推荐的中标候选人顺序确定中标投标人，又不能说明合法理由的，视同按评标报告推荐的顺序确定中标投标人，采购代理机构将发布中标公告。）</w:t>
      </w:r>
    </w:p>
    <w:p w14:paraId="06A03268">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（三）采购代理机构将在中标投标人确定之日起2个工作日内，发布媒体为【</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Fonts w:hint="eastAsia" w:ascii="宋体" w:hAnsi="宋体" w:eastAsia="宋体" w:cs="宋体"/>
          <w:color w:val="auto"/>
          <w:szCs w:val="24"/>
        </w:rPr>
        <w:t>陕西省政府采购网</w:t>
      </w:r>
      <w:r>
        <w:rPr>
          <w:rFonts w:hint="eastAsia" w:ascii="宋体" w:hAnsi="宋体" w:eastAsia="宋体" w:cs="宋体"/>
          <w:color w:val="auto"/>
          <w:szCs w:val="24"/>
        </w:rPr>
        <w:fldChar w:fldCharType="end"/>
      </w:r>
      <w:r>
        <w:rPr>
          <w:rFonts w:hint="eastAsia" w:ascii="宋体" w:hAnsi="宋体" w:eastAsia="宋体" w:cs="宋体"/>
          <w:color w:val="auto"/>
          <w:szCs w:val="24"/>
        </w:rPr>
        <w:t>（www.ccgp-shaanxi.gov.cn）】</w:t>
      </w:r>
      <w:r>
        <w:rPr>
          <w:rStyle w:val="34"/>
          <w:rFonts w:hint="eastAsia" w:ascii="宋体" w:hAnsi="宋体" w:eastAsia="宋体" w:cs="宋体"/>
          <w:color w:val="auto"/>
          <w:szCs w:val="24"/>
          <w:u w:val="none"/>
        </w:rPr>
        <w:t>、</w:t>
      </w:r>
      <w:r>
        <w:rPr>
          <w:rFonts w:hint="eastAsia" w:ascii="宋体" w:hAnsi="宋体" w:eastAsia="宋体" w:cs="宋体"/>
          <w:color w:val="auto"/>
          <w:szCs w:val="24"/>
        </w:rPr>
        <w:t>【</w:t>
      </w:r>
      <w:r>
        <w:rPr>
          <w:rFonts w:hint="eastAsia" w:ascii="宋体" w:hAnsi="宋体" w:eastAsia="宋体" w:cs="宋体"/>
          <w:bCs/>
          <w:color w:val="auto"/>
          <w:szCs w:val="24"/>
        </w:rPr>
        <w:t>全国公共资源交易平台（陕西省）（http://www.sxggzyjy.cn/）</w:t>
      </w:r>
      <w:r>
        <w:rPr>
          <w:rFonts w:hint="eastAsia" w:ascii="宋体" w:hAnsi="宋体" w:eastAsia="宋体" w:cs="宋体"/>
          <w:color w:val="auto"/>
          <w:szCs w:val="24"/>
        </w:rPr>
        <w:t>】上公告中标结果。中标公告期限为1个工作日。</w:t>
      </w:r>
    </w:p>
    <w:p w14:paraId="32BD3655">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（四）在公告中标结果的同时，采购代理机构向中标投标人发出中标通知书。</w:t>
      </w:r>
    </w:p>
    <w:p w14:paraId="46B64BEE">
      <w:pPr>
        <w:spacing w:line="288" w:lineRule="auto"/>
        <w:ind w:firstLine="240" w:firstLineChars="100"/>
        <w:rPr>
          <w:rFonts w:hint="eastAsia" w:ascii="宋体" w:hAnsi="宋体" w:eastAsia="宋体" w:cs="宋体"/>
          <w:b/>
          <w:color w:val="auto"/>
          <w:szCs w:val="24"/>
        </w:rPr>
      </w:pPr>
      <w:r>
        <w:rPr>
          <w:rFonts w:hint="eastAsia" w:ascii="宋体" w:hAnsi="宋体" w:eastAsia="宋体" w:cs="宋体"/>
          <w:color w:val="auto"/>
          <w:szCs w:val="24"/>
        </w:rPr>
        <w:t>（五）中标通知书发出后，采购人不得违法改变中标结果，中标投标人无正当理由不得放弃中标。</w:t>
      </w:r>
      <w:bookmarkStart w:id="142" w:name="_Toc48834534"/>
      <w:bookmarkStart w:id="143" w:name="_Toc48834166"/>
      <w:bookmarkStart w:id="144" w:name="_Toc10388"/>
      <w:bookmarkStart w:id="145" w:name="_Toc48834455"/>
      <w:bookmarkStart w:id="146" w:name="_Toc48834293"/>
      <w:bookmarkStart w:id="147" w:name="_Toc48834096"/>
    </w:p>
    <w:p w14:paraId="42A51D31">
      <w:pPr>
        <w:pStyle w:val="21"/>
        <w:spacing w:after="0" w:line="288" w:lineRule="auto"/>
        <w:ind w:firstLine="0" w:firstLineChars="0"/>
        <w:outlineLvl w:val="1"/>
        <w:rPr>
          <w:rFonts w:hint="eastAsia" w:ascii="宋体" w:hAnsi="宋体" w:eastAsia="宋体" w:cs="宋体"/>
          <w:b/>
          <w:color w:val="auto"/>
          <w:sz w:val="24"/>
          <w:szCs w:val="24"/>
        </w:rPr>
      </w:pPr>
      <w:bookmarkStart w:id="148" w:name="_Toc15879"/>
      <w:r>
        <w:rPr>
          <w:rFonts w:hint="eastAsia" w:ascii="宋体" w:hAnsi="宋体" w:eastAsia="宋体" w:cs="宋体"/>
          <w:b/>
          <w:color w:val="auto"/>
          <w:sz w:val="24"/>
          <w:szCs w:val="24"/>
        </w:rPr>
        <w:t>十二、签订政府采购合同</w:t>
      </w:r>
      <w:bookmarkEnd w:id="142"/>
      <w:bookmarkEnd w:id="143"/>
      <w:bookmarkEnd w:id="144"/>
      <w:bookmarkEnd w:id="145"/>
      <w:bookmarkEnd w:id="146"/>
      <w:bookmarkEnd w:id="147"/>
      <w:bookmarkEnd w:id="148"/>
    </w:p>
    <w:p w14:paraId="03577AE4">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一）自中标通知书发出之日起10日内，采购人与中标投标人应按招标文件和中标投标人投标文件的规定，签订书面合同。所签订的政府采购合同不得对招标文件和中标投标人的投标文件内容作实质性修改。（采购人不得向中标投标人提出任何不合理的要求作为签订合同的条件。）</w:t>
      </w:r>
    </w:p>
    <w:p w14:paraId="73A605E8">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（二）中标投标人拒绝与采购人签订合同的，采购人可以按照评标报告推荐的中标候选人名单排序，确定下一候选人为中标投标人，也可以重新开展政府采购活动。</w:t>
      </w:r>
    </w:p>
    <w:p w14:paraId="5E90B9C7">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（三）招标文件、中标投标人的投标文件《中标通知书》及其澄清、说明文件、承诺等，均为签订采购合同的依据，作为采购合同的组成部分。</w:t>
      </w:r>
    </w:p>
    <w:p w14:paraId="1CFC74A4">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（四）政府采购合同应当包括采购人与中标投标人的名称和住所、标的、数量、质量、价款或者报酬、履行期限及地点和方式、验收要求、违约责任、解决争议的方法等内容。</w:t>
      </w:r>
    </w:p>
    <w:p w14:paraId="678AB085">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（五）采购人与中标投标人应当根据合同的约定依法履行合同义务。政府采购合同的履行、违约责任和解决争议的方法等适用《中华人民共和国民法典》。</w:t>
      </w:r>
    </w:p>
    <w:p w14:paraId="4CEA5CEA">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（六）采购人应及时对采购项目进行验收。采购人可以邀请参加本项目的其他投标投标人或者第三方机构参与验收。参与验收的投标投标人或者第三方机构的意见作为验收书的参考资料一并存档。</w:t>
      </w:r>
    </w:p>
    <w:p w14:paraId="27DA19A0">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（七）采购人应当加强对中标投标人的履约管理，并按照采购合同约定，及时向中标投标人支付采购资金。对于中标投标人违反采购合同约定的行为，采购人应当及时处理，依法追究其违约责任。</w:t>
      </w:r>
    </w:p>
    <w:p w14:paraId="4F637DC2">
      <w:pPr>
        <w:pStyle w:val="21"/>
        <w:spacing w:after="0" w:line="288" w:lineRule="auto"/>
        <w:ind w:firstLine="0" w:firstLineChars="0"/>
        <w:outlineLvl w:val="1"/>
        <w:rPr>
          <w:rFonts w:hint="eastAsia" w:ascii="宋体" w:hAnsi="宋体" w:eastAsia="宋体" w:cs="宋体"/>
          <w:b/>
          <w:color w:val="auto"/>
          <w:sz w:val="24"/>
          <w:szCs w:val="24"/>
        </w:rPr>
      </w:pPr>
      <w:bookmarkStart w:id="149" w:name="_Toc48834535"/>
      <w:bookmarkStart w:id="150" w:name="_Toc48834167"/>
      <w:bookmarkStart w:id="151" w:name="_Toc48834097"/>
      <w:bookmarkStart w:id="152" w:name="_Toc31345"/>
      <w:bookmarkStart w:id="153" w:name="_Toc48834456"/>
      <w:bookmarkStart w:id="154" w:name="_Toc48834294"/>
      <w:bookmarkStart w:id="155" w:name="_Toc16889"/>
      <w:r>
        <w:rPr>
          <w:rFonts w:hint="eastAsia" w:ascii="宋体" w:hAnsi="宋体" w:eastAsia="宋体" w:cs="宋体"/>
          <w:b/>
          <w:color w:val="auto"/>
          <w:sz w:val="24"/>
          <w:szCs w:val="24"/>
        </w:rPr>
        <w:t>十三、</w:t>
      </w:r>
      <w:bookmarkEnd w:id="149"/>
      <w:bookmarkEnd w:id="150"/>
      <w:bookmarkEnd w:id="151"/>
      <w:bookmarkEnd w:id="152"/>
      <w:bookmarkEnd w:id="153"/>
      <w:bookmarkEnd w:id="154"/>
      <w:r>
        <w:rPr>
          <w:rFonts w:hint="eastAsia" w:ascii="宋体" w:hAnsi="宋体" w:eastAsia="宋体" w:cs="宋体"/>
          <w:b/>
          <w:color w:val="auto"/>
          <w:sz w:val="24"/>
          <w:szCs w:val="24"/>
        </w:rPr>
        <w:t>废标情形</w:t>
      </w:r>
      <w:bookmarkEnd w:id="155"/>
    </w:p>
    <w:p w14:paraId="68574867">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一）评标委员会发现招标文件存在歧义、重大缺陷导致评标工作无法进行，或者招标文件内容违反国家有关强制性规定的，应当停止评标工作，与采购人或者市采购代理机构沟通并作书面记录。采购人或者采购代理机构确认后，应当修改招标文件，重新组织采购活动。</w:t>
      </w:r>
    </w:p>
    <w:p w14:paraId="237EF460">
      <w:pPr>
        <w:spacing w:line="288" w:lineRule="auto"/>
        <w:ind w:firstLine="240" w:firstLineChars="100"/>
        <w:rPr>
          <w:rFonts w:hint="eastAsia" w:ascii="宋体" w:hAnsi="宋体" w:eastAsia="宋体" w:cs="宋体"/>
          <w:color w:val="auto"/>
          <w:szCs w:val="24"/>
        </w:rPr>
      </w:pPr>
      <w:r>
        <w:rPr>
          <w:rFonts w:hint="eastAsia" w:ascii="宋体" w:hAnsi="宋体" w:eastAsia="宋体" w:cs="宋体"/>
          <w:color w:val="auto"/>
          <w:szCs w:val="24"/>
        </w:rPr>
        <w:t>（二）根据《政府采购法》第三十六条规定，在招标采购中，出现下列情形之一的，本项目按废标处理：</w:t>
      </w:r>
    </w:p>
    <w:p w14:paraId="19AB4757">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rPr>
        <w:t>1、</w:t>
      </w:r>
      <w:r>
        <w:rPr>
          <w:rFonts w:hint="eastAsia" w:ascii="宋体" w:hAnsi="宋体" w:eastAsia="宋体" w:cs="宋体"/>
          <w:color w:val="auto"/>
          <w:szCs w:val="24"/>
        </w:rPr>
        <w:t>符合专业条件的供应商或者对招标文件作实质响应的供应商不足三家的；</w:t>
      </w:r>
    </w:p>
    <w:p w14:paraId="07D711B0">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2、出现影响采购公正的违法、违规行为的；</w:t>
      </w:r>
    </w:p>
    <w:p w14:paraId="6009D382">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3、投标人的报价均超过了采购预算，采购人不能支付的；</w:t>
      </w:r>
    </w:p>
    <w:p w14:paraId="50A6F91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4、因重大变故，采购任务取消的。</w:t>
      </w:r>
    </w:p>
    <w:p w14:paraId="6CCCBFE3">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废标后，采购人应当将废标理由通知所有投标人。</w:t>
      </w:r>
    </w:p>
    <w:p w14:paraId="333779AF">
      <w:pPr>
        <w:rPr>
          <w:rFonts w:hint="eastAsia" w:ascii="宋体" w:hAnsi="宋体" w:eastAsia="宋体" w:cs="宋体"/>
          <w:color w:val="auto"/>
        </w:rPr>
      </w:pPr>
      <w:r>
        <w:rPr>
          <w:rFonts w:hint="eastAsia" w:ascii="宋体" w:hAnsi="宋体" w:eastAsia="宋体" w:cs="宋体"/>
          <w:color w:val="auto"/>
        </w:rPr>
        <w:br w:type="page"/>
      </w:r>
    </w:p>
    <w:p w14:paraId="0935F4E1">
      <w:pPr>
        <w:pStyle w:val="2"/>
        <w:numPr>
          <w:ilvl w:val="0"/>
          <w:numId w:val="2"/>
        </w:numPr>
        <w:rPr>
          <w:rFonts w:hint="eastAsia" w:ascii="宋体" w:hAnsi="宋体" w:eastAsia="宋体" w:cs="宋体"/>
          <w:color w:val="auto"/>
          <w:sz w:val="32"/>
          <w:szCs w:val="32"/>
        </w:rPr>
      </w:pPr>
      <w:bookmarkStart w:id="156" w:name="_Toc19346"/>
      <w:r>
        <w:rPr>
          <w:rFonts w:hint="eastAsia" w:ascii="宋体" w:hAnsi="宋体" w:eastAsia="宋体" w:cs="宋体"/>
          <w:color w:val="auto"/>
          <w:sz w:val="32"/>
          <w:szCs w:val="32"/>
        </w:rPr>
        <w:t>评审办法及标准</w:t>
      </w:r>
      <w:bookmarkEnd w:id="156"/>
    </w:p>
    <w:p w14:paraId="37575B3F">
      <w:pPr>
        <w:pStyle w:val="21"/>
        <w:numPr>
          <w:ilvl w:val="0"/>
          <w:numId w:val="3"/>
        </w:numPr>
        <w:spacing w:line="500" w:lineRule="exact"/>
        <w:ind w:firstLine="0" w:firstLineChars="0"/>
        <w:outlineLvl w:val="1"/>
        <w:rPr>
          <w:rFonts w:hint="eastAsia" w:ascii="宋体" w:hAnsi="宋体" w:eastAsia="宋体" w:cs="宋体"/>
          <w:b/>
          <w:color w:val="auto"/>
          <w:sz w:val="28"/>
          <w:szCs w:val="28"/>
        </w:rPr>
      </w:pPr>
      <w:bookmarkStart w:id="157" w:name="_Toc5845"/>
      <w:r>
        <w:rPr>
          <w:rFonts w:hint="eastAsia" w:ascii="宋体" w:hAnsi="宋体" w:eastAsia="宋体" w:cs="宋体"/>
          <w:b/>
          <w:color w:val="auto"/>
          <w:sz w:val="28"/>
          <w:szCs w:val="28"/>
        </w:rPr>
        <w:t>资格性审查</w:t>
      </w:r>
      <w:bookmarkEnd w:id="157"/>
    </w:p>
    <w:tbl>
      <w:tblPr>
        <w:tblStyle w:val="23"/>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7018"/>
        <w:gridCol w:w="2077"/>
      </w:tblGrid>
      <w:tr w14:paraId="3815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4" w:type="dxa"/>
            <w:vAlign w:val="center"/>
          </w:tcPr>
          <w:p w14:paraId="3C1AC335">
            <w:pPr>
              <w:spacing w:line="273" w:lineRule="auto"/>
              <w:jc w:val="center"/>
              <w:rPr>
                <w:rFonts w:hint="eastAsia" w:ascii="宋体" w:hAnsi="宋体" w:eastAsia="宋体" w:cs="宋体"/>
                <w:b/>
                <w:bCs/>
                <w:color w:val="auto"/>
                <w:szCs w:val="24"/>
              </w:rPr>
            </w:pPr>
            <w:r>
              <w:rPr>
                <w:rFonts w:hint="eastAsia" w:ascii="宋体" w:hAnsi="宋体" w:eastAsia="宋体" w:cs="宋体"/>
                <w:b/>
                <w:bCs/>
                <w:color w:val="auto"/>
                <w:sz w:val="22"/>
                <w:szCs w:val="22"/>
              </w:rPr>
              <w:t>序号</w:t>
            </w:r>
          </w:p>
        </w:tc>
        <w:tc>
          <w:tcPr>
            <w:tcW w:w="7018" w:type="dxa"/>
            <w:vAlign w:val="center"/>
          </w:tcPr>
          <w:p w14:paraId="54EBC733">
            <w:pPr>
              <w:spacing w:line="360" w:lineRule="auto"/>
              <w:jc w:val="center"/>
              <w:rPr>
                <w:rFonts w:hint="eastAsia" w:ascii="宋体" w:hAnsi="宋体" w:eastAsia="宋体" w:cs="宋体"/>
                <w:b/>
                <w:bCs/>
                <w:color w:val="auto"/>
                <w:szCs w:val="24"/>
              </w:rPr>
            </w:pPr>
            <w:r>
              <w:rPr>
                <w:rFonts w:hint="eastAsia" w:ascii="宋体" w:hAnsi="宋体" w:eastAsia="宋体" w:cs="宋体"/>
                <w:b/>
                <w:bCs/>
                <w:color w:val="auto"/>
                <w:szCs w:val="24"/>
              </w:rPr>
              <w:t>审查因素</w:t>
            </w:r>
          </w:p>
        </w:tc>
        <w:tc>
          <w:tcPr>
            <w:tcW w:w="2077" w:type="dxa"/>
            <w:vAlign w:val="center"/>
          </w:tcPr>
          <w:p w14:paraId="716B5317">
            <w:pPr>
              <w:spacing w:line="360" w:lineRule="auto"/>
              <w:jc w:val="center"/>
              <w:rPr>
                <w:rFonts w:hint="eastAsia" w:ascii="宋体" w:hAnsi="宋体" w:eastAsia="宋体" w:cs="宋体"/>
                <w:b/>
                <w:bCs/>
                <w:color w:val="auto"/>
                <w:szCs w:val="24"/>
              </w:rPr>
            </w:pPr>
            <w:r>
              <w:rPr>
                <w:rFonts w:hint="eastAsia" w:ascii="宋体" w:hAnsi="宋体" w:eastAsia="宋体" w:cs="宋体"/>
                <w:b/>
                <w:bCs/>
                <w:color w:val="auto"/>
                <w:szCs w:val="24"/>
              </w:rPr>
              <w:t>审查标准</w:t>
            </w:r>
          </w:p>
        </w:tc>
      </w:tr>
      <w:tr w14:paraId="3D05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4" w:type="dxa"/>
            <w:vAlign w:val="center"/>
          </w:tcPr>
          <w:p w14:paraId="6DE4ED1A">
            <w:pPr>
              <w:jc w:val="center"/>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1</w:t>
            </w:r>
          </w:p>
          <w:p w14:paraId="56437A20">
            <w:pPr>
              <w:widowControl/>
              <w:spacing w:line="360" w:lineRule="auto"/>
              <w:jc w:val="center"/>
              <w:rPr>
                <w:rFonts w:hint="eastAsia" w:ascii="宋体" w:hAnsi="宋体" w:eastAsia="宋体" w:cs="宋体"/>
                <w:color w:val="auto"/>
                <w:szCs w:val="24"/>
                <w:lang w:eastAsia="zh-CN"/>
              </w:rPr>
            </w:pPr>
          </w:p>
        </w:tc>
        <w:tc>
          <w:tcPr>
            <w:tcW w:w="7018" w:type="dxa"/>
            <w:vAlign w:val="center"/>
          </w:tcPr>
          <w:p w14:paraId="2E959A81">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（1）投标人为具有独立承担民事责任能力的法人、事业法人、其他组织或自然人。企业法人应提供合法有效的标识有统一社会信用代码的营业执照；事业法人应提 供事业单位法人证书；其他组织应提供合法登记证明文件； 自然人应提供身份证；</w:t>
            </w:r>
          </w:p>
          <w:p w14:paraId="228C8AE1">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（2）参加政府采购活动前 3 年内经营活动中没有重大违法记录声明书；投标时限内“信用中国”(</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"https://www.creditchina.gov.cn"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color w:val="auto"/>
                <w:sz w:val="24"/>
                <w:szCs w:val="24"/>
                <w:lang w:val="en-US" w:eastAsia="zh-CN" w:bidi="ar-SA"/>
              </w:rPr>
              <w:t>www.creditchina.gov.cn</w:t>
            </w:r>
            <w:r>
              <w:rPr>
                <w:rFonts w:hint="eastAsia" w:ascii="宋体" w:hAnsi="宋体" w:eastAsia="宋体" w:cs="宋体"/>
                <w:color w:val="auto"/>
                <w:sz w:val="24"/>
                <w:szCs w:val="24"/>
                <w:lang w:val="en-US" w:eastAsia="zh-CN" w:bidi="ar-SA"/>
              </w:rPr>
              <w:fldChar w:fldCharType="end"/>
            </w:r>
            <w:r>
              <w:rPr>
                <w:rFonts w:hint="eastAsia" w:ascii="宋体" w:hAnsi="宋体" w:eastAsia="宋体" w:cs="宋体"/>
                <w:color w:val="auto"/>
                <w:sz w:val="24"/>
                <w:szCs w:val="24"/>
                <w:lang w:val="en-US" w:eastAsia="zh-CN" w:bidi="ar-SA"/>
              </w:rPr>
              <w:t>)网站生成的带水印信用报告，供应商不得为“信用中国”网站（</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"https://www.creditchina.gov.cn"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color w:val="auto"/>
                <w:sz w:val="24"/>
                <w:szCs w:val="24"/>
                <w:lang w:val="en-US" w:eastAsia="zh-CN" w:bidi="ar-SA"/>
              </w:rPr>
              <w:t>www.creditchina.gov.cn</w:t>
            </w:r>
            <w:r>
              <w:rPr>
                <w:rFonts w:hint="eastAsia" w:ascii="宋体" w:hAnsi="宋体" w:eastAsia="宋体" w:cs="宋体"/>
                <w:color w:val="auto"/>
                <w:sz w:val="24"/>
                <w:szCs w:val="24"/>
                <w:lang w:val="en-US" w:eastAsia="zh-CN" w:bidi="ar-SA"/>
              </w:rPr>
              <w:fldChar w:fldCharType="end"/>
            </w:r>
            <w:r>
              <w:rPr>
                <w:rFonts w:hint="eastAsia" w:ascii="宋体" w:hAnsi="宋体" w:eastAsia="宋体" w:cs="宋体"/>
                <w:color w:val="auto"/>
                <w:sz w:val="24"/>
                <w:szCs w:val="24"/>
                <w:lang w:val="en-US" w:eastAsia="zh-CN" w:bidi="ar-SA"/>
              </w:rPr>
              <w:t>）中列入重大税收违法失信主体、政府采购严重违法失信行为记录名单，不得为中国政府采购网（</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"https://www.ccgp.gov.cn"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color w:val="auto"/>
                <w:sz w:val="24"/>
                <w:szCs w:val="24"/>
                <w:lang w:val="en-US" w:eastAsia="zh-CN" w:bidi="ar-SA"/>
              </w:rPr>
              <w:t>www.ccgp.gov.cn</w:t>
            </w:r>
            <w:r>
              <w:rPr>
                <w:rFonts w:hint="eastAsia" w:ascii="宋体" w:hAnsi="宋体" w:eastAsia="宋体" w:cs="宋体"/>
                <w:color w:val="auto"/>
                <w:sz w:val="24"/>
                <w:szCs w:val="24"/>
                <w:lang w:val="en-US" w:eastAsia="zh-CN" w:bidi="ar-SA"/>
              </w:rPr>
              <w:fldChar w:fldCharType="end"/>
            </w:r>
            <w:r>
              <w:rPr>
                <w:rFonts w:hint="eastAsia" w:ascii="宋体" w:hAnsi="宋体" w:eastAsia="宋体" w:cs="宋体"/>
                <w:color w:val="auto"/>
                <w:sz w:val="24"/>
                <w:szCs w:val="24"/>
                <w:lang w:val="en-US" w:eastAsia="zh-CN" w:bidi="ar-SA"/>
              </w:rPr>
              <w:t>）政府采购严重违法失信行为记录名单中被财政部门禁止参加政府采购活动的供应商（提供查询结果网页截图并加盖供应商公章）；同时提供榆林市政府采购货物类项目供应商信用承诺书。</w:t>
            </w:r>
          </w:p>
          <w:p w14:paraId="248ED5E8">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财务状况报告：经会计事务所或审计机构出具的2025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795170D">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（4）税收缴纳证明：提供 2025 年 8 月至投标截止时间止任意一个月完税证明，完税证明上应有税务机关的公章（加盖公章复印件）；依法免税的供应商应提供相关文件证明；</w:t>
            </w:r>
          </w:p>
          <w:p w14:paraId="688F5F3E">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（5）社会保障资金缴纳证明：提供 2025 年 8 月至投标截止时间止任意一个月的社会保障资金缴存单据或社保机构开具的社会保险参保缴费情况证明；依法不需要缴纳社会保障资金的应提供相关文件证明；</w:t>
            </w:r>
          </w:p>
          <w:p w14:paraId="5E639679">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（6）提供具有履行合同所必需的设备和专业技术能力的证明资料或承诺书；</w:t>
            </w:r>
          </w:p>
          <w:p w14:paraId="25752057">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（7）本项目以“投标信用承诺书 ”代替投标保证金；</w:t>
            </w:r>
          </w:p>
          <w:p w14:paraId="53A0F873">
            <w:pPr>
              <w:spacing w:line="288"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（8）本项目</w:t>
            </w:r>
            <w:r>
              <w:rPr>
                <w:rFonts w:hint="eastAsia" w:hAnsi="宋体" w:cs="宋体"/>
                <w:color w:val="auto"/>
                <w:sz w:val="24"/>
                <w:szCs w:val="24"/>
                <w:lang w:val="en-US" w:eastAsia="zh-CN" w:bidi="ar-SA"/>
              </w:rPr>
              <w:t>不</w:t>
            </w:r>
            <w:r>
              <w:rPr>
                <w:rFonts w:hint="eastAsia" w:ascii="宋体" w:hAnsi="宋体" w:eastAsia="宋体" w:cs="宋体"/>
                <w:color w:val="auto"/>
                <w:sz w:val="24"/>
                <w:szCs w:val="24"/>
                <w:lang w:val="en-US" w:eastAsia="zh-CN" w:bidi="ar-SA"/>
              </w:rPr>
              <w:t>专门面向中小企业采购；</w:t>
            </w:r>
            <w:r>
              <w:rPr>
                <w:rFonts w:hint="eastAsia" w:ascii="宋体" w:hAnsi="宋体" w:eastAsia="宋体" w:cs="宋体"/>
                <w:color w:val="auto"/>
                <w:sz w:val="24"/>
                <w:szCs w:val="24"/>
                <w:lang w:val="en-US" w:eastAsia="zh-CN" w:bidi="ar-SA"/>
              </w:rPr>
              <w:br w:type="textWrapping"/>
            </w:r>
            <w:r>
              <w:rPr>
                <w:rFonts w:hint="eastAsia" w:ascii="宋体" w:hAnsi="宋体" w:eastAsia="宋体" w:cs="宋体"/>
                <w:color w:val="auto"/>
                <w:sz w:val="24"/>
                <w:szCs w:val="24"/>
                <w:lang w:val="en-US" w:eastAsia="zh-CN" w:bidi="ar-SA"/>
              </w:rPr>
              <w:t>（9）本项目不接受联合体投标，单位负责人为同一人或者存在直接控股、管理关系的不同供应商，不得参加同一合同项下的政府采购活动；</w:t>
            </w:r>
          </w:p>
        </w:tc>
        <w:tc>
          <w:tcPr>
            <w:tcW w:w="2077" w:type="dxa"/>
            <w:vAlign w:val="center"/>
          </w:tcPr>
          <w:p w14:paraId="17823F3A">
            <w:pPr>
              <w:pStyle w:val="40"/>
              <w:ind w:firstLine="480"/>
              <w:rPr>
                <w:rFonts w:hint="eastAsia" w:ascii="宋体" w:hAnsi="宋体" w:eastAsia="宋体" w:cs="宋体"/>
                <w:color w:val="auto"/>
                <w:szCs w:val="24"/>
              </w:rPr>
            </w:pPr>
          </w:p>
          <w:p w14:paraId="290B9ADF">
            <w:pPr>
              <w:pStyle w:val="40"/>
              <w:ind w:firstLine="480"/>
              <w:rPr>
                <w:rFonts w:hint="eastAsia" w:ascii="宋体" w:hAnsi="宋体" w:eastAsia="宋体" w:cs="宋体"/>
                <w:color w:val="auto"/>
                <w:szCs w:val="24"/>
              </w:rPr>
            </w:pPr>
          </w:p>
          <w:p w14:paraId="67B2B9C2">
            <w:pPr>
              <w:pStyle w:val="40"/>
              <w:ind w:firstLine="480"/>
              <w:rPr>
                <w:rFonts w:hint="eastAsia" w:ascii="宋体" w:hAnsi="宋体" w:eastAsia="宋体" w:cs="宋体"/>
                <w:color w:val="auto"/>
                <w:szCs w:val="24"/>
              </w:rPr>
            </w:pPr>
          </w:p>
          <w:p w14:paraId="2EB74E0F">
            <w:pPr>
              <w:pStyle w:val="40"/>
              <w:ind w:firstLine="0" w:firstLineChars="0"/>
              <w:jc w:val="center"/>
              <w:rPr>
                <w:rFonts w:hint="eastAsia" w:ascii="宋体" w:hAnsi="宋体" w:eastAsia="宋体" w:cs="宋体"/>
                <w:color w:val="auto"/>
                <w:szCs w:val="24"/>
              </w:rPr>
            </w:pPr>
            <w:r>
              <w:rPr>
                <w:rFonts w:hint="eastAsia" w:ascii="宋体" w:hAnsi="宋体" w:eastAsia="宋体" w:cs="宋体"/>
                <w:color w:val="auto"/>
                <w:szCs w:val="24"/>
              </w:rPr>
              <w:t>投标文件中所附加盖公章证明资料</w:t>
            </w:r>
          </w:p>
          <w:p w14:paraId="53A6C8B8">
            <w:pPr>
              <w:pStyle w:val="40"/>
              <w:ind w:firstLine="480"/>
              <w:rPr>
                <w:rFonts w:hint="eastAsia" w:ascii="宋体" w:hAnsi="宋体" w:eastAsia="宋体" w:cs="宋体"/>
                <w:color w:val="auto"/>
                <w:szCs w:val="24"/>
              </w:rPr>
            </w:pPr>
          </w:p>
          <w:p w14:paraId="7D48FADD">
            <w:pPr>
              <w:pStyle w:val="40"/>
              <w:ind w:firstLine="0" w:firstLineChars="0"/>
              <w:rPr>
                <w:rFonts w:hint="eastAsia" w:ascii="宋体" w:hAnsi="宋体" w:eastAsia="宋体" w:cs="宋体"/>
                <w:color w:val="auto"/>
                <w:szCs w:val="24"/>
              </w:rPr>
            </w:pPr>
          </w:p>
          <w:p w14:paraId="10388A2E">
            <w:pPr>
              <w:widowControl/>
              <w:spacing w:line="360" w:lineRule="auto"/>
              <w:jc w:val="left"/>
              <w:rPr>
                <w:rFonts w:hint="eastAsia" w:ascii="宋体" w:hAnsi="宋体" w:eastAsia="宋体" w:cs="宋体"/>
                <w:color w:val="auto"/>
                <w:szCs w:val="24"/>
              </w:rPr>
            </w:pPr>
          </w:p>
        </w:tc>
      </w:tr>
    </w:tbl>
    <w:p w14:paraId="040C00FE">
      <w:pPr>
        <w:pStyle w:val="21"/>
        <w:numPr>
          <w:ilvl w:val="0"/>
          <w:numId w:val="3"/>
        </w:numPr>
        <w:spacing w:line="500" w:lineRule="exact"/>
        <w:ind w:firstLine="0" w:firstLineChars="0"/>
        <w:outlineLvl w:val="1"/>
        <w:rPr>
          <w:rFonts w:hint="eastAsia" w:ascii="宋体" w:hAnsi="宋体" w:eastAsia="宋体" w:cs="宋体"/>
          <w:b/>
          <w:color w:val="auto"/>
          <w:sz w:val="28"/>
          <w:szCs w:val="28"/>
        </w:rPr>
      </w:pPr>
      <w:bookmarkStart w:id="158" w:name="_Toc48834298"/>
      <w:bookmarkStart w:id="159" w:name="_Toc48834171"/>
      <w:bookmarkStart w:id="160" w:name="_Toc48834460"/>
      <w:bookmarkStart w:id="161" w:name="_Toc15911"/>
      <w:bookmarkStart w:id="162" w:name="_Toc48834539"/>
      <w:bookmarkStart w:id="163" w:name="_Toc48834101"/>
      <w:r>
        <w:rPr>
          <w:rFonts w:hint="eastAsia" w:ascii="宋体" w:hAnsi="宋体" w:eastAsia="宋体" w:cs="宋体"/>
          <w:b/>
          <w:color w:val="auto"/>
          <w:sz w:val="28"/>
          <w:szCs w:val="28"/>
        </w:rPr>
        <w:t>符合性审查</w:t>
      </w:r>
      <w:bookmarkEnd w:id="158"/>
      <w:bookmarkEnd w:id="159"/>
      <w:bookmarkEnd w:id="160"/>
      <w:bookmarkEnd w:id="161"/>
      <w:bookmarkEnd w:id="162"/>
      <w:bookmarkEnd w:id="163"/>
    </w:p>
    <w:tbl>
      <w:tblPr>
        <w:tblStyle w:val="23"/>
        <w:tblW w:w="51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3119"/>
        <w:gridCol w:w="4975"/>
      </w:tblGrid>
      <w:tr w14:paraId="679B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6" w:type="pct"/>
            <w:tcBorders>
              <w:top w:val="single" w:color="auto" w:sz="4" w:space="0"/>
              <w:left w:val="single" w:color="auto" w:sz="4" w:space="0"/>
              <w:bottom w:val="single" w:color="auto" w:sz="4" w:space="0"/>
              <w:right w:val="single" w:color="auto" w:sz="4" w:space="0"/>
            </w:tcBorders>
            <w:shd w:val="clear" w:color="auto" w:fill="CFCECE" w:themeFill="background2" w:themeFillShade="E5"/>
            <w:vAlign w:val="center"/>
          </w:tcPr>
          <w:p w14:paraId="5952648A">
            <w:pPr>
              <w:adjustRightInd w:val="0"/>
              <w:snapToGrid w:val="0"/>
              <w:jc w:val="center"/>
              <w:rPr>
                <w:rFonts w:hint="eastAsia" w:ascii="宋体" w:hAnsi="宋体" w:eastAsia="宋体" w:cs="宋体"/>
                <w:b/>
                <w:bCs/>
                <w:color w:val="auto"/>
                <w:szCs w:val="24"/>
              </w:rPr>
            </w:pPr>
            <w:r>
              <w:rPr>
                <w:rFonts w:hint="eastAsia" w:ascii="宋体" w:hAnsi="宋体" w:eastAsia="宋体" w:cs="宋体"/>
                <w:b/>
                <w:bCs/>
                <w:color w:val="auto"/>
                <w:szCs w:val="24"/>
              </w:rPr>
              <w:t>序号</w:t>
            </w:r>
          </w:p>
        </w:tc>
        <w:tc>
          <w:tcPr>
            <w:tcW w:w="1774" w:type="pct"/>
            <w:tcBorders>
              <w:top w:val="single" w:color="auto" w:sz="4" w:space="0"/>
              <w:left w:val="single" w:color="auto" w:sz="4" w:space="0"/>
              <w:bottom w:val="single" w:color="auto" w:sz="4" w:space="0"/>
              <w:right w:val="single" w:color="auto" w:sz="4" w:space="0"/>
            </w:tcBorders>
            <w:shd w:val="clear" w:color="auto" w:fill="CFCECE" w:themeFill="background2" w:themeFillShade="E5"/>
            <w:vAlign w:val="center"/>
          </w:tcPr>
          <w:p w14:paraId="0ADE87A5">
            <w:pPr>
              <w:adjustRightInd w:val="0"/>
              <w:snapToGrid w:val="0"/>
              <w:jc w:val="center"/>
              <w:rPr>
                <w:rFonts w:hint="eastAsia" w:ascii="宋体" w:hAnsi="宋体" w:eastAsia="宋体" w:cs="宋体"/>
                <w:b/>
                <w:bCs/>
                <w:color w:val="auto"/>
                <w:szCs w:val="24"/>
              </w:rPr>
            </w:pPr>
            <w:r>
              <w:rPr>
                <w:rFonts w:hint="eastAsia" w:ascii="宋体" w:hAnsi="宋体" w:eastAsia="宋体" w:cs="宋体"/>
                <w:b/>
                <w:bCs/>
                <w:color w:val="auto"/>
                <w:szCs w:val="24"/>
              </w:rPr>
              <w:t>符合性审查项</w:t>
            </w:r>
          </w:p>
        </w:tc>
        <w:tc>
          <w:tcPr>
            <w:tcW w:w="2829" w:type="pct"/>
            <w:tcBorders>
              <w:top w:val="single" w:color="auto" w:sz="4" w:space="0"/>
              <w:left w:val="single" w:color="auto" w:sz="4" w:space="0"/>
              <w:bottom w:val="single" w:color="auto" w:sz="4" w:space="0"/>
              <w:right w:val="single" w:color="auto" w:sz="4" w:space="0"/>
            </w:tcBorders>
            <w:shd w:val="clear" w:color="auto" w:fill="CFCECE" w:themeFill="background2" w:themeFillShade="E5"/>
            <w:vAlign w:val="center"/>
          </w:tcPr>
          <w:p w14:paraId="145B7555">
            <w:pPr>
              <w:adjustRightInd w:val="0"/>
              <w:snapToGrid w:val="0"/>
              <w:jc w:val="center"/>
              <w:rPr>
                <w:rFonts w:hint="eastAsia" w:ascii="宋体" w:hAnsi="宋体" w:eastAsia="宋体" w:cs="宋体"/>
                <w:b/>
                <w:bCs/>
                <w:color w:val="auto"/>
                <w:szCs w:val="24"/>
              </w:rPr>
            </w:pPr>
            <w:r>
              <w:rPr>
                <w:rFonts w:hint="eastAsia" w:ascii="宋体" w:hAnsi="宋体" w:eastAsia="宋体" w:cs="宋体"/>
                <w:b/>
                <w:bCs/>
                <w:color w:val="auto"/>
                <w:szCs w:val="24"/>
              </w:rPr>
              <w:t>通过条件</w:t>
            </w:r>
          </w:p>
        </w:tc>
      </w:tr>
      <w:tr w14:paraId="08AF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27772E4D">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1</w:t>
            </w:r>
          </w:p>
        </w:tc>
        <w:tc>
          <w:tcPr>
            <w:tcW w:w="1774" w:type="pct"/>
            <w:tcBorders>
              <w:top w:val="single" w:color="auto" w:sz="4" w:space="0"/>
              <w:left w:val="single" w:color="auto" w:sz="4" w:space="0"/>
              <w:bottom w:val="single" w:color="auto" w:sz="4" w:space="0"/>
              <w:right w:val="single" w:color="auto" w:sz="4" w:space="0"/>
            </w:tcBorders>
            <w:vAlign w:val="center"/>
          </w:tcPr>
          <w:p w14:paraId="71A814C2">
            <w:pPr>
              <w:spacing w:line="288" w:lineRule="auto"/>
              <w:rPr>
                <w:rFonts w:hint="eastAsia" w:ascii="宋体" w:hAnsi="宋体" w:eastAsia="宋体" w:cs="宋体"/>
                <w:color w:val="auto"/>
                <w:szCs w:val="24"/>
              </w:rPr>
            </w:pPr>
            <w:r>
              <w:rPr>
                <w:rFonts w:hint="eastAsia" w:ascii="宋体" w:hAnsi="宋体" w:eastAsia="宋体" w:cs="宋体"/>
                <w:color w:val="auto"/>
                <w:szCs w:val="24"/>
              </w:rPr>
              <w:t>电子投标文件签字盖章要求</w:t>
            </w:r>
          </w:p>
        </w:tc>
        <w:tc>
          <w:tcPr>
            <w:tcW w:w="2829" w:type="pct"/>
            <w:tcBorders>
              <w:top w:val="single" w:color="auto" w:sz="4" w:space="0"/>
              <w:left w:val="single" w:color="auto" w:sz="4" w:space="0"/>
              <w:bottom w:val="single" w:color="auto" w:sz="4" w:space="0"/>
              <w:right w:val="single" w:color="auto" w:sz="4" w:space="0"/>
            </w:tcBorders>
            <w:vAlign w:val="center"/>
          </w:tcPr>
          <w:p w14:paraId="0F0C3CEC">
            <w:pPr>
              <w:spacing w:line="288" w:lineRule="auto"/>
              <w:rPr>
                <w:rFonts w:hint="eastAsia" w:ascii="宋体" w:hAnsi="宋体" w:eastAsia="宋体" w:cs="宋体"/>
                <w:color w:val="auto"/>
                <w:szCs w:val="24"/>
              </w:rPr>
            </w:pPr>
            <w:r>
              <w:rPr>
                <w:rFonts w:hint="eastAsia" w:ascii="宋体" w:hAnsi="宋体" w:eastAsia="宋体" w:cs="宋体"/>
                <w:color w:val="auto"/>
                <w:szCs w:val="24"/>
              </w:rPr>
              <w:t>均符合招标文件要求。</w:t>
            </w:r>
          </w:p>
        </w:tc>
      </w:tr>
      <w:tr w14:paraId="0AF85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6171FC9E">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2</w:t>
            </w:r>
          </w:p>
        </w:tc>
        <w:tc>
          <w:tcPr>
            <w:tcW w:w="1774" w:type="pct"/>
            <w:tcBorders>
              <w:top w:val="single" w:color="auto" w:sz="4" w:space="0"/>
              <w:left w:val="single" w:color="auto" w:sz="4" w:space="0"/>
              <w:bottom w:val="single" w:color="auto" w:sz="4" w:space="0"/>
              <w:right w:val="single" w:color="auto" w:sz="4" w:space="0"/>
            </w:tcBorders>
            <w:vAlign w:val="center"/>
          </w:tcPr>
          <w:p w14:paraId="1462457E">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投标文件项目名称、项目编号、标段（未分标段的除外）</w:t>
            </w:r>
          </w:p>
        </w:tc>
        <w:tc>
          <w:tcPr>
            <w:tcW w:w="2829" w:type="pct"/>
            <w:tcBorders>
              <w:top w:val="single" w:color="auto" w:sz="4" w:space="0"/>
              <w:left w:val="single" w:color="auto" w:sz="4" w:space="0"/>
              <w:bottom w:val="single" w:color="auto" w:sz="4" w:space="0"/>
              <w:right w:val="single" w:color="auto" w:sz="4" w:space="0"/>
            </w:tcBorders>
            <w:vAlign w:val="center"/>
          </w:tcPr>
          <w:p w14:paraId="2B4689DA">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投标文件中（含封皮）的项目名称、项目编号、标段与本项目完全一致，且无遗漏。</w:t>
            </w:r>
          </w:p>
        </w:tc>
      </w:tr>
      <w:tr w14:paraId="1F0D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3"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7EA79A99">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3</w:t>
            </w:r>
          </w:p>
        </w:tc>
        <w:tc>
          <w:tcPr>
            <w:tcW w:w="1774" w:type="pct"/>
            <w:tcBorders>
              <w:top w:val="single" w:color="auto" w:sz="4" w:space="0"/>
              <w:left w:val="single" w:color="auto" w:sz="4" w:space="0"/>
              <w:bottom w:val="single" w:color="auto" w:sz="4" w:space="0"/>
              <w:right w:val="single" w:color="auto" w:sz="4" w:space="0"/>
            </w:tcBorders>
            <w:vAlign w:val="center"/>
          </w:tcPr>
          <w:p w14:paraId="58814747">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投标文件组成</w:t>
            </w:r>
          </w:p>
        </w:tc>
        <w:tc>
          <w:tcPr>
            <w:tcW w:w="2829" w:type="pct"/>
            <w:tcBorders>
              <w:top w:val="single" w:color="auto" w:sz="4" w:space="0"/>
              <w:left w:val="single" w:color="auto" w:sz="4" w:space="0"/>
              <w:bottom w:val="single" w:color="auto" w:sz="4" w:space="0"/>
              <w:right w:val="single" w:color="auto" w:sz="4" w:space="0"/>
            </w:tcBorders>
            <w:vAlign w:val="center"/>
          </w:tcPr>
          <w:p w14:paraId="09464695">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投标文件应包含以下内容：</w:t>
            </w:r>
          </w:p>
          <w:p w14:paraId="16E602EA">
            <w:pPr>
              <w:spacing w:line="288" w:lineRule="auto"/>
              <w:rPr>
                <w:rFonts w:hint="eastAsia" w:ascii="宋体" w:hAnsi="宋体" w:eastAsia="宋体" w:cs="宋体"/>
                <w:color w:val="auto"/>
                <w:szCs w:val="24"/>
              </w:rPr>
            </w:pPr>
            <w:r>
              <w:rPr>
                <w:rFonts w:hint="eastAsia" w:ascii="宋体" w:hAnsi="宋体" w:eastAsia="宋体" w:cs="宋体"/>
                <w:color w:val="auto"/>
                <w:szCs w:val="24"/>
              </w:rPr>
              <w:t>（1）投标函；</w:t>
            </w:r>
          </w:p>
          <w:p w14:paraId="00D79922">
            <w:pPr>
              <w:spacing w:line="288" w:lineRule="auto"/>
              <w:rPr>
                <w:rFonts w:hint="eastAsia" w:ascii="宋体" w:hAnsi="宋体" w:eastAsia="宋体" w:cs="宋体"/>
                <w:color w:val="auto"/>
                <w:szCs w:val="24"/>
              </w:rPr>
            </w:pPr>
            <w:r>
              <w:rPr>
                <w:rFonts w:hint="eastAsia" w:ascii="宋体" w:hAnsi="宋体" w:eastAsia="宋体" w:cs="宋体"/>
                <w:color w:val="auto"/>
                <w:szCs w:val="24"/>
              </w:rPr>
              <w:t>（2）开标一览表、分项报价表《投标文件构成及格式》未作要求的除外）；</w:t>
            </w:r>
          </w:p>
          <w:p w14:paraId="139E3AC0">
            <w:pPr>
              <w:spacing w:line="288" w:lineRule="auto"/>
              <w:rPr>
                <w:rFonts w:hint="eastAsia" w:ascii="宋体" w:hAnsi="宋体" w:eastAsia="宋体" w:cs="宋体"/>
                <w:color w:val="auto"/>
                <w:szCs w:val="24"/>
              </w:rPr>
            </w:pPr>
            <w:r>
              <w:rPr>
                <w:rFonts w:hint="eastAsia" w:ascii="宋体" w:hAnsi="宋体" w:eastAsia="宋体" w:cs="宋体"/>
                <w:color w:val="auto"/>
                <w:szCs w:val="24"/>
              </w:rPr>
              <w:t>（3）资格证明文件；</w:t>
            </w:r>
          </w:p>
          <w:p w14:paraId="219C9A72">
            <w:pPr>
              <w:spacing w:line="288" w:lineRule="auto"/>
              <w:rPr>
                <w:rFonts w:hint="eastAsia" w:ascii="宋体" w:hAnsi="宋体" w:eastAsia="宋体" w:cs="宋体"/>
                <w:color w:val="auto"/>
                <w:szCs w:val="24"/>
              </w:rPr>
            </w:pPr>
            <w:r>
              <w:rPr>
                <w:rFonts w:hint="eastAsia" w:ascii="宋体" w:hAnsi="宋体" w:eastAsia="宋体" w:cs="宋体"/>
                <w:color w:val="auto"/>
                <w:szCs w:val="24"/>
              </w:rPr>
              <w:t>（4）投标人基本信息及其概况；</w:t>
            </w:r>
          </w:p>
          <w:p w14:paraId="03FD5595">
            <w:pPr>
              <w:spacing w:line="288" w:lineRule="auto"/>
              <w:rPr>
                <w:rFonts w:hint="eastAsia" w:ascii="宋体" w:hAnsi="宋体" w:eastAsia="宋体" w:cs="宋体"/>
                <w:color w:val="auto"/>
                <w:szCs w:val="24"/>
              </w:rPr>
            </w:pPr>
            <w:r>
              <w:rPr>
                <w:rFonts w:hint="eastAsia" w:ascii="宋体" w:hAnsi="宋体" w:eastAsia="宋体" w:cs="宋体"/>
                <w:color w:val="auto"/>
                <w:szCs w:val="24"/>
              </w:rPr>
              <w:t>（5）投标人参加政府采购活动承诺书；</w:t>
            </w:r>
          </w:p>
          <w:p w14:paraId="4E1B86DD">
            <w:pPr>
              <w:spacing w:line="288" w:lineRule="auto"/>
              <w:rPr>
                <w:rFonts w:hint="eastAsia" w:ascii="宋体" w:hAnsi="宋体" w:eastAsia="宋体" w:cs="宋体"/>
                <w:color w:val="auto"/>
                <w:szCs w:val="24"/>
              </w:rPr>
            </w:pPr>
            <w:r>
              <w:rPr>
                <w:rFonts w:hint="eastAsia" w:ascii="宋体" w:hAnsi="宋体" w:eastAsia="宋体" w:cs="宋体"/>
                <w:color w:val="auto"/>
                <w:szCs w:val="24"/>
              </w:rPr>
              <w:t>（6）投标响应方案。</w:t>
            </w:r>
          </w:p>
        </w:tc>
      </w:tr>
      <w:tr w14:paraId="3A55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320D8A62">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4</w:t>
            </w:r>
          </w:p>
        </w:tc>
        <w:tc>
          <w:tcPr>
            <w:tcW w:w="1774" w:type="pct"/>
            <w:tcBorders>
              <w:top w:val="single" w:color="auto" w:sz="4" w:space="0"/>
              <w:left w:val="single" w:color="auto" w:sz="4" w:space="0"/>
              <w:bottom w:val="single" w:color="auto" w:sz="4" w:space="0"/>
              <w:right w:val="single" w:color="auto" w:sz="4" w:space="0"/>
            </w:tcBorders>
            <w:vAlign w:val="center"/>
          </w:tcPr>
          <w:p w14:paraId="12B93C41">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投标文件的签署、盖章</w:t>
            </w:r>
          </w:p>
        </w:tc>
        <w:tc>
          <w:tcPr>
            <w:tcW w:w="2829" w:type="pct"/>
            <w:tcBorders>
              <w:top w:val="single" w:color="auto" w:sz="4" w:space="0"/>
              <w:left w:val="single" w:color="auto" w:sz="4" w:space="0"/>
              <w:bottom w:val="single" w:color="auto" w:sz="4" w:space="0"/>
              <w:right w:val="single" w:color="auto" w:sz="4" w:space="0"/>
            </w:tcBorders>
            <w:vAlign w:val="center"/>
          </w:tcPr>
          <w:p w14:paraId="74420253">
            <w:pPr>
              <w:spacing w:line="288" w:lineRule="auto"/>
              <w:rPr>
                <w:rFonts w:hint="eastAsia" w:ascii="宋体" w:hAnsi="宋体" w:eastAsia="宋体" w:cs="宋体"/>
                <w:color w:val="auto"/>
                <w:szCs w:val="24"/>
              </w:rPr>
            </w:pPr>
            <w:r>
              <w:rPr>
                <w:rFonts w:hint="eastAsia" w:ascii="宋体" w:hAnsi="宋体" w:eastAsia="宋体" w:cs="宋体"/>
                <w:color w:val="auto"/>
                <w:szCs w:val="24"/>
              </w:rPr>
              <w:t>签署、盖章均符合招标文件要求，且无遗漏。</w:t>
            </w:r>
          </w:p>
        </w:tc>
      </w:tr>
      <w:tr w14:paraId="2AE7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7B97383C">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5</w:t>
            </w:r>
          </w:p>
        </w:tc>
        <w:tc>
          <w:tcPr>
            <w:tcW w:w="1774" w:type="pct"/>
            <w:tcBorders>
              <w:top w:val="single" w:color="auto" w:sz="4" w:space="0"/>
              <w:left w:val="single" w:color="auto" w:sz="4" w:space="0"/>
              <w:bottom w:val="single" w:color="auto" w:sz="4" w:space="0"/>
              <w:right w:val="single" w:color="auto" w:sz="4" w:space="0"/>
            </w:tcBorders>
            <w:vAlign w:val="center"/>
          </w:tcPr>
          <w:p w14:paraId="0FB02FE2">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投标文件的语言及计量单位</w:t>
            </w:r>
          </w:p>
        </w:tc>
        <w:tc>
          <w:tcPr>
            <w:tcW w:w="2829" w:type="pct"/>
            <w:tcBorders>
              <w:top w:val="single" w:color="auto" w:sz="4" w:space="0"/>
              <w:left w:val="single" w:color="auto" w:sz="4" w:space="0"/>
              <w:bottom w:val="single" w:color="auto" w:sz="4" w:space="0"/>
              <w:right w:val="single" w:color="auto" w:sz="4" w:space="0"/>
            </w:tcBorders>
            <w:vAlign w:val="center"/>
          </w:tcPr>
          <w:p w14:paraId="70DB6AE6">
            <w:pPr>
              <w:spacing w:line="288" w:lineRule="auto"/>
              <w:rPr>
                <w:rFonts w:hint="eastAsia" w:ascii="宋体" w:hAnsi="宋体" w:eastAsia="宋体" w:cs="宋体"/>
                <w:color w:val="auto"/>
                <w:szCs w:val="24"/>
              </w:rPr>
            </w:pPr>
            <w:r>
              <w:rPr>
                <w:rFonts w:hint="eastAsia" w:ascii="宋体" w:hAnsi="宋体" w:eastAsia="宋体" w:cs="宋体"/>
                <w:color w:val="auto"/>
                <w:szCs w:val="24"/>
              </w:rPr>
              <w:t>均符合招标文件要求。</w:t>
            </w:r>
          </w:p>
        </w:tc>
      </w:tr>
      <w:tr w14:paraId="175F1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15432749">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6</w:t>
            </w:r>
          </w:p>
        </w:tc>
        <w:tc>
          <w:tcPr>
            <w:tcW w:w="1774" w:type="pct"/>
            <w:tcBorders>
              <w:top w:val="single" w:color="auto" w:sz="4" w:space="0"/>
              <w:left w:val="single" w:color="auto" w:sz="4" w:space="0"/>
              <w:bottom w:val="single" w:color="auto" w:sz="4" w:space="0"/>
              <w:right w:val="single" w:color="auto" w:sz="4" w:space="0"/>
            </w:tcBorders>
            <w:vAlign w:val="center"/>
          </w:tcPr>
          <w:p w14:paraId="2D2D2378">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投标有效期</w:t>
            </w:r>
          </w:p>
        </w:tc>
        <w:tc>
          <w:tcPr>
            <w:tcW w:w="2829" w:type="pct"/>
            <w:tcBorders>
              <w:top w:val="single" w:color="auto" w:sz="4" w:space="0"/>
              <w:left w:val="single" w:color="auto" w:sz="4" w:space="0"/>
              <w:bottom w:val="single" w:color="auto" w:sz="4" w:space="0"/>
              <w:right w:val="single" w:color="auto" w:sz="4" w:space="0"/>
            </w:tcBorders>
            <w:vAlign w:val="center"/>
          </w:tcPr>
          <w:p w14:paraId="38F2EA0B">
            <w:pPr>
              <w:spacing w:line="288" w:lineRule="auto"/>
              <w:rPr>
                <w:rFonts w:hint="eastAsia" w:ascii="宋体" w:hAnsi="宋体" w:eastAsia="宋体" w:cs="宋体"/>
                <w:color w:val="auto"/>
                <w:szCs w:val="24"/>
              </w:rPr>
            </w:pPr>
            <w:r>
              <w:rPr>
                <w:rFonts w:hint="eastAsia" w:ascii="宋体" w:hAnsi="宋体" w:eastAsia="宋体" w:cs="宋体"/>
                <w:color w:val="auto"/>
                <w:szCs w:val="24"/>
              </w:rPr>
              <w:t>符合招标文件的要求。</w:t>
            </w:r>
          </w:p>
        </w:tc>
      </w:tr>
      <w:tr w14:paraId="5995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45AB9B89">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7</w:t>
            </w:r>
          </w:p>
        </w:tc>
        <w:tc>
          <w:tcPr>
            <w:tcW w:w="1774" w:type="pct"/>
            <w:tcBorders>
              <w:top w:val="single" w:color="auto" w:sz="4" w:space="0"/>
              <w:left w:val="single" w:color="auto" w:sz="4" w:space="0"/>
              <w:bottom w:val="single" w:color="auto" w:sz="4" w:space="0"/>
              <w:right w:val="single" w:color="auto" w:sz="4" w:space="0"/>
            </w:tcBorders>
            <w:vAlign w:val="center"/>
          </w:tcPr>
          <w:p w14:paraId="4A832681">
            <w:pPr>
              <w:spacing w:line="288" w:lineRule="auto"/>
              <w:rPr>
                <w:rFonts w:hint="eastAsia" w:ascii="宋体" w:hAnsi="宋体" w:eastAsia="宋体" w:cs="宋体"/>
                <w:color w:val="auto"/>
                <w:szCs w:val="24"/>
              </w:rPr>
            </w:pPr>
            <w:r>
              <w:rPr>
                <w:rFonts w:hint="eastAsia" w:ascii="宋体" w:hAnsi="宋体" w:eastAsia="宋体" w:cs="宋体"/>
                <w:color w:val="auto"/>
                <w:szCs w:val="24"/>
              </w:rPr>
              <w:t>投标报价</w:t>
            </w:r>
          </w:p>
        </w:tc>
        <w:tc>
          <w:tcPr>
            <w:tcW w:w="2829" w:type="pct"/>
            <w:tcBorders>
              <w:top w:val="single" w:color="auto" w:sz="4" w:space="0"/>
              <w:left w:val="single" w:color="auto" w:sz="4" w:space="0"/>
              <w:bottom w:val="single" w:color="auto" w:sz="4" w:space="0"/>
              <w:right w:val="single" w:color="auto" w:sz="4" w:space="0"/>
            </w:tcBorders>
            <w:vAlign w:val="center"/>
          </w:tcPr>
          <w:p w14:paraId="2273C00C">
            <w:pPr>
              <w:spacing w:line="288" w:lineRule="auto"/>
              <w:rPr>
                <w:rFonts w:hint="eastAsia" w:ascii="宋体" w:hAnsi="宋体" w:eastAsia="宋体" w:cs="宋体"/>
                <w:color w:val="auto"/>
                <w:szCs w:val="24"/>
              </w:rPr>
            </w:pPr>
            <w:r>
              <w:rPr>
                <w:rFonts w:hint="eastAsia" w:ascii="宋体" w:hAnsi="宋体" w:eastAsia="宋体" w:cs="宋体"/>
                <w:color w:val="auto"/>
                <w:szCs w:val="24"/>
              </w:rPr>
              <w:t>同时满足以下条款：</w:t>
            </w:r>
          </w:p>
          <w:p w14:paraId="1334A79D">
            <w:pPr>
              <w:spacing w:line="288" w:lineRule="auto"/>
              <w:rPr>
                <w:rFonts w:hint="eastAsia" w:ascii="宋体" w:hAnsi="宋体" w:eastAsia="宋体" w:cs="宋体"/>
                <w:color w:val="auto"/>
                <w:szCs w:val="24"/>
              </w:rPr>
            </w:pPr>
            <w:r>
              <w:rPr>
                <w:rFonts w:hint="eastAsia" w:ascii="宋体" w:hAnsi="宋体" w:eastAsia="宋体" w:cs="宋体"/>
                <w:color w:val="auto"/>
                <w:szCs w:val="24"/>
              </w:rPr>
              <w:t>（1）投标报价符合唯一性要求；</w:t>
            </w:r>
          </w:p>
          <w:p w14:paraId="7D0D3A7C">
            <w:pPr>
              <w:spacing w:line="288" w:lineRule="auto"/>
              <w:rPr>
                <w:rFonts w:hint="eastAsia" w:ascii="宋体" w:hAnsi="宋体" w:eastAsia="宋体" w:cs="宋体"/>
                <w:color w:val="auto"/>
                <w:szCs w:val="24"/>
              </w:rPr>
            </w:pPr>
            <w:r>
              <w:rPr>
                <w:rFonts w:hint="eastAsia" w:ascii="宋体" w:hAnsi="宋体" w:eastAsia="宋体" w:cs="宋体"/>
                <w:color w:val="auto"/>
                <w:szCs w:val="24"/>
              </w:rPr>
              <w:t>（2）开标一览表填写符合要求；</w:t>
            </w:r>
          </w:p>
          <w:p w14:paraId="6205DAF8">
            <w:pPr>
              <w:spacing w:line="288" w:lineRule="auto"/>
              <w:rPr>
                <w:rFonts w:hint="eastAsia" w:ascii="宋体" w:hAnsi="宋体" w:eastAsia="宋体" w:cs="宋体"/>
                <w:color w:val="auto"/>
                <w:szCs w:val="24"/>
              </w:rPr>
            </w:pPr>
            <w:r>
              <w:rPr>
                <w:rFonts w:hint="eastAsia" w:ascii="宋体" w:hAnsi="宋体" w:eastAsia="宋体" w:cs="宋体"/>
                <w:color w:val="auto"/>
                <w:szCs w:val="24"/>
              </w:rPr>
              <w:t>（3）报价货币符合招标文件要求；</w:t>
            </w:r>
          </w:p>
          <w:p w14:paraId="406725F9">
            <w:pPr>
              <w:spacing w:line="288" w:lineRule="auto"/>
              <w:rPr>
                <w:rFonts w:hint="eastAsia" w:ascii="宋体" w:hAnsi="宋体" w:eastAsia="宋体" w:cs="宋体"/>
                <w:color w:val="auto"/>
                <w:szCs w:val="24"/>
              </w:rPr>
            </w:pPr>
            <w:r>
              <w:rPr>
                <w:rFonts w:hint="eastAsia" w:ascii="宋体" w:hAnsi="宋体" w:eastAsia="宋体" w:cs="宋体"/>
                <w:color w:val="auto"/>
                <w:szCs w:val="24"/>
              </w:rPr>
              <w:t>（4）未超出采购预算或招标文件规定的最高限价。</w:t>
            </w:r>
          </w:p>
        </w:tc>
      </w:tr>
      <w:tr w14:paraId="7B68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64C0E4FD">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8</w:t>
            </w:r>
          </w:p>
        </w:tc>
        <w:tc>
          <w:tcPr>
            <w:tcW w:w="1774" w:type="pct"/>
            <w:tcBorders>
              <w:top w:val="single" w:color="auto" w:sz="4" w:space="0"/>
              <w:left w:val="single" w:color="auto" w:sz="4" w:space="0"/>
              <w:bottom w:val="single" w:color="auto" w:sz="4" w:space="0"/>
              <w:right w:val="single" w:color="auto" w:sz="4" w:space="0"/>
            </w:tcBorders>
            <w:vAlign w:val="center"/>
          </w:tcPr>
          <w:p w14:paraId="446B15DB">
            <w:pPr>
              <w:spacing w:line="288" w:lineRule="auto"/>
              <w:rPr>
                <w:rFonts w:hint="eastAsia" w:ascii="宋体" w:hAnsi="宋体" w:eastAsia="宋体" w:cs="宋体"/>
                <w:color w:val="auto"/>
                <w:szCs w:val="24"/>
              </w:rPr>
            </w:pPr>
            <w:r>
              <w:rPr>
                <w:rFonts w:hint="eastAsia" w:ascii="宋体" w:hAnsi="宋体" w:eastAsia="宋体" w:cs="宋体"/>
                <w:color w:val="auto"/>
                <w:szCs w:val="24"/>
              </w:rPr>
              <w:t>实质性条款响应</w:t>
            </w:r>
          </w:p>
        </w:tc>
        <w:tc>
          <w:tcPr>
            <w:tcW w:w="2829" w:type="pct"/>
            <w:tcBorders>
              <w:top w:val="single" w:color="auto" w:sz="4" w:space="0"/>
              <w:left w:val="single" w:color="auto" w:sz="4" w:space="0"/>
              <w:bottom w:val="single" w:color="auto" w:sz="4" w:space="0"/>
              <w:right w:val="single" w:color="auto" w:sz="4" w:space="0"/>
            </w:tcBorders>
            <w:vAlign w:val="center"/>
          </w:tcPr>
          <w:p w14:paraId="66B8AC44">
            <w:pPr>
              <w:spacing w:line="288" w:lineRule="auto"/>
              <w:rPr>
                <w:rFonts w:hint="eastAsia" w:ascii="宋体" w:hAnsi="宋体" w:eastAsia="宋体" w:cs="宋体"/>
                <w:color w:val="auto"/>
                <w:szCs w:val="24"/>
              </w:rPr>
            </w:pPr>
            <w:r>
              <w:rPr>
                <w:rFonts w:hint="eastAsia" w:ascii="宋体" w:hAnsi="宋体" w:eastAsia="宋体" w:cs="宋体"/>
                <w:color w:val="auto"/>
                <w:szCs w:val="24"/>
              </w:rPr>
              <w:t>完全响应招标文件要求的各项技术/服务/商务实质性条款。</w:t>
            </w:r>
          </w:p>
        </w:tc>
      </w:tr>
      <w:tr w14:paraId="7CDC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46E8AB53">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9</w:t>
            </w:r>
          </w:p>
        </w:tc>
        <w:tc>
          <w:tcPr>
            <w:tcW w:w="1774" w:type="pct"/>
            <w:tcBorders>
              <w:top w:val="single" w:color="auto" w:sz="4" w:space="0"/>
              <w:left w:val="single" w:color="auto" w:sz="4" w:space="0"/>
              <w:bottom w:val="single" w:color="auto" w:sz="4" w:space="0"/>
              <w:right w:val="single" w:color="auto" w:sz="4" w:space="0"/>
            </w:tcBorders>
            <w:vAlign w:val="center"/>
          </w:tcPr>
          <w:p w14:paraId="284D7EF5">
            <w:pPr>
              <w:spacing w:line="288" w:lineRule="auto"/>
              <w:rPr>
                <w:rFonts w:hint="eastAsia" w:ascii="宋体" w:hAnsi="宋体" w:eastAsia="宋体" w:cs="宋体"/>
                <w:color w:val="auto"/>
                <w:szCs w:val="24"/>
              </w:rPr>
            </w:pPr>
            <w:r>
              <w:rPr>
                <w:rFonts w:hint="eastAsia" w:ascii="宋体" w:hAnsi="宋体" w:eastAsia="宋体" w:cs="宋体"/>
                <w:color w:val="auto"/>
                <w:szCs w:val="24"/>
              </w:rPr>
              <w:t>合同文本</w:t>
            </w:r>
          </w:p>
        </w:tc>
        <w:tc>
          <w:tcPr>
            <w:tcW w:w="2829" w:type="pct"/>
            <w:tcBorders>
              <w:top w:val="single" w:color="auto" w:sz="4" w:space="0"/>
              <w:left w:val="single" w:color="auto" w:sz="4" w:space="0"/>
              <w:bottom w:val="single" w:color="auto" w:sz="4" w:space="0"/>
              <w:right w:val="single" w:color="auto" w:sz="4" w:space="0"/>
            </w:tcBorders>
            <w:vAlign w:val="center"/>
          </w:tcPr>
          <w:p w14:paraId="7EE55C61">
            <w:pPr>
              <w:spacing w:line="288" w:lineRule="auto"/>
              <w:rPr>
                <w:rFonts w:hint="eastAsia" w:ascii="宋体" w:hAnsi="宋体" w:eastAsia="宋体" w:cs="宋体"/>
                <w:color w:val="auto"/>
                <w:szCs w:val="24"/>
              </w:rPr>
            </w:pPr>
            <w:r>
              <w:rPr>
                <w:rFonts w:hint="eastAsia" w:ascii="宋体" w:hAnsi="宋体" w:eastAsia="宋体" w:cs="宋体"/>
                <w:color w:val="auto"/>
                <w:szCs w:val="24"/>
              </w:rPr>
              <w:t>完全理解并接受招标文件合同基本条款及格式的要求。</w:t>
            </w:r>
          </w:p>
        </w:tc>
      </w:tr>
      <w:tr w14:paraId="3871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052FECB7">
            <w:pPr>
              <w:spacing w:line="288" w:lineRule="auto"/>
              <w:jc w:val="center"/>
              <w:rPr>
                <w:rFonts w:hint="eastAsia" w:ascii="宋体" w:hAnsi="宋体" w:eastAsia="宋体" w:cs="宋体"/>
                <w:color w:val="auto"/>
                <w:szCs w:val="24"/>
              </w:rPr>
            </w:pPr>
            <w:r>
              <w:rPr>
                <w:rFonts w:hint="eastAsia" w:ascii="宋体" w:hAnsi="宋体" w:eastAsia="宋体" w:cs="宋体"/>
                <w:color w:val="auto"/>
                <w:szCs w:val="24"/>
              </w:rPr>
              <w:t>10</w:t>
            </w:r>
          </w:p>
        </w:tc>
        <w:tc>
          <w:tcPr>
            <w:tcW w:w="1774" w:type="pct"/>
            <w:tcBorders>
              <w:top w:val="single" w:color="auto" w:sz="4" w:space="0"/>
              <w:left w:val="single" w:color="auto" w:sz="4" w:space="0"/>
              <w:bottom w:val="single" w:color="auto" w:sz="4" w:space="0"/>
              <w:right w:val="single" w:color="auto" w:sz="4" w:space="0"/>
            </w:tcBorders>
            <w:vAlign w:val="center"/>
          </w:tcPr>
          <w:p w14:paraId="5A6288E4">
            <w:pPr>
              <w:spacing w:line="288" w:lineRule="auto"/>
              <w:rPr>
                <w:rFonts w:hint="eastAsia" w:ascii="宋体" w:hAnsi="宋体" w:eastAsia="宋体" w:cs="宋体"/>
                <w:color w:val="auto"/>
                <w:szCs w:val="24"/>
              </w:rPr>
            </w:pPr>
            <w:r>
              <w:rPr>
                <w:rFonts w:hint="eastAsia" w:ascii="宋体" w:hAnsi="宋体" w:eastAsia="宋体" w:cs="宋体"/>
                <w:color w:val="auto"/>
                <w:szCs w:val="24"/>
              </w:rPr>
              <w:t>其他</w:t>
            </w:r>
          </w:p>
        </w:tc>
        <w:tc>
          <w:tcPr>
            <w:tcW w:w="2829" w:type="pct"/>
            <w:tcBorders>
              <w:top w:val="single" w:color="auto" w:sz="4" w:space="0"/>
              <w:left w:val="single" w:color="auto" w:sz="4" w:space="0"/>
              <w:bottom w:val="single" w:color="auto" w:sz="4" w:space="0"/>
              <w:right w:val="single" w:color="auto" w:sz="4" w:space="0"/>
            </w:tcBorders>
            <w:vAlign w:val="center"/>
          </w:tcPr>
          <w:p w14:paraId="28A21E2B">
            <w:pPr>
              <w:spacing w:line="288" w:lineRule="auto"/>
              <w:rPr>
                <w:rFonts w:hint="eastAsia" w:ascii="宋体" w:hAnsi="宋体" w:eastAsia="宋体" w:cs="宋体"/>
                <w:color w:val="auto"/>
                <w:szCs w:val="24"/>
              </w:rPr>
            </w:pPr>
            <w:r>
              <w:rPr>
                <w:rFonts w:hint="eastAsia" w:ascii="宋体" w:hAnsi="宋体" w:eastAsia="宋体" w:cs="宋体"/>
                <w:color w:val="auto"/>
                <w:szCs w:val="24"/>
              </w:rPr>
              <w:t>完全理解并接受法律法规和招标文件对投标人的各项须知、规约要求和责任义务，没有出现法律法规或招标文件明确规定的其他被视为“无效投标”的情形。</w:t>
            </w:r>
          </w:p>
        </w:tc>
      </w:tr>
    </w:tbl>
    <w:p w14:paraId="038A12BA">
      <w:pPr>
        <w:spacing w:line="288" w:lineRule="auto"/>
        <w:outlineLvl w:val="1"/>
        <w:rPr>
          <w:rFonts w:hint="eastAsia" w:ascii="宋体" w:hAnsi="宋体" w:eastAsia="宋体" w:cs="宋体"/>
          <w:b/>
          <w:bCs/>
          <w:color w:val="auto"/>
          <w:sz w:val="28"/>
          <w:szCs w:val="28"/>
        </w:rPr>
      </w:pPr>
      <w:bookmarkStart w:id="164" w:name="_Toc3258"/>
    </w:p>
    <w:p w14:paraId="7640A8DF">
      <w:pPr>
        <w:spacing w:line="288" w:lineRule="auto"/>
        <w:outlineLvl w:val="1"/>
        <w:rPr>
          <w:rFonts w:hint="eastAsia" w:ascii="宋体" w:hAnsi="宋体" w:eastAsia="宋体" w:cs="宋体"/>
          <w:b/>
          <w:bCs/>
          <w:color w:val="auto"/>
          <w:sz w:val="21"/>
          <w:szCs w:val="21"/>
        </w:rPr>
      </w:pPr>
      <w:r>
        <w:rPr>
          <w:rFonts w:hint="eastAsia" w:ascii="宋体" w:hAnsi="宋体" w:eastAsia="宋体" w:cs="宋体"/>
          <w:b/>
          <w:bCs/>
          <w:color w:val="auto"/>
          <w:sz w:val="28"/>
          <w:szCs w:val="28"/>
        </w:rPr>
        <w:t>三、综合比较与评价</w:t>
      </w:r>
      <w:bookmarkEnd w:id="164"/>
    </w:p>
    <w:p w14:paraId="18813B26">
      <w:pPr>
        <w:tabs>
          <w:tab w:val="left" w:pos="0"/>
        </w:tabs>
        <w:spacing w:after="120" w:afterLines="50"/>
        <w:jc w:val="center"/>
        <w:rPr>
          <w:rFonts w:hint="eastAsia" w:ascii="宋体" w:hAnsi="宋体" w:eastAsia="宋体" w:cs="宋体"/>
          <w:b/>
          <w:bCs/>
          <w:color w:val="auto"/>
          <w:sz w:val="28"/>
          <w:szCs w:val="28"/>
        </w:rPr>
      </w:pPr>
      <w:bookmarkStart w:id="165" w:name="_Hlk49237229"/>
      <w:bookmarkStart w:id="166" w:name="_Toc11385"/>
      <w:r>
        <w:rPr>
          <w:rFonts w:hint="eastAsia" w:ascii="宋体" w:hAnsi="宋体" w:eastAsia="宋体" w:cs="宋体"/>
          <w:b/>
          <w:bCs/>
          <w:color w:val="auto"/>
          <w:sz w:val="28"/>
          <w:szCs w:val="28"/>
        </w:rPr>
        <w:t>评审要素及分值一览表</w:t>
      </w:r>
      <w:bookmarkEnd w:id="165"/>
      <w:bookmarkEnd w:id="166"/>
    </w:p>
    <w:tbl>
      <w:tblPr>
        <w:tblStyle w:val="23"/>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1054"/>
        <w:gridCol w:w="7691"/>
      </w:tblGrid>
      <w:tr w14:paraId="7694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45" w:type="dxa"/>
            <w:tcBorders>
              <w:top w:val="single" w:color="auto" w:sz="4" w:space="0"/>
              <w:left w:val="single" w:color="auto" w:sz="4" w:space="0"/>
              <w:bottom w:val="single" w:color="auto" w:sz="4" w:space="0"/>
              <w:right w:val="single" w:color="auto" w:sz="4" w:space="0"/>
            </w:tcBorders>
            <w:shd w:val="clear" w:color="auto" w:fill="DCD8C2"/>
            <w:vAlign w:val="center"/>
          </w:tcPr>
          <w:p w14:paraId="09BB1418">
            <w:pPr>
              <w:adjustRightInd w:val="0"/>
              <w:snapToGrid w:val="0"/>
              <w:jc w:val="center"/>
              <w:rPr>
                <w:rFonts w:hint="eastAsia" w:ascii="宋体" w:hAnsi="宋体" w:eastAsia="宋体" w:cs="宋体"/>
                <w:b/>
                <w:bCs/>
                <w:sz w:val="24"/>
                <w:szCs w:val="24"/>
              </w:rPr>
            </w:pPr>
            <w:r>
              <w:rPr>
                <w:rFonts w:hint="eastAsia" w:ascii="宋体" w:hAnsi="宋体" w:eastAsia="宋体" w:cs="宋体"/>
                <w:b/>
                <w:bCs/>
                <w:sz w:val="24"/>
                <w:szCs w:val="24"/>
              </w:rPr>
              <w:t>评标因素</w:t>
            </w:r>
          </w:p>
        </w:tc>
        <w:tc>
          <w:tcPr>
            <w:tcW w:w="1054" w:type="dxa"/>
            <w:tcBorders>
              <w:top w:val="single" w:color="auto" w:sz="4" w:space="0"/>
              <w:left w:val="single" w:color="auto" w:sz="4" w:space="0"/>
              <w:right w:val="single" w:color="auto" w:sz="4" w:space="0"/>
            </w:tcBorders>
            <w:shd w:val="clear" w:color="auto" w:fill="DCD8C2"/>
            <w:vAlign w:val="center"/>
          </w:tcPr>
          <w:p w14:paraId="39D2E9A5">
            <w:pPr>
              <w:adjustRightInd w:val="0"/>
              <w:snapToGrid w:val="0"/>
              <w:jc w:val="center"/>
              <w:rPr>
                <w:rFonts w:hint="eastAsia" w:ascii="宋体" w:hAnsi="宋体" w:eastAsia="宋体" w:cs="宋体"/>
                <w:b/>
                <w:bCs/>
                <w:sz w:val="24"/>
                <w:szCs w:val="24"/>
              </w:rPr>
            </w:pPr>
            <w:r>
              <w:rPr>
                <w:rFonts w:hint="eastAsia" w:ascii="宋体" w:hAnsi="宋体" w:eastAsia="宋体" w:cs="宋体"/>
                <w:b/>
                <w:bCs/>
                <w:sz w:val="24"/>
                <w:szCs w:val="24"/>
              </w:rPr>
              <w:t>分值</w:t>
            </w:r>
          </w:p>
          <w:p w14:paraId="1D16F39A">
            <w:pPr>
              <w:adjustRightInd w:val="0"/>
              <w:snapToGrid w:val="0"/>
              <w:jc w:val="center"/>
              <w:rPr>
                <w:rFonts w:hint="eastAsia" w:ascii="宋体" w:hAnsi="宋体" w:eastAsia="宋体" w:cs="宋体"/>
                <w:b/>
                <w:bCs/>
                <w:sz w:val="24"/>
                <w:szCs w:val="24"/>
              </w:rPr>
            </w:pPr>
            <w:r>
              <w:rPr>
                <w:rFonts w:hint="eastAsia" w:ascii="宋体" w:hAnsi="宋体" w:eastAsia="宋体" w:cs="宋体"/>
                <w:b/>
                <w:bCs/>
                <w:sz w:val="24"/>
                <w:szCs w:val="24"/>
              </w:rPr>
              <w:t>（分）</w:t>
            </w:r>
          </w:p>
        </w:tc>
        <w:tc>
          <w:tcPr>
            <w:tcW w:w="7691" w:type="dxa"/>
            <w:tcBorders>
              <w:top w:val="single" w:color="auto" w:sz="4" w:space="0"/>
              <w:left w:val="single" w:color="auto" w:sz="4" w:space="0"/>
              <w:bottom w:val="single" w:color="auto" w:sz="4" w:space="0"/>
              <w:right w:val="single" w:color="auto" w:sz="4" w:space="0"/>
            </w:tcBorders>
            <w:shd w:val="clear" w:color="auto" w:fill="DCD8C2"/>
            <w:vAlign w:val="center"/>
          </w:tcPr>
          <w:p w14:paraId="665823EB">
            <w:pPr>
              <w:adjustRightInd w:val="0"/>
              <w:snapToGrid w:val="0"/>
              <w:jc w:val="center"/>
              <w:rPr>
                <w:rFonts w:hint="eastAsia" w:ascii="宋体" w:hAnsi="宋体" w:eastAsia="宋体" w:cs="宋体"/>
                <w:b/>
                <w:bCs/>
                <w:sz w:val="24"/>
                <w:szCs w:val="24"/>
              </w:rPr>
            </w:pPr>
            <w:r>
              <w:rPr>
                <w:rFonts w:hint="eastAsia" w:ascii="宋体" w:hAnsi="宋体" w:eastAsia="宋体" w:cs="宋体"/>
                <w:b/>
                <w:bCs/>
                <w:sz w:val="24"/>
                <w:szCs w:val="24"/>
              </w:rPr>
              <w:t>评分要素</w:t>
            </w:r>
          </w:p>
        </w:tc>
      </w:tr>
      <w:tr w14:paraId="121A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5" w:type="dxa"/>
            <w:tcBorders>
              <w:top w:val="single" w:color="auto" w:sz="4" w:space="0"/>
              <w:left w:val="single" w:color="auto" w:sz="4" w:space="0"/>
              <w:bottom w:val="single" w:color="auto" w:sz="4" w:space="0"/>
              <w:right w:val="single" w:color="auto" w:sz="4" w:space="0"/>
            </w:tcBorders>
            <w:vAlign w:val="center"/>
          </w:tcPr>
          <w:p w14:paraId="402ABD8F">
            <w:pPr>
              <w:spacing w:line="480" w:lineRule="exact"/>
              <w:ind w:left="-134" w:leftChars="-56" w:right="-108" w:rightChars="-45"/>
              <w:jc w:val="cente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投标</w:t>
            </w:r>
          </w:p>
          <w:p w14:paraId="212A13EB">
            <w:pPr>
              <w:spacing w:line="480" w:lineRule="exact"/>
              <w:ind w:left="-134" w:leftChars="-56" w:right="-108" w:rightChars="-45"/>
              <w:jc w:val="cente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报价</w:t>
            </w:r>
          </w:p>
          <w:p w14:paraId="018D5341">
            <w:pPr>
              <w:spacing w:line="480" w:lineRule="exact"/>
              <w:ind w:left="-134" w:leftChars="-56" w:right="-108" w:rightChars="-45"/>
              <w:jc w:val="center"/>
              <w:rPr>
                <w:rFonts w:hint="eastAsia" w:ascii="宋体" w:hAnsi="宋体" w:eastAsia="宋体" w:cs="宋体"/>
                <w:color w:val="auto"/>
                <w:kern w:val="2"/>
                <w:sz w:val="24"/>
                <w:szCs w:val="24"/>
                <w:lang w:bidi="ar"/>
              </w:rPr>
            </w:pPr>
          </w:p>
        </w:tc>
        <w:tc>
          <w:tcPr>
            <w:tcW w:w="1054" w:type="dxa"/>
            <w:tcBorders>
              <w:top w:val="single" w:color="auto" w:sz="4" w:space="0"/>
              <w:left w:val="single" w:color="auto" w:sz="4" w:space="0"/>
              <w:bottom w:val="single" w:color="auto" w:sz="4" w:space="0"/>
              <w:right w:val="single" w:color="auto" w:sz="4" w:space="0"/>
            </w:tcBorders>
            <w:vAlign w:val="center"/>
          </w:tcPr>
          <w:p w14:paraId="1FA7C815">
            <w:pPr>
              <w:spacing w:line="480" w:lineRule="exact"/>
              <w:ind w:left="-134" w:leftChars="-56" w:right="-108" w:rightChars="-45"/>
              <w:jc w:val="cente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30分</w:t>
            </w:r>
          </w:p>
        </w:tc>
        <w:tc>
          <w:tcPr>
            <w:tcW w:w="7691" w:type="dxa"/>
            <w:tcBorders>
              <w:top w:val="single" w:color="auto" w:sz="4" w:space="0"/>
              <w:left w:val="single" w:color="auto" w:sz="4" w:space="0"/>
              <w:bottom w:val="single" w:color="auto" w:sz="4" w:space="0"/>
              <w:right w:val="single" w:color="auto" w:sz="4" w:space="0"/>
            </w:tcBorders>
            <w:vAlign w:val="center"/>
          </w:tcPr>
          <w:p w14:paraId="7554A315">
            <w:pPr>
              <w:tabs>
                <w:tab w:val="left" w:pos="0"/>
              </w:tabs>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满足招标文件要求且投标价格最低的投标报价为评标基准价，其价格分为满分。其他投标人的价格分统一按照下列公式计算：</w:t>
            </w:r>
          </w:p>
          <w:p w14:paraId="5E02E87F">
            <w:pPr>
              <w:tabs>
                <w:tab w:val="left" w:pos="0"/>
              </w:tabs>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投标报价得分=（评标基准价/投标报价）×30</w:t>
            </w:r>
          </w:p>
          <w:p w14:paraId="68281306">
            <w:pPr>
              <w:tabs>
                <w:tab w:val="left" w:pos="0"/>
              </w:tabs>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备注：计算分数时四舍五入取小数点后两位。评标委员会认为供应商的报价明显低于其他通过符合性审查供应商的报价，有可能影响产品质量或者不能诚信履约的，应当要求其在评标现场合理的时间内提供书面说明，必要时递交相关证明材料；供应商不能证明其报价合理性的，评标委员会应当将其作为无效投标处理。</w:t>
            </w:r>
          </w:p>
        </w:tc>
      </w:tr>
      <w:tr w14:paraId="1F90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5" w:type="dxa"/>
            <w:tcBorders>
              <w:top w:val="single" w:color="auto" w:sz="4" w:space="0"/>
              <w:left w:val="single" w:color="auto" w:sz="4" w:space="0"/>
              <w:bottom w:val="single" w:color="auto" w:sz="4" w:space="0"/>
              <w:right w:val="single" w:color="auto" w:sz="4" w:space="0"/>
            </w:tcBorders>
            <w:vAlign w:val="center"/>
          </w:tcPr>
          <w:p w14:paraId="558FF69A">
            <w:pPr>
              <w:spacing w:line="360" w:lineRule="auto"/>
              <w:jc w:val="center"/>
              <w:rPr>
                <w:rFonts w:hint="eastAsia" w:ascii="宋体" w:hAnsi="宋体" w:eastAsia="宋体" w:cs="宋体"/>
                <w:color w:val="auto"/>
                <w:kern w:val="2"/>
                <w:sz w:val="24"/>
                <w:szCs w:val="24"/>
                <w:lang w:bidi="ar"/>
              </w:rPr>
            </w:pPr>
            <w:r>
              <w:rPr>
                <w:rFonts w:hint="eastAsia" w:ascii="宋体" w:hAnsi="宋体" w:eastAsia="宋体" w:cs="宋体"/>
                <w:snapToGrid w:val="0"/>
                <w:color w:val="auto"/>
                <w:sz w:val="24"/>
                <w:szCs w:val="24"/>
              </w:rPr>
              <w:t>业绩</w:t>
            </w:r>
          </w:p>
        </w:tc>
        <w:tc>
          <w:tcPr>
            <w:tcW w:w="1054" w:type="dxa"/>
            <w:tcBorders>
              <w:top w:val="single" w:color="auto" w:sz="4" w:space="0"/>
              <w:left w:val="single" w:color="auto" w:sz="4" w:space="0"/>
              <w:bottom w:val="single" w:color="auto" w:sz="4" w:space="0"/>
              <w:right w:val="single" w:color="auto" w:sz="4" w:space="0"/>
            </w:tcBorders>
            <w:vAlign w:val="center"/>
          </w:tcPr>
          <w:p w14:paraId="3C1E248B">
            <w:pPr>
              <w:spacing w:line="360" w:lineRule="auto"/>
              <w:jc w:val="center"/>
              <w:rPr>
                <w:rFonts w:hint="eastAsia" w:ascii="宋体" w:hAnsi="宋体" w:eastAsia="宋体" w:cs="宋体"/>
                <w:color w:val="auto"/>
                <w:kern w:val="2"/>
                <w:sz w:val="24"/>
                <w:szCs w:val="24"/>
                <w:lang w:val="en-US" w:eastAsia="zh-CN" w:bidi="ar"/>
              </w:rPr>
            </w:pPr>
            <w:r>
              <w:rPr>
                <w:rFonts w:hint="eastAsia" w:hAnsi="宋体" w:cs="宋体"/>
                <w:snapToGrid w:val="0"/>
                <w:color w:val="auto"/>
                <w:sz w:val="24"/>
                <w:szCs w:val="24"/>
                <w:lang w:val="en-US" w:eastAsia="zh-CN"/>
              </w:rPr>
              <w:t>6</w:t>
            </w:r>
            <w:r>
              <w:rPr>
                <w:rFonts w:hint="eastAsia" w:ascii="宋体" w:hAnsi="宋体" w:eastAsia="宋体" w:cs="宋体"/>
                <w:snapToGrid w:val="0"/>
                <w:color w:val="auto"/>
                <w:sz w:val="24"/>
                <w:szCs w:val="24"/>
                <w:lang w:val="en-US" w:eastAsia="zh-CN"/>
              </w:rPr>
              <w:t>分</w:t>
            </w:r>
          </w:p>
        </w:tc>
        <w:tc>
          <w:tcPr>
            <w:tcW w:w="7691" w:type="dxa"/>
            <w:tcBorders>
              <w:top w:val="single" w:color="auto" w:sz="4" w:space="0"/>
              <w:left w:val="single" w:color="auto" w:sz="4" w:space="0"/>
              <w:bottom w:val="single" w:color="auto" w:sz="4" w:space="0"/>
              <w:right w:val="single" w:color="auto" w:sz="4" w:space="0"/>
            </w:tcBorders>
            <w:vAlign w:val="top"/>
          </w:tcPr>
          <w:p w14:paraId="5141D9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snapToGrid w:val="0"/>
                <w:color w:val="auto"/>
                <w:sz w:val="24"/>
                <w:szCs w:val="24"/>
              </w:rPr>
              <w:t>提供投标供应商</w:t>
            </w:r>
            <w:r>
              <w:rPr>
                <w:rFonts w:hint="eastAsia" w:hAnsi="宋体" w:cs="宋体"/>
                <w:snapToGrid w:val="0"/>
                <w:color w:val="auto"/>
                <w:sz w:val="24"/>
                <w:szCs w:val="24"/>
                <w:lang w:eastAsia="zh-CN"/>
              </w:rPr>
              <w:t>或制造商</w:t>
            </w:r>
            <w:r>
              <w:rPr>
                <w:rFonts w:hint="eastAsia" w:hAnsi="宋体" w:cs="宋体"/>
                <w:snapToGrid w:val="0"/>
                <w:color w:val="auto"/>
                <w:sz w:val="24"/>
                <w:szCs w:val="24"/>
                <w:lang w:val="en-US" w:eastAsia="zh-CN"/>
              </w:rPr>
              <w:t>2021</w:t>
            </w:r>
            <w:r>
              <w:rPr>
                <w:rFonts w:hint="eastAsia" w:ascii="宋体" w:hAnsi="宋体" w:eastAsia="宋体" w:cs="宋体"/>
                <w:snapToGrid w:val="0"/>
                <w:color w:val="auto"/>
                <w:sz w:val="24"/>
                <w:szCs w:val="24"/>
              </w:rPr>
              <w:t>年1月1日至今类似项目的</w:t>
            </w:r>
            <w:r>
              <w:rPr>
                <w:rFonts w:hint="eastAsia" w:ascii="宋体" w:hAnsi="宋体" w:eastAsia="宋体" w:cs="宋体"/>
                <w:snapToGrid w:val="0"/>
                <w:color w:val="auto"/>
                <w:sz w:val="24"/>
                <w:szCs w:val="24"/>
                <w:lang w:eastAsia="zh-CN"/>
              </w:rPr>
              <w:t>业绩</w:t>
            </w:r>
            <w:r>
              <w:rPr>
                <w:rFonts w:hint="eastAsia" w:ascii="宋体" w:hAnsi="宋体" w:eastAsia="宋体" w:cs="宋体"/>
                <w:snapToGrid w:val="0"/>
                <w:color w:val="auto"/>
                <w:sz w:val="24"/>
                <w:szCs w:val="24"/>
              </w:rPr>
              <w:t>，每提供</w:t>
            </w:r>
            <w:r>
              <w:rPr>
                <w:rFonts w:hint="eastAsia" w:ascii="宋体" w:hAnsi="宋体" w:eastAsia="宋体" w:cs="宋体"/>
                <w:snapToGrid w:val="0"/>
                <w:color w:val="auto"/>
                <w:sz w:val="24"/>
                <w:szCs w:val="24"/>
                <w:lang w:eastAsia="zh-CN"/>
              </w:rPr>
              <w:t>一项业绩（</w:t>
            </w:r>
            <w:r>
              <w:rPr>
                <w:rFonts w:hint="eastAsia" w:ascii="宋体" w:hAnsi="宋体" w:eastAsia="宋体" w:cs="宋体"/>
                <w:snapToGrid w:val="0"/>
                <w:color w:val="auto"/>
                <w:sz w:val="24"/>
                <w:szCs w:val="24"/>
              </w:rPr>
              <w:t>完整合</w:t>
            </w:r>
            <w:r>
              <w:rPr>
                <w:rFonts w:hint="eastAsia" w:hAnsi="宋体" w:cs="宋体"/>
                <w:snapToGrid w:val="0"/>
                <w:color w:val="auto"/>
                <w:sz w:val="24"/>
                <w:szCs w:val="24"/>
                <w:lang w:val="en-US" w:eastAsia="zh-CN"/>
              </w:rPr>
              <w:t>同及</w:t>
            </w:r>
            <w:r>
              <w:rPr>
                <w:rFonts w:hint="eastAsia" w:hAnsi="宋体" w:cs="宋体"/>
                <w:snapToGrid w:val="0"/>
                <w:color w:val="auto"/>
                <w:sz w:val="24"/>
                <w:szCs w:val="24"/>
                <w:lang w:eastAsia="zh-CN"/>
              </w:rPr>
              <w:t>发票证明材料</w:t>
            </w:r>
            <w:r>
              <w:rPr>
                <w:rFonts w:hint="eastAsia" w:ascii="宋体" w:hAnsi="宋体" w:eastAsia="宋体" w:cs="宋体"/>
                <w:snapToGrid w:val="0"/>
                <w:color w:val="auto"/>
                <w:sz w:val="24"/>
                <w:szCs w:val="24"/>
              </w:rPr>
              <w:t>复印件</w:t>
            </w:r>
            <w:r>
              <w:rPr>
                <w:rFonts w:hint="eastAsia" w:ascii="宋体" w:hAnsi="宋体" w:eastAsia="宋体" w:cs="宋体"/>
                <w:snapToGrid w:val="0"/>
                <w:color w:val="auto"/>
                <w:sz w:val="24"/>
                <w:szCs w:val="24"/>
                <w:lang w:eastAsia="zh-CN"/>
              </w:rPr>
              <w:t>，</w:t>
            </w:r>
            <w:r>
              <w:rPr>
                <w:rFonts w:hint="eastAsia" w:ascii="宋体" w:hAnsi="宋体" w:eastAsia="宋体" w:cs="宋体"/>
                <w:snapToGrid w:val="0"/>
                <w:color w:val="auto"/>
                <w:sz w:val="24"/>
                <w:szCs w:val="24"/>
              </w:rPr>
              <w:t>均需提供齐全的证明资料，否则视为无效业绩</w:t>
            </w:r>
            <w:r>
              <w:rPr>
                <w:rFonts w:hint="eastAsia" w:ascii="宋体" w:hAnsi="宋体" w:eastAsia="宋体" w:cs="宋体"/>
                <w:snapToGrid w:val="0"/>
                <w:color w:val="auto"/>
                <w:sz w:val="24"/>
                <w:szCs w:val="24"/>
                <w:lang w:eastAsia="zh-CN"/>
              </w:rPr>
              <w:t>）</w:t>
            </w:r>
            <w:r>
              <w:rPr>
                <w:rFonts w:hint="eastAsia" w:ascii="宋体" w:hAnsi="宋体" w:eastAsia="宋体" w:cs="宋体"/>
                <w:snapToGrid w:val="0"/>
                <w:color w:val="auto"/>
                <w:sz w:val="24"/>
                <w:szCs w:val="24"/>
              </w:rPr>
              <w:t>计</w:t>
            </w:r>
            <w:r>
              <w:rPr>
                <w:rFonts w:hint="eastAsia" w:hAnsi="宋体" w:cs="宋体"/>
                <w:snapToGrid w:val="0"/>
                <w:color w:val="auto"/>
                <w:sz w:val="24"/>
                <w:szCs w:val="24"/>
                <w:lang w:val="en-US" w:eastAsia="zh-CN"/>
              </w:rPr>
              <w:t>2</w:t>
            </w:r>
            <w:r>
              <w:rPr>
                <w:rFonts w:hint="eastAsia" w:ascii="宋体" w:hAnsi="宋体" w:eastAsia="宋体" w:cs="宋体"/>
                <w:snapToGrid w:val="0"/>
                <w:color w:val="auto"/>
                <w:sz w:val="24"/>
                <w:szCs w:val="24"/>
              </w:rPr>
              <w:t>分，最高</w:t>
            </w:r>
            <w:r>
              <w:rPr>
                <w:rFonts w:hint="eastAsia" w:hAnsi="宋体" w:cs="宋体"/>
                <w:snapToGrid w:val="0"/>
                <w:color w:val="auto"/>
                <w:sz w:val="24"/>
                <w:szCs w:val="24"/>
                <w:lang w:val="en-US" w:eastAsia="zh-CN"/>
              </w:rPr>
              <w:t>6</w:t>
            </w:r>
            <w:r>
              <w:rPr>
                <w:rFonts w:hint="eastAsia" w:ascii="宋体" w:hAnsi="宋体" w:eastAsia="宋体" w:cs="宋体"/>
                <w:snapToGrid w:val="0"/>
                <w:color w:val="auto"/>
                <w:sz w:val="24"/>
                <w:szCs w:val="24"/>
              </w:rPr>
              <w:t>分。</w:t>
            </w:r>
          </w:p>
        </w:tc>
      </w:tr>
      <w:tr w14:paraId="5C4E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5" w:type="dxa"/>
            <w:tcBorders>
              <w:top w:val="single" w:color="auto" w:sz="4" w:space="0"/>
              <w:left w:val="single" w:color="auto" w:sz="4" w:space="0"/>
              <w:bottom w:val="single" w:color="auto" w:sz="4" w:space="0"/>
              <w:right w:val="single" w:color="auto" w:sz="4" w:space="0"/>
            </w:tcBorders>
            <w:vAlign w:val="center"/>
          </w:tcPr>
          <w:p w14:paraId="13670467">
            <w:pPr>
              <w:spacing w:line="480" w:lineRule="exact"/>
              <w:ind w:left="-134" w:leftChars="-56" w:right="-108" w:rightChars="-45"/>
              <w:jc w:val="cente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技术</w:t>
            </w:r>
          </w:p>
          <w:p w14:paraId="5D5EB130">
            <w:pPr>
              <w:spacing w:line="480" w:lineRule="exact"/>
              <w:ind w:left="-134" w:leftChars="-56" w:right="-108" w:rightChars="-45"/>
              <w:jc w:val="cente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指标</w:t>
            </w:r>
          </w:p>
          <w:p w14:paraId="75E91A57">
            <w:pPr>
              <w:spacing w:line="480" w:lineRule="exact"/>
              <w:ind w:left="-134" w:leftChars="-56" w:right="-108" w:rightChars="-45"/>
              <w:jc w:val="cente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和配置</w:t>
            </w:r>
          </w:p>
        </w:tc>
        <w:tc>
          <w:tcPr>
            <w:tcW w:w="1054" w:type="dxa"/>
            <w:tcBorders>
              <w:top w:val="single" w:color="auto" w:sz="4" w:space="0"/>
              <w:left w:val="single" w:color="auto" w:sz="4" w:space="0"/>
              <w:bottom w:val="single" w:color="auto" w:sz="4" w:space="0"/>
              <w:right w:val="single" w:color="auto" w:sz="4" w:space="0"/>
            </w:tcBorders>
            <w:vAlign w:val="center"/>
          </w:tcPr>
          <w:p w14:paraId="20EB8B13">
            <w:pPr>
              <w:spacing w:line="460" w:lineRule="exact"/>
              <w:jc w:val="center"/>
              <w:rPr>
                <w:rFonts w:hint="eastAsia" w:ascii="宋体" w:hAnsi="宋体" w:eastAsia="宋体" w:cs="宋体"/>
                <w:color w:val="auto"/>
                <w:sz w:val="24"/>
                <w:szCs w:val="24"/>
              </w:rPr>
            </w:pPr>
            <w:r>
              <w:rPr>
                <w:rFonts w:hint="eastAsia" w:hAnsi="宋体" w:cs="宋体"/>
                <w:color w:val="auto"/>
                <w:sz w:val="24"/>
                <w:szCs w:val="24"/>
                <w:lang w:val="en-US" w:eastAsia="zh-CN" w:bidi="ar"/>
              </w:rPr>
              <w:t>11</w:t>
            </w:r>
            <w:r>
              <w:rPr>
                <w:rFonts w:hint="eastAsia" w:ascii="宋体" w:hAnsi="宋体" w:eastAsia="宋体" w:cs="宋体"/>
                <w:color w:val="auto"/>
                <w:sz w:val="24"/>
                <w:szCs w:val="24"/>
                <w:lang w:bidi="ar"/>
              </w:rPr>
              <w:t>分</w:t>
            </w:r>
          </w:p>
        </w:tc>
        <w:tc>
          <w:tcPr>
            <w:tcW w:w="7691" w:type="dxa"/>
            <w:tcBorders>
              <w:top w:val="single" w:color="auto" w:sz="4" w:space="0"/>
              <w:left w:val="single" w:color="auto" w:sz="4" w:space="0"/>
              <w:bottom w:val="single" w:color="auto" w:sz="4" w:space="0"/>
              <w:right w:val="single" w:color="auto" w:sz="4" w:space="0"/>
            </w:tcBorders>
          </w:tcPr>
          <w:p w14:paraId="240D1356">
            <w:pPr>
              <w:numPr>
                <w:ilvl w:val="0"/>
                <w:numId w:val="0"/>
              </w:numPr>
              <w:spacing w:line="360" w:lineRule="auto"/>
              <w:rPr>
                <w:rFonts w:hint="default" w:ascii="宋体" w:hAnsi="宋体" w:eastAsia="宋体" w:cs="宋体"/>
                <w:color w:val="auto"/>
                <w:sz w:val="24"/>
                <w:szCs w:val="24"/>
                <w:lang w:val="en-US" w:eastAsia="zh-CN"/>
              </w:rPr>
            </w:pPr>
          </w:p>
          <w:p w14:paraId="1BA0A847">
            <w:pPr>
              <w:numPr>
                <w:ilvl w:val="0"/>
                <w:numId w:val="0"/>
              </w:numPr>
              <w:spacing w:line="36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投标产品的技术指标和配置完全满足招标文件技术参数要求的计</w:t>
            </w:r>
            <w:r>
              <w:rPr>
                <w:rFonts w:hint="eastAsia" w:hAnsi="宋体" w:cs="宋体"/>
                <w:color w:val="auto"/>
                <w:sz w:val="24"/>
                <w:szCs w:val="24"/>
                <w:lang w:val="en-US" w:eastAsia="zh-CN"/>
              </w:rPr>
              <w:t>11</w:t>
            </w:r>
            <w:r>
              <w:rPr>
                <w:rFonts w:hint="default" w:ascii="宋体" w:hAnsi="宋体" w:eastAsia="宋体" w:cs="宋体"/>
                <w:color w:val="auto"/>
                <w:sz w:val="24"/>
                <w:szCs w:val="24"/>
                <w:lang w:val="en-US" w:eastAsia="zh-CN"/>
              </w:rPr>
              <w:t>分，每出现一项不满足或未响应情形，扣1分</w:t>
            </w:r>
            <w:r>
              <w:rPr>
                <w:rFonts w:hint="eastAsia" w:hAnsi="宋体" w:cs="宋体"/>
                <w:color w:val="auto"/>
                <w:sz w:val="24"/>
                <w:szCs w:val="24"/>
                <w:lang w:val="en-US" w:eastAsia="zh-CN"/>
              </w:rPr>
              <w:t>，</w:t>
            </w:r>
            <w:r>
              <w:rPr>
                <w:rFonts w:hint="default" w:ascii="宋体" w:hAnsi="宋体" w:eastAsia="宋体" w:cs="宋体"/>
                <w:color w:val="auto"/>
                <w:sz w:val="24"/>
                <w:szCs w:val="24"/>
                <w:lang w:val="en-US" w:eastAsia="zh-CN"/>
              </w:rPr>
              <w:t>扣完为止，不计负分。</w:t>
            </w:r>
          </w:p>
        </w:tc>
      </w:tr>
      <w:tr w14:paraId="1E68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5" w:type="dxa"/>
            <w:vMerge w:val="restart"/>
            <w:tcBorders>
              <w:left w:val="single" w:color="auto" w:sz="4" w:space="0"/>
              <w:right w:val="single" w:color="auto" w:sz="4" w:space="0"/>
            </w:tcBorders>
            <w:vAlign w:val="center"/>
          </w:tcPr>
          <w:p w14:paraId="01FAC546">
            <w:pPr>
              <w:spacing w:line="460" w:lineRule="exact"/>
              <w:jc w:val="center"/>
              <w:rPr>
                <w:rFonts w:hint="eastAsia" w:ascii="宋体" w:hAnsi="宋体" w:eastAsia="宋体" w:cs="宋体"/>
                <w:color w:val="auto"/>
                <w:sz w:val="24"/>
                <w:szCs w:val="24"/>
                <w:lang w:eastAsia="zh-CN" w:bidi="ar"/>
              </w:rPr>
            </w:pPr>
          </w:p>
          <w:p w14:paraId="42851E82">
            <w:pPr>
              <w:spacing w:line="460" w:lineRule="exact"/>
              <w:jc w:val="center"/>
              <w:rPr>
                <w:rFonts w:hint="eastAsia" w:ascii="宋体" w:hAnsi="宋体" w:eastAsia="宋体" w:cs="宋体"/>
                <w:color w:val="auto"/>
                <w:sz w:val="24"/>
                <w:szCs w:val="24"/>
                <w:lang w:eastAsia="zh-CN" w:bidi="ar"/>
              </w:rPr>
            </w:pPr>
          </w:p>
          <w:p w14:paraId="550E073D">
            <w:pPr>
              <w:spacing w:line="460" w:lineRule="exact"/>
              <w:jc w:val="center"/>
              <w:rPr>
                <w:rFonts w:hint="eastAsia" w:ascii="宋体" w:hAnsi="宋体" w:eastAsia="宋体" w:cs="宋体"/>
                <w:color w:val="auto"/>
                <w:sz w:val="24"/>
                <w:szCs w:val="24"/>
                <w:lang w:eastAsia="zh-CN" w:bidi="ar"/>
              </w:rPr>
            </w:pPr>
          </w:p>
          <w:p w14:paraId="579A1AC3">
            <w:pPr>
              <w:spacing w:line="460" w:lineRule="exact"/>
              <w:jc w:val="center"/>
              <w:rPr>
                <w:rFonts w:hint="eastAsia" w:ascii="宋体" w:hAnsi="宋体" w:eastAsia="宋体" w:cs="宋体"/>
                <w:color w:val="auto"/>
                <w:sz w:val="24"/>
                <w:szCs w:val="24"/>
                <w:lang w:eastAsia="zh-CN" w:bidi="ar"/>
              </w:rPr>
            </w:pPr>
          </w:p>
          <w:p w14:paraId="7E619DF4">
            <w:pPr>
              <w:spacing w:line="460" w:lineRule="exact"/>
              <w:jc w:val="center"/>
              <w:rPr>
                <w:rFonts w:hint="eastAsia" w:ascii="宋体" w:hAnsi="宋体" w:eastAsia="宋体" w:cs="宋体"/>
                <w:color w:val="auto"/>
                <w:sz w:val="24"/>
                <w:szCs w:val="24"/>
                <w:lang w:eastAsia="zh-CN" w:bidi="ar"/>
              </w:rPr>
            </w:pPr>
          </w:p>
          <w:p w14:paraId="72AEF50C">
            <w:pPr>
              <w:spacing w:line="460" w:lineRule="exact"/>
              <w:jc w:val="center"/>
              <w:rPr>
                <w:rFonts w:hint="eastAsia" w:ascii="宋体" w:hAnsi="宋体" w:eastAsia="宋体" w:cs="宋体"/>
                <w:color w:val="auto"/>
                <w:sz w:val="24"/>
                <w:szCs w:val="24"/>
                <w:lang w:eastAsia="zh-CN" w:bidi="ar"/>
              </w:rPr>
            </w:pPr>
          </w:p>
          <w:p w14:paraId="52A9FB82">
            <w:pPr>
              <w:spacing w:line="460" w:lineRule="exact"/>
              <w:jc w:val="center"/>
              <w:rPr>
                <w:rFonts w:hint="eastAsia" w:ascii="宋体" w:hAnsi="宋体" w:eastAsia="宋体" w:cs="宋体"/>
                <w:color w:val="auto"/>
                <w:sz w:val="24"/>
                <w:szCs w:val="24"/>
                <w:lang w:eastAsia="zh-CN" w:bidi="ar"/>
              </w:rPr>
            </w:pPr>
          </w:p>
          <w:p w14:paraId="56371930">
            <w:pPr>
              <w:spacing w:line="460" w:lineRule="exact"/>
              <w:jc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实施方案</w:t>
            </w:r>
          </w:p>
        </w:tc>
        <w:tc>
          <w:tcPr>
            <w:tcW w:w="1054" w:type="dxa"/>
            <w:tcBorders>
              <w:left w:val="single" w:color="auto" w:sz="4" w:space="0"/>
              <w:right w:val="single" w:color="auto" w:sz="4" w:space="0"/>
            </w:tcBorders>
            <w:vAlign w:val="center"/>
          </w:tcPr>
          <w:p w14:paraId="62138D96">
            <w:pPr>
              <w:spacing w:line="480" w:lineRule="exact"/>
              <w:ind w:left="-134" w:leftChars="-56" w:right="-108" w:rightChars="-45"/>
              <w:jc w:val="center"/>
              <w:rPr>
                <w:rFonts w:hint="eastAsia" w:ascii="宋体" w:hAnsi="宋体" w:eastAsia="宋体" w:cs="宋体"/>
                <w:color w:val="auto"/>
                <w:kern w:val="2"/>
                <w:sz w:val="24"/>
                <w:szCs w:val="24"/>
                <w:lang w:val="en-US" w:eastAsia="zh-CN" w:bidi="ar"/>
              </w:rPr>
            </w:pPr>
            <w:r>
              <w:rPr>
                <w:rFonts w:hint="eastAsia" w:hAnsi="宋体" w:cs="宋体"/>
                <w:color w:val="auto"/>
                <w:kern w:val="2"/>
                <w:sz w:val="24"/>
                <w:szCs w:val="24"/>
                <w:lang w:val="en-US" w:eastAsia="zh-CN" w:bidi="ar"/>
              </w:rPr>
              <w:t>6</w:t>
            </w:r>
            <w:r>
              <w:rPr>
                <w:rFonts w:hint="eastAsia" w:ascii="宋体" w:hAnsi="宋体" w:eastAsia="宋体" w:cs="宋体"/>
                <w:color w:val="auto"/>
                <w:kern w:val="2"/>
                <w:sz w:val="24"/>
                <w:szCs w:val="24"/>
                <w:lang w:val="en-US" w:eastAsia="zh-CN" w:bidi="ar"/>
              </w:rPr>
              <w:t>分</w:t>
            </w:r>
          </w:p>
        </w:tc>
        <w:tc>
          <w:tcPr>
            <w:tcW w:w="7691" w:type="dxa"/>
            <w:tcBorders>
              <w:top w:val="single" w:color="auto" w:sz="4" w:space="0"/>
              <w:left w:val="single" w:color="auto" w:sz="4" w:space="0"/>
              <w:bottom w:val="single" w:color="auto" w:sz="4" w:space="0"/>
              <w:right w:val="single" w:color="auto" w:sz="4" w:space="0"/>
            </w:tcBorders>
          </w:tcPr>
          <w:p w14:paraId="5E5CF4E8">
            <w:pPr>
              <w:tabs>
                <w:tab w:val="left" w:pos="0"/>
              </w:tabs>
              <w:spacing w:line="460" w:lineRule="exact"/>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生产工艺流程、产品质量检测措施，</w:t>
            </w:r>
            <w:r>
              <w:rPr>
                <w:rFonts w:hint="eastAsia" w:ascii="宋体" w:hAnsi="宋体" w:cs="宋体"/>
                <w:snapToGrid w:val="0"/>
                <w:color w:val="auto"/>
                <w:sz w:val="24"/>
                <w:szCs w:val="24"/>
                <w:lang w:val="en-US" w:eastAsia="zh-CN"/>
              </w:rPr>
              <w:t>对投标</w:t>
            </w:r>
            <w:r>
              <w:rPr>
                <w:rFonts w:hint="eastAsia" w:ascii="宋体" w:hAnsi="宋体" w:eastAsia="宋体" w:cs="宋体"/>
                <w:snapToGrid w:val="0"/>
                <w:color w:val="auto"/>
                <w:sz w:val="24"/>
                <w:szCs w:val="24"/>
              </w:rPr>
              <w:t>方案中</w:t>
            </w:r>
            <w:r>
              <w:rPr>
                <w:rFonts w:hint="eastAsia" w:ascii="宋体" w:hAnsi="宋体" w:cs="宋体"/>
                <w:snapToGrid w:val="0"/>
                <w:color w:val="auto"/>
                <w:sz w:val="24"/>
                <w:szCs w:val="24"/>
                <w:lang w:val="en-US" w:eastAsia="zh-CN"/>
              </w:rPr>
              <w:t>所</w:t>
            </w:r>
            <w:r>
              <w:rPr>
                <w:rFonts w:hint="eastAsia" w:ascii="宋体" w:hAnsi="宋体" w:eastAsia="宋体" w:cs="宋体"/>
                <w:snapToGrid w:val="0"/>
                <w:color w:val="auto"/>
                <w:sz w:val="24"/>
                <w:szCs w:val="24"/>
              </w:rPr>
              <w:t>包含</w:t>
            </w:r>
            <w:r>
              <w:rPr>
                <w:rFonts w:hint="eastAsia" w:ascii="宋体" w:hAnsi="宋体" w:cs="宋体"/>
                <w:snapToGrid w:val="0"/>
                <w:color w:val="auto"/>
                <w:sz w:val="24"/>
                <w:szCs w:val="24"/>
                <w:lang w:val="en-US" w:eastAsia="zh-CN"/>
              </w:rPr>
              <w:t>得</w:t>
            </w:r>
            <w:r>
              <w:rPr>
                <w:rFonts w:hint="eastAsia" w:ascii="宋体" w:hAnsi="宋体" w:eastAsia="宋体" w:cs="宋体"/>
                <w:snapToGrid w:val="0"/>
                <w:color w:val="auto"/>
                <w:sz w:val="24"/>
                <w:szCs w:val="24"/>
              </w:rPr>
              <w:t>工艺流程及检测措施</w:t>
            </w:r>
            <w:r>
              <w:rPr>
                <w:rFonts w:hint="eastAsia" w:hAnsi="宋体" w:cs="宋体"/>
                <w:snapToGrid w:val="0"/>
                <w:color w:val="auto"/>
                <w:sz w:val="24"/>
                <w:szCs w:val="24"/>
                <w:lang w:eastAsia="zh-CN"/>
              </w:rPr>
              <w:t>。</w:t>
            </w:r>
            <w:r>
              <w:rPr>
                <w:rFonts w:hint="eastAsia" w:hAnsi="宋体" w:cs="宋体"/>
                <w:snapToGrid w:val="0"/>
                <w:color w:val="auto"/>
                <w:sz w:val="24"/>
                <w:szCs w:val="24"/>
                <w:lang w:val="en-US" w:eastAsia="zh-CN"/>
              </w:rPr>
              <w:t>0-6分</w:t>
            </w:r>
            <w:r>
              <w:rPr>
                <w:rFonts w:hint="eastAsia" w:ascii="宋体" w:hAnsi="宋体" w:cs="宋体"/>
                <w:snapToGrid w:val="0"/>
                <w:color w:val="auto"/>
                <w:sz w:val="24"/>
                <w:szCs w:val="24"/>
                <w:lang w:val="en-US" w:eastAsia="zh-CN"/>
              </w:rPr>
              <w:t>。</w:t>
            </w:r>
          </w:p>
        </w:tc>
      </w:tr>
      <w:tr w14:paraId="619C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1345" w:type="dxa"/>
            <w:vMerge w:val="continue"/>
            <w:tcBorders>
              <w:left w:val="single" w:color="auto" w:sz="4" w:space="0"/>
              <w:right w:val="single" w:color="auto" w:sz="4" w:space="0"/>
            </w:tcBorders>
            <w:vAlign w:val="center"/>
          </w:tcPr>
          <w:p w14:paraId="7082858E">
            <w:pPr>
              <w:spacing w:line="460" w:lineRule="exact"/>
              <w:jc w:val="center"/>
              <w:rPr>
                <w:rFonts w:hint="eastAsia" w:ascii="宋体" w:hAnsi="宋体" w:eastAsia="宋体" w:cs="宋体"/>
                <w:color w:val="auto"/>
                <w:sz w:val="24"/>
                <w:szCs w:val="24"/>
                <w:lang w:bidi="ar"/>
              </w:rPr>
            </w:pPr>
          </w:p>
        </w:tc>
        <w:tc>
          <w:tcPr>
            <w:tcW w:w="1054" w:type="dxa"/>
            <w:tcBorders>
              <w:left w:val="single" w:color="auto" w:sz="4" w:space="0"/>
              <w:right w:val="single" w:color="auto" w:sz="4" w:space="0"/>
            </w:tcBorders>
            <w:vAlign w:val="center"/>
          </w:tcPr>
          <w:p w14:paraId="6731F0A7">
            <w:pPr>
              <w:spacing w:line="480" w:lineRule="exact"/>
              <w:ind w:left="-134" w:leftChars="-56" w:right="-108" w:rightChars="-45"/>
              <w:jc w:val="center"/>
              <w:rPr>
                <w:rFonts w:hint="eastAsia" w:ascii="宋体" w:hAnsi="宋体" w:eastAsia="宋体" w:cs="宋体"/>
                <w:color w:val="auto"/>
                <w:kern w:val="2"/>
                <w:sz w:val="24"/>
                <w:szCs w:val="24"/>
                <w:lang w:val="en-US" w:eastAsia="zh-CN" w:bidi="ar"/>
              </w:rPr>
            </w:pPr>
            <w:r>
              <w:rPr>
                <w:rFonts w:hint="eastAsia" w:hAnsi="宋体" w:cs="宋体"/>
                <w:color w:val="auto"/>
                <w:kern w:val="2"/>
                <w:sz w:val="24"/>
                <w:szCs w:val="24"/>
                <w:lang w:val="en-US" w:eastAsia="zh-CN" w:bidi="ar"/>
              </w:rPr>
              <w:t>6</w:t>
            </w:r>
            <w:r>
              <w:rPr>
                <w:rFonts w:hint="eastAsia" w:ascii="宋体" w:hAnsi="宋体" w:eastAsia="宋体" w:cs="宋体"/>
                <w:color w:val="auto"/>
                <w:kern w:val="2"/>
                <w:sz w:val="24"/>
                <w:szCs w:val="24"/>
                <w:lang w:val="en-US" w:eastAsia="zh-CN" w:bidi="ar"/>
              </w:rPr>
              <w:t>分</w:t>
            </w:r>
          </w:p>
        </w:tc>
        <w:tc>
          <w:tcPr>
            <w:tcW w:w="7691" w:type="dxa"/>
            <w:tcBorders>
              <w:top w:val="single" w:color="auto" w:sz="4" w:space="0"/>
              <w:left w:val="single" w:color="auto" w:sz="4" w:space="0"/>
              <w:bottom w:val="single" w:color="auto" w:sz="4" w:space="0"/>
              <w:right w:val="single" w:color="auto" w:sz="4" w:space="0"/>
            </w:tcBorders>
          </w:tcPr>
          <w:p w14:paraId="0659B851">
            <w:pPr>
              <w:tabs>
                <w:tab w:val="left" w:pos="0"/>
              </w:tabs>
              <w:spacing w:line="460" w:lineRule="exact"/>
              <w:rPr>
                <w:rFonts w:hint="default" w:ascii="宋体" w:hAnsi="宋体" w:eastAsia="宋体" w:cs="宋体"/>
                <w:snapToGrid w:val="0"/>
                <w:color w:val="auto"/>
                <w:sz w:val="24"/>
                <w:szCs w:val="24"/>
                <w:lang w:val="en-US"/>
              </w:rPr>
            </w:pPr>
            <w:r>
              <w:rPr>
                <w:rFonts w:hint="eastAsia" w:ascii="宋体" w:hAnsi="宋体" w:eastAsia="宋体" w:cs="宋体"/>
                <w:snapToGrid w:val="0"/>
                <w:color w:val="auto"/>
                <w:sz w:val="24"/>
                <w:szCs w:val="24"/>
              </w:rPr>
              <w:t>生产资源调度包括生产设备、检测设备、仪器仪表</w:t>
            </w:r>
            <w:r>
              <w:rPr>
                <w:rFonts w:hint="eastAsia" w:ascii="宋体" w:hAnsi="宋体" w:cs="宋体"/>
                <w:snapToGrid w:val="0"/>
                <w:color w:val="auto"/>
                <w:sz w:val="24"/>
                <w:szCs w:val="24"/>
                <w:lang w:eastAsia="zh-CN"/>
              </w:rPr>
              <w:t>；</w:t>
            </w:r>
            <w:r>
              <w:rPr>
                <w:rFonts w:hint="eastAsia" w:ascii="宋体" w:hAnsi="宋体" w:cs="宋体"/>
                <w:snapToGrid w:val="0"/>
                <w:color w:val="auto"/>
                <w:sz w:val="24"/>
                <w:szCs w:val="24"/>
                <w:lang w:val="en-US" w:eastAsia="zh-CN"/>
              </w:rPr>
              <w:t>根据满足本项目响应情况</w:t>
            </w:r>
            <w:r>
              <w:rPr>
                <w:rFonts w:hint="eastAsia" w:hAnsi="宋体" w:cs="宋体"/>
                <w:snapToGrid w:val="0"/>
                <w:color w:val="auto"/>
                <w:sz w:val="24"/>
                <w:szCs w:val="24"/>
                <w:lang w:val="en-US" w:eastAsia="zh-CN"/>
              </w:rPr>
              <w:t>。0-6分。</w:t>
            </w:r>
          </w:p>
        </w:tc>
      </w:tr>
      <w:tr w14:paraId="380E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45" w:type="dxa"/>
            <w:vMerge w:val="continue"/>
            <w:tcBorders>
              <w:left w:val="single" w:color="auto" w:sz="4" w:space="0"/>
              <w:right w:val="single" w:color="auto" w:sz="4" w:space="0"/>
            </w:tcBorders>
            <w:vAlign w:val="center"/>
          </w:tcPr>
          <w:p w14:paraId="4FDACE18">
            <w:pPr>
              <w:spacing w:line="460" w:lineRule="exact"/>
              <w:jc w:val="center"/>
              <w:rPr>
                <w:rFonts w:hint="eastAsia" w:ascii="宋体" w:hAnsi="宋体" w:eastAsia="宋体" w:cs="宋体"/>
                <w:color w:val="auto"/>
                <w:sz w:val="24"/>
                <w:szCs w:val="24"/>
                <w:lang w:bidi="ar"/>
              </w:rPr>
            </w:pPr>
          </w:p>
        </w:tc>
        <w:tc>
          <w:tcPr>
            <w:tcW w:w="1054" w:type="dxa"/>
            <w:tcBorders>
              <w:left w:val="single" w:color="auto" w:sz="4" w:space="0"/>
              <w:bottom w:val="single" w:color="auto" w:sz="4" w:space="0"/>
              <w:right w:val="single" w:color="auto" w:sz="4" w:space="0"/>
            </w:tcBorders>
            <w:vAlign w:val="center"/>
          </w:tcPr>
          <w:p w14:paraId="480EC894">
            <w:pPr>
              <w:spacing w:line="480" w:lineRule="exact"/>
              <w:ind w:left="-134" w:leftChars="-56" w:right="-108" w:rightChars="-45"/>
              <w:jc w:val="center"/>
              <w:rPr>
                <w:rFonts w:hint="eastAsia" w:ascii="宋体" w:hAnsi="宋体" w:eastAsia="宋体" w:cs="宋体"/>
                <w:color w:val="auto"/>
                <w:kern w:val="2"/>
                <w:sz w:val="24"/>
                <w:szCs w:val="24"/>
                <w:lang w:val="en-US" w:eastAsia="zh-CN" w:bidi="ar"/>
              </w:rPr>
            </w:pPr>
            <w:r>
              <w:rPr>
                <w:rFonts w:hint="eastAsia" w:hAnsi="宋体" w:cs="宋体"/>
                <w:color w:val="auto"/>
                <w:kern w:val="2"/>
                <w:sz w:val="24"/>
                <w:szCs w:val="24"/>
                <w:lang w:val="en-US" w:eastAsia="zh-CN" w:bidi="ar"/>
              </w:rPr>
              <w:t>6</w:t>
            </w:r>
            <w:r>
              <w:rPr>
                <w:rFonts w:hint="eastAsia" w:ascii="宋体" w:hAnsi="宋体" w:eastAsia="宋体" w:cs="宋体"/>
                <w:color w:val="auto"/>
                <w:kern w:val="2"/>
                <w:sz w:val="24"/>
                <w:szCs w:val="24"/>
                <w:lang w:val="en-US" w:eastAsia="zh-CN" w:bidi="ar"/>
              </w:rPr>
              <w:t>分</w:t>
            </w:r>
          </w:p>
        </w:tc>
        <w:tc>
          <w:tcPr>
            <w:tcW w:w="7691" w:type="dxa"/>
            <w:tcBorders>
              <w:top w:val="single" w:color="auto" w:sz="4" w:space="0"/>
              <w:left w:val="single" w:color="auto" w:sz="4" w:space="0"/>
              <w:bottom w:val="single" w:color="auto" w:sz="4" w:space="0"/>
              <w:right w:val="single" w:color="auto" w:sz="4" w:space="0"/>
            </w:tcBorders>
          </w:tcPr>
          <w:p w14:paraId="74C58C6C">
            <w:pPr>
              <w:tabs>
                <w:tab w:val="left" w:pos="0"/>
              </w:tabs>
              <w:spacing w:line="460" w:lineRule="exact"/>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项目进度安排：</w:t>
            </w:r>
            <w:r>
              <w:rPr>
                <w:rFonts w:hint="eastAsia" w:ascii="宋体" w:hAnsi="宋体" w:cs="宋体"/>
                <w:snapToGrid w:val="0"/>
                <w:color w:val="auto"/>
                <w:sz w:val="24"/>
                <w:szCs w:val="24"/>
                <w:lang w:val="en-US" w:eastAsia="zh-CN"/>
              </w:rPr>
              <w:t>对投标</w:t>
            </w:r>
            <w:r>
              <w:rPr>
                <w:rFonts w:hint="eastAsia" w:ascii="宋体" w:hAnsi="宋体" w:eastAsia="宋体" w:cs="宋体"/>
                <w:snapToGrid w:val="0"/>
                <w:color w:val="auto"/>
                <w:sz w:val="24"/>
                <w:szCs w:val="24"/>
              </w:rPr>
              <w:t>方案中</w:t>
            </w:r>
            <w:r>
              <w:rPr>
                <w:rFonts w:hint="eastAsia" w:ascii="宋体" w:hAnsi="宋体" w:cs="宋体"/>
                <w:snapToGrid w:val="0"/>
                <w:color w:val="auto"/>
                <w:sz w:val="24"/>
                <w:szCs w:val="24"/>
                <w:lang w:val="en-US" w:eastAsia="zh-CN"/>
              </w:rPr>
              <w:t>所包括</w:t>
            </w:r>
            <w:r>
              <w:rPr>
                <w:rFonts w:hint="eastAsia" w:ascii="宋体" w:hAnsi="宋体" w:eastAsia="宋体" w:cs="宋体"/>
                <w:snapToGrid w:val="0"/>
                <w:color w:val="auto"/>
                <w:sz w:val="24"/>
                <w:szCs w:val="24"/>
              </w:rPr>
              <w:t>列出合同履行过程中的主要工作内容（对各工作内容进行详细描述）、编制网络进度图、确定关键</w:t>
            </w:r>
            <w:r>
              <w:rPr>
                <w:rFonts w:hint="eastAsia" w:ascii="宋体" w:hAnsi="宋体" w:cs="宋体"/>
                <w:snapToGrid w:val="0"/>
                <w:color w:val="auto"/>
                <w:sz w:val="24"/>
                <w:szCs w:val="24"/>
                <w:lang w:val="en-US" w:eastAsia="zh-CN"/>
              </w:rPr>
              <w:t>技术</w:t>
            </w:r>
            <w:r>
              <w:rPr>
                <w:rFonts w:hint="eastAsia" w:ascii="宋体" w:hAnsi="宋体" w:eastAsia="宋体" w:cs="宋体"/>
                <w:snapToGrid w:val="0"/>
                <w:color w:val="auto"/>
                <w:sz w:val="24"/>
                <w:szCs w:val="24"/>
              </w:rPr>
              <w:t>路线</w:t>
            </w:r>
            <w:r>
              <w:rPr>
                <w:rFonts w:hint="eastAsia" w:hAnsi="宋体" w:cs="宋体"/>
                <w:snapToGrid w:val="0"/>
                <w:color w:val="auto"/>
                <w:sz w:val="24"/>
                <w:szCs w:val="24"/>
                <w:lang w:eastAsia="zh-CN"/>
              </w:rPr>
              <w:t>。</w:t>
            </w:r>
            <w:r>
              <w:rPr>
                <w:rFonts w:hint="eastAsia" w:hAnsi="宋体" w:cs="宋体"/>
                <w:snapToGrid w:val="0"/>
                <w:color w:val="auto"/>
                <w:sz w:val="24"/>
                <w:szCs w:val="24"/>
                <w:lang w:val="en-US" w:eastAsia="zh-CN"/>
              </w:rPr>
              <w:t>0-6分</w:t>
            </w:r>
            <w:r>
              <w:rPr>
                <w:rFonts w:hint="eastAsia" w:ascii="宋体" w:hAnsi="宋体" w:cs="宋体"/>
                <w:snapToGrid w:val="0"/>
                <w:color w:val="auto"/>
                <w:sz w:val="24"/>
                <w:szCs w:val="24"/>
                <w:lang w:val="en-US" w:eastAsia="zh-CN"/>
              </w:rPr>
              <w:t>。</w:t>
            </w:r>
          </w:p>
        </w:tc>
      </w:tr>
      <w:tr w14:paraId="2451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45" w:type="dxa"/>
            <w:vMerge w:val="continue"/>
            <w:tcBorders>
              <w:left w:val="single" w:color="auto" w:sz="4" w:space="0"/>
              <w:right w:val="single" w:color="auto" w:sz="4" w:space="0"/>
            </w:tcBorders>
            <w:vAlign w:val="center"/>
          </w:tcPr>
          <w:p w14:paraId="41BF18C3">
            <w:pPr>
              <w:spacing w:line="460" w:lineRule="exact"/>
              <w:jc w:val="center"/>
              <w:rPr>
                <w:rFonts w:hint="eastAsia" w:ascii="宋体" w:hAnsi="宋体" w:eastAsia="宋体" w:cs="宋体"/>
                <w:color w:val="auto"/>
                <w:sz w:val="24"/>
                <w:szCs w:val="24"/>
                <w:lang w:bidi="ar"/>
              </w:rPr>
            </w:pPr>
          </w:p>
        </w:tc>
        <w:tc>
          <w:tcPr>
            <w:tcW w:w="1054" w:type="dxa"/>
            <w:tcBorders>
              <w:left w:val="single" w:color="auto" w:sz="4" w:space="0"/>
              <w:bottom w:val="single" w:color="auto" w:sz="4" w:space="0"/>
              <w:right w:val="single" w:color="auto" w:sz="4" w:space="0"/>
            </w:tcBorders>
            <w:vAlign w:val="center"/>
          </w:tcPr>
          <w:p w14:paraId="68EB5E8B">
            <w:pPr>
              <w:spacing w:line="480" w:lineRule="exact"/>
              <w:ind w:left="-134" w:leftChars="-56" w:right="-108" w:rightChars="-45"/>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5分</w:t>
            </w:r>
          </w:p>
        </w:tc>
        <w:tc>
          <w:tcPr>
            <w:tcW w:w="7691" w:type="dxa"/>
            <w:tcBorders>
              <w:top w:val="single" w:color="auto" w:sz="4" w:space="0"/>
              <w:left w:val="single" w:color="auto" w:sz="4" w:space="0"/>
              <w:bottom w:val="single" w:color="auto" w:sz="4" w:space="0"/>
              <w:right w:val="single" w:color="auto" w:sz="4" w:space="0"/>
            </w:tcBorders>
          </w:tcPr>
          <w:p w14:paraId="4C1D5A61">
            <w:pPr>
              <w:tabs>
                <w:tab w:val="left" w:pos="0"/>
              </w:tabs>
              <w:spacing w:line="460" w:lineRule="exact"/>
              <w:rPr>
                <w:rFonts w:hint="eastAsia" w:ascii="宋体" w:hAnsi="宋体" w:eastAsia="宋体" w:cs="宋体"/>
                <w:snapToGrid w:val="0"/>
                <w:color w:val="auto"/>
                <w:sz w:val="24"/>
                <w:szCs w:val="24"/>
              </w:rPr>
            </w:pPr>
            <w:r>
              <w:rPr>
                <w:rFonts w:hint="eastAsia" w:hAnsi="宋体" w:cs="宋体"/>
                <w:color w:val="auto"/>
                <w:sz w:val="24"/>
                <w:szCs w:val="24"/>
                <w:lang w:eastAsia="zh-CN" w:bidi="ar"/>
              </w:rPr>
              <w:t>供货方案：</w:t>
            </w:r>
            <w:r>
              <w:rPr>
                <w:rFonts w:hint="eastAsia" w:ascii="宋体" w:hAnsi="宋体" w:eastAsia="宋体" w:cs="宋体"/>
                <w:color w:val="auto"/>
                <w:sz w:val="24"/>
                <w:szCs w:val="24"/>
                <w:lang w:bidi="ar"/>
              </w:rPr>
              <w:t>对投标人提供的供货方案进行综合评价，其中包括但不限于：①货物筹备方案；②货物配送进度计划；③货物配送具体方案措施；④货物交接具体方案；⑤到货后仓储保障措施</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br w:type="textWrapping"/>
            </w:r>
            <w:r>
              <w:rPr>
                <w:rFonts w:hint="eastAsia" w:ascii="宋体" w:hAnsi="宋体" w:eastAsia="宋体" w:cs="宋体"/>
                <w:color w:val="auto"/>
                <w:sz w:val="24"/>
                <w:szCs w:val="24"/>
                <w:lang w:bidi="ar"/>
              </w:rPr>
              <w:t>投标人针对上述所列内容进行详细阐述由评委会酌情赋分0-</w:t>
            </w:r>
            <w:r>
              <w:rPr>
                <w:rFonts w:hint="eastAsia" w:hAnsi="宋体" w:cs="宋体"/>
                <w:color w:val="auto"/>
                <w:sz w:val="24"/>
                <w:szCs w:val="24"/>
                <w:lang w:val="en-US" w:eastAsia="zh-CN" w:bidi="ar"/>
              </w:rPr>
              <w:t>5</w:t>
            </w:r>
            <w:r>
              <w:rPr>
                <w:rFonts w:hint="eastAsia" w:ascii="宋体" w:hAnsi="宋体" w:eastAsia="宋体" w:cs="宋体"/>
                <w:color w:val="auto"/>
                <w:sz w:val="24"/>
                <w:szCs w:val="24"/>
                <w:lang w:bidi="ar"/>
              </w:rPr>
              <w:t>分。</w:t>
            </w:r>
          </w:p>
        </w:tc>
      </w:tr>
      <w:tr w14:paraId="097A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45" w:type="dxa"/>
            <w:vMerge w:val="continue"/>
            <w:tcBorders>
              <w:left w:val="single" w:color="auto" w:sz="4" w:space="0"/>
              <w:right w:val="single" w:color="auto" w:sz="4" w:space="0"/>
            </w:tcBorders>
            <w:vAlign w:val="center"/>
          </w:tcPr>
          <w:p w14:paraId="7481ED07">
            <w:pPr>
              <w:spacing w:line="460" w:lineRule="exact"/>
              <w:jc w:val="center"/>
              <w:rPr>
                <w:rFonts w:hint="eastAsia" w:ascii="宋体" w:hAnsi="宋体" w:eastAsia="宋体" w:cs="宋体"/>
                <w:color w:val="auto"/>
                <w:sz w:val="24"/>
                <w:szCs w:val="24"/>
                <w:lang w:bidi="ar"/>
              </w:rPr>
            </w:pPr>
          </w:p>
        </w:tc>
        <w:tc>
          <w:tcPr>
            <w:tcW w:w="1054" w:type="dxa"/>
            <w:tcBorders>
              <w:left w:val="single" w:color="auto" w:sz="4" w:space="0"/>
              <w:bottom w:val="single" w:color="auto" w:sz="4" w:space="0"/>
              <w:right w:val="single" w:color="auto" w:sz="4" w:space="0"/>
            </w:tcBorders>
            <w:vAlign w:val="center"/>
          </w:tcPr>
          <w:p w14:paraId="3B009AF1">
            <w:pPr>
              <w:spacing w:line="480" w:lineRule="exact"/>
              <w:ind w:left="-134" w:leftChars="-56" w:right="-108" w:rightChars="-45"/>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3分</w:t>
            </w:r>
          </w:p>
        </w:tc>
        <w:tc>
          <w:tcPr>
            <w:tcW w:w="7691" w:type="dxa"/>
            <w:tcBorders>
              <w:top w:val="single" w:color="auto" w:sz="4" w:space="0"/>
              <w:left w:val="single" w:color="auto" w:sz="4" w:space="0"/>
              <w:bottom w:val="single" w:color="auto" w:sz="4" w:space="0"/>
              <w:right w:val="single" w:color="auto" w:sz="4" w:space="0"/>
            </w:tcBorders>
          </w:tcPr>
          <w:p w14:paraId="4E0765F2">
            <w:pPr>
              <w:tabs>
                <w:tab w:val="left" w:pos="0"/>
              </w:tabs>
              <w:spacing w:line="46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应急预案及措施</w:t>
            </w:r>
            <w:r>
              <w:rPr>
                <w:rFonts w:hint="eastAsia" w:hAnsi="宋体" w:cs="宋体"/>
                <w:color w:val="auto"/>
                <w:sz w:val="24"/>
                <w:szCs w:val="24"/>
                <w:lang w:eastAsia="zh-CN" w:bidi="ar"/>
              </w:rPr>
              <w:t>：</w:t>
            </w:r>
            <w:r>
              <w:rPr>
                <w:rFonts w:hint="eastAsia" w:ascii="宋体" w:hAnsi="宋体" w:eastAsia="宋体" w:cs="宋体"/>
                <w:color w:val="auto"/>
                <w:sz w:val="24"/>
                <w:szCs w:val="24"/>
                <w:lang w:bidi="ar"/>
              </w:rPr>
              <w:t>投标人针对本项目编制供货筹备工作、货物运输、货物仓储、安装及调试过程中可能出现的突发情况应急预案及具体的解决措施。由评委会酌情赋分0-</w:t>
            </w:r>
            <w:r>
              <w:rPr>
                <w:rFonts w:hint="eastAsia" w:hAnsi="宋体" w:cs="宋体"/>
                <w:color w:val="auto"/>
                <w:sz w:val="24"/>
                <w:szCs w:val="24"/>
                <w:lang w:val="en-US" w:eastAsia="zh-CN" w:bidi="ar"/>
              </w:rPr>
              <w:t>3</w:t>
            </w:r>
            <w:r>
              <w:rPr>
                <w:rFonts w:hint="eastAsia" w:ascii="宋体" w:hAnsi="宋体" w:eastAsia="宋体" w:cs="宋体"/>
                <w:color w:val="auto"/>
                <w:sz w:val="24"/>
                <w:szCs w:val="24"/>
                <w:lang w:bidi="ar"/>
              </w:rPr>
              <w:t>分。</w:t>
            </w:r>
          </w:p>
        </w:tc>
      </w:tr>
      <w:tr w14:paraId="4A8E8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45" w:type="dxa"/>
            <w:vMerge w:val="continue"/>
            <w:tcBorders>
              <w:left w:val="single" w:color="auto" w:sz="4" w:space="0"/>
              <w:bottom w:val="single" w:color="auto" w:sz="4" w:space="0"/>
              <w:right w:val="single" w:color="auto" w:sz="4" w:space="0"/>
            </w:tcBorders>
            <w:vAlign w:val="center"/>
          </w:tcPr>
          <w:p w14:paraId="690AA3F4">
            <w:pPr>
              <w:spacing w:line="460" w:lineRule="exact"/>
              <w:jc w:val="center"/>
              <w:rPr>
                <w:rFonts w:hint="eastAsia" w:ascii="宋体" w:hAnsi="宋体" w:eastAsia="宋体" w:cs="宋体"/>
                <w:color w:val="auto"/>
                <w:sz w:val="24"/>
                <w:szCs w:val="24"/>
                <w:lang w:bidi="ar"/>
              </w:rPr>
            </w:pPr>
          </w:p>
        </w:tc>
        <w:tc>
          <w:tcPr>
            <w:tcW w:w="1054" w:type="dxa"/>
            <w:tcBorders>
              <w:left w:val="single" w:color="auto" w:sz="4" w:space="0"/>
              <w:bottom w:val="single" w:color="auto" w:sz="4" w:space="0"/>
              <w:right w:val="single" w:color="auto" w:sz="4" w:space="0"/>
            </w:tcBorders>
            <w:vAlign w:val="center"/>
          </w:tcPr>
          <w:p w14:paraId="332A18F4">
            <w:pPr>
              <w:spacing w:line="480" w:lineRule="exact"/>
              <w:ind w:left="-134" w:leftChars="-56" w:right="-108" w:rightChars="-45"/>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3分</w:t>
            </w:r>
          </w:p>
        </w:tc>
        <w:tc>
          <w:tcPr>
            <w:tcW w:w="7691" w:type="dxa"/>
            <w:tcBorders>
              <w:top w:val="single" w:color="auto" w:sz="4" w:space="0"/>
              <w:left w:val="single" w:color="auto" w:sz="4" w:space="0"/>
              <w:bottom w:val="single" w:color="auto" w:sz="4" w:space="0"/>
              <w:right w:val="single" w:color="auto" w:sz="4" w:space="0"/>
            </w:tcBorders>
          </w:tcPr>
          <w:p w14:paraId="2DB2CB2B">
            <w:pPr>
              <w:tabs>
                <w:tab w:val="left" w:pos="0"/>
              </w:tabs>
              <w:spacing w:line="460" w:lineRule="exact"/>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验收方式与手段：</w:t>
            </w:r>
            <w:r>
              <w:rPr>
                <w:rFonts w:hint="eastAsia" w:ascii="宋体" w:hAnsi="宋体" w:cs="宋体"/>
                <w:snapToGrid w:val="0"/>
                <w:color w:val="auto"/>
                <w:sz w:val="24"/>
                <w:szCs w:val="24"/>
                <w:lang w:val="en-US" w:eastAsia="zh-CN"/>
              </w:rPr>
              <w:t>本项目中包括</w:t>
            </w:r>
            <w:r>
              <w:rPr>
                <w:rFonts w:hint="eastAsia" w:ascii="宋体" w:hAnsi="宋体" w:eastAsia="宋体" w:cs="宋体"/>
                <w:snapToGrid w:val="0"/>
                <w:color w:val="auto"/>
                <w:sz w:val="24"/>
                <w:szCs w:val="24"/>
              </w:rPr>
              <w:t>列出项目实施的验收条件、验收准备资料、验收方案及步骤</w:t>
            </w:r>
            <w:r>
              <w:rPr>
                <w:rFonts w:hint="eastAsia" w:hAnsi="宋体" w:cs="宋体"/>
                <w:snapToGrid w:val="0"/>
                <w:color w:val="auto"/>
                <w:sz w:val="24"/>
                <w:szCs w:val="24"/>
                <w:lang w:eastAsia="zh-CN"/>
              </w:rPr>
              <w:t>。</w:t>
            </w:r>
            <w:r>
              <w:rPr>
                <w:rFonts w:hint="eastAsia" w:hAnsi="宋体" w:cs="宋体"/>
                <w:snapToGrid w:val="0"/>
                <w:color w:val="auto"/>
                <w:sz w:val="24"/>
                <w:szCs w:val="24"/>
                <w:lang w:val="en-US" w:eastAsia="zh-CN"/>
              </w:rPr>
              <w:t>0-3分</w:t>
            </w:r>
            <w:r>
              <w:rPr>
                <w:rFonts w:hint="eastAsia" w:ascii="宋体" w:hAnsi="宋体" w:cs="宋体"/>
                <w:snapToGrid w:val="0"/>
                <w:color w:val="auto"/>
                <w:sz w:val="24"/>
                <w:szCs w:val="24"/>
                <w:lang w:val="en-US" w:eastAsia="zh-CN"/>
              </w:rPr>
              <w:t>。</w:t>
            </w:r>
          </w:p>
        </w:tc>
      </w:tr>
      <w:tr w14:paraId="1FF7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5" w:type="dxa"/>
            <w:tcBorders>
              <w:top w:val="single" w:color="auto" w:sz="4" w:space="0"/>
              <w:left w:val="single" w:color="auto" w:sz="4" w:space="0"/>
              <w:bottom w:val="single" w:color="auto" w:sz="4" w:space="0"/>
              <w:right w:val="single" w:color="auto" w:sz="4" w:space="0"/>
            </w:tcBorders>
            <w:vAlign w:val="center"/>
          </w:tcPr>
          <w:p w14:paraId="1D6BF9A7">
            <w:pPr>
              <w:keepNext w:val="0"/>
              <w:keepLines w:val="0"/>
              <w:widowControl w:val="0"/>
              <w:suppressLineNumbers w:val="0"/>
              <w:spacing w:before="0" w:beforeAutospacing="0" w:after="0" w:afterAutospacing="0" w:line="460" w:lineRule="exact"/>
              <w:ind w:left="0" w:leftChars="0" w:right="0" w:righ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质量保证措施</w:t>
            </w:r>
          </w:p>
        </w:tc>
        <w:tc>
          <w:tcPr>
            <w:tcW w:w="1054" w:type="dxa"/>
            <w:tcBorders>
              <w:top w:val="single" w:color="auto" w:sz="4" w:space="0"/>
              <w:left w:val="single" w:color="auto" w:sz="4" w:space="0"/>
              <w:bottom w:val="single" w:color="auto" w:sz="4" w:space="0"/>
              <w:right w:val="single" w:color="auto" w:sz="4" w:space="0"/>
            </w:tcBorders>
            <w:vAlign w:val="center"/>
          </w:tcPr>
          <w:p w14:paraId="696F6284">
            <w:pPr>
              <w:keepNext w:val="0"/>
              <w:keepLines w:val="0"/>
              <w:widowControl w:val="0"/>
              <w:suppressLineNumbers w:val="0"/>
              <w:spacing w:before="0" w:beforeAutospacing="0" w:after="0" w:afterAutospacing="0" w:line="460" w:lineRule="exact"/>
              <w:ind w:left="0" w:leftChars="0" w:right="0" w:rightChars="0" w:firstLine="240" w:firstLineChars="100"/>
              <w:jc w:val="both"/>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7</w:t>
            </w:r>
            <w:r>
              <w:rPr>
                <w:rFonts w:hint="eastAsia" w:ascii="宋体" w:hAnsi="宋体" w:eastAsia="宋体" w:cs="宋体"/>
                <w:color w:val="auto"/>
                <w:sz w:val="24"/>
                <w:szCs w:val="24"/>
                <w:lang w:val="en-US" w:eastAsia="zh-CN"/>
              </w:rPr>
              <w:t>分</w:t>
            </w:r>
          </w:p>
        </w:tc>
        <w:tc>
          <w:tcPr>
            <w:tcW w:w="7691" w:type="dxa"/>
            <w:tcBorders>
              <w:top w:val="single" w:color="auto" w:sz="4" w:space="0"/>
              <w:left w:val="single" w:color="auto" w:sz="4" w:space="0"/>
              <w:bottom w:val="single" w:color="auto" w:sz="4" w:space="0"/>
              <w:right w:val="single" w:color="auto" w:sz="4" w:space="0"/>
            </w:tcBorders>
            <w:vAlign w:val="center"/>
          </w:tcPr>
          <w:p w14:paraId="1997969F">
            <w:pPr>
              <w:keepNext w:val="0"/>
              <w:keepLines w:val="0"/>
              <w:widowControl w:val="0"/>
              <w:suppressLineNumbers w:val="0"/>
              <w:spacing w:before="0" w:beforeAutospacing="0" w:after="0" w:afterAutospacing="0" w:line="460" w:lineRule="exact"/>
              <w:ind w:left="0" w:leftChars="0" w:right="0" w:righ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投标人需针对本项目提供质量保证方案。内容包含：①质量管理组织保障体系；②全流程质量管控实施措施；③质量检测、检验与专项验收方案；④质量缺陷整改、质保售后与质量责任保障措施。</w:t>
            </w:r>
          </w:p>
          <w:p w14:paraId="22B76FDC">
            <w:pPr>
              <w:keepNext w:val="0"/>
              <w:keepLines w:val="0"/>
              <w:widowControl w:val="0"/>
              <w:suppressLineNumbers w:val="0"/>
              <w:spacing w:before="0" w:beforeAutospacing="0" w:after="0" w:afterAutospacing="0" w:line="460" w:lineRule="exact"/>
              <w:ind w:left="0" w:leftChars="0" w:right="0" w:righ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完整性：方案必须全面，对评审内容中的各项要求有详细描述； 2.可实施性：切合本项目实际情况，提出步骤清晰、合理的方案； 3.针对性：方案能够紧扣项目实际情况，内容科学合理。</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三、赋分依据：提供的上述4项内容完整可行得</w:t>
            </w:r>
            <w:r>
              <w:rPr>
                <w:rFonts w:hint="eastAsia" w:hAnsi="宋体" w:cs="宋体"/>
                <w:color w:val="auto"/>
                <w:sz w:val="24"/>
                <w:szCs w:val="24"/>
                <w:lang w:val="en-US" w:eastAsia="zh-CN"/>
              </w:rPr>
              <w:t>7</w:t>
            </w:r>
            <w:r>
              <w:rPr>
                <w:rFonts w:hint="eastAsia" w:ascii="宋体" w:hAnsi="宋体" w:eastAsia="宋体" w:cs="宋体"/>
                <w:color w:val="auto"/>
                <w:sz w:val="24"/>
                <w:szCs w:val="24"/>
                <w:lang w:val="en-US" w:eastAsia="zh-CN"/>
              </w:rPr>
              <w:t>分；每有一项未提供扣1分，每有一处有缺陷扣0.5分，扣完为止。（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36E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345" w:type="dxa"/>
            <w:tcBorders>
              <w:top w:val="single" w:color="auto" w:sz="4" w:space="0"/>
              <w:left w:val="single" w:color="auto" w:sz="4" w:space="0"/>
              <w:bottom w:val="single" w:color="auto" w:sz="4" w:space="0"/>
              <w:right w:val="single" w:color="auto" w:sz="4" w:space="0"/>
            </w:tcBorders>
            <w:vAlign w:val="center"/>
          </w:tcPr>
          <w:p w14:paraId="6526E95C">
            <w:pPr>
              <w:spacing w:line="480" w:lineRule="atLeast"/>
              <w:ind w:right="-95" w:firstLine="240" w:firstLineChars="100"/>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售后服务</w:t>
            </w:r>
          </w:p>
          <w:p w14:paraId="65E4B280">
            <w:pPr>
              <w:spacing w:line="480" w:lineRule="atLeast"/>
              <w:ind w:right="-95"/>
              <w:jc w:val="both"/>
              <w:rPr>
                <w:rFonts w:hint="eastAsia" w:ascii="宋体" w:hAnsi="宋体" w:eastAsia="宋体" w:cs="宋体"/>
                <w:color w:val="auto"/>
                <w:sz w:val="24"/>
                <w:szCs w:val="24"/>
                <w:lang w:bidi="ar"/>
              </w:rPr>
            </w:pPr>
            <w:r>
              <w:rPr>
                <w:rFonts w:hint="eastAsia" w:hAnsi="宋体" w:cs="宋体"/>
                <w:color w:val="auto"/>
                <w:sz w:val="24"/>
                <w:szCs w:val="24"/>
                <w:lang w:val="en-US" w:eastAsia="zh-CN" w:bidi="ar"/>
              </w:rPr>
              <w:t xml:space="preserve"> </w:t>
            </w:r>
          </w:p>
        </w:tc>
        <w:tc>
          <w:tcPr>
            <w:tcW w:w="1054" w:type="dxa"/>
            <w:tcBorders>
              <w:top w:val="single" w:color="auto" w:sz="4" w:space="0"/>
              <w:left w:val="single" w:color="auto" w:sz="4" w:space="0"/>
              <w:bottom w:val="single" w:color="auto" w:sz="4" w:space="0"/>
              <w:right w:val="single" w:color="auto" w:sz="4" w:space="0"/>
            </w:tcBorders>
            <w:vAlign w:val="center"/>
          </w:tcPr>
          <w:p w14:paraId="6D6F03FA">
            <w:pPr>
              <w:spacing w:line="480" w:lineRule="atLeast"/>
              <w:ind w:right="-95" w:firstLine="240" w:firstLineChars="100"/>
              <w:jc w:val="both"/>
              <w:rPr>
                <w:rFonts w:hint="default" w:ascii="宋体" w:hAnsi="宋体" w:eastAsia="宋体" w:cs="宋体"/>
                <w:color w:val="auto"/>
                <w:sz w:val="24"/>
                <w:szCs w:val="24"/>
                <w:lang w:val="en-US" w:eastAsia="zh-CN" w:bidi="ar"/>
              </w:rPr>
            </w:pPr>
            <w:r>
              <w:rPr>
                <w:rFonts w:hint="eastAsia" w:hAnsi="宋体" w:cs="宋体"/>
                <w:color w:val="auto"/>
                <w:sz w:val="24"/>
                <w:szCs w:val="24"/>
                <w:lang w:val="en-US" w:eastAsia="zh-CN" w:bidi="ar"/>
              </w:rPr>
              <w:t>17分</w:t>
            </w:r>
          </w:p>
        </w:tc>
        <w:tc>
          <w:tcPr>
            <w:tcW w:w="7691" w:type="dxa"/>
            <w:tcBorders>
              <w:top w:val="single" w:color="auto" w:sz="4" w:space="0"/>
              <w:left w:val="single" w:color="auto" w:sz="4" w:space="0"/>
              <w:bottom w:val="single" w:color="auto" w:sz="4" w:space="0"/>
              <w:right w:val="single" w:color="auto" w:sz="4" w:space="0"/>
            </w:tcBorders>
            <w:vAlign w:val="center"/>
          </w:tcPr>
          <w:p w14:paraId="144EE294">
            <w:pPr>
              <w:spacing w:line="480" w:lineRule="atLeast"/>
              <w:ind w:right="-95"/>
              <w:jc w:val="both"/>
              <w:rPr>
                <w:rFonts w:hint="eastAsia" w:eastAsia="宋体"/>
                <w:color w:val="auto"/>
                <w:lang w:eastAsia="zh-CN"/>
              </w:rPr>
            </w:pPr>
            <w:r>
              <w:rPr>
                <w:rFonts w:hint="eastAsia" w:eastAsia="宋体"/>
                <w:color w:val="auto"/>
                <w:lang w:eastAsia="zh-CN"/>
              </w:rPr>
              <w:t>投标人需针对本项目提供售后服务方案。内容包含：①售后服务范围②配送调试措施③维修服务。</w:t>
            </w:r>
            <w:r>
              <w:rPr>
                <w:rFonts w:hint="eastAsia" w:eastAsia="宋体"/>
                <w:color w:val="auto"/>
                <w:lang w:eastAsia="zh-CN"/>
              </w:rPr>
              <w:br w:type="textWrapping"/>
            </w:r>
            <w:r>
              <w:rPr>
                <w:rFonts w:hint="eastAsia" w:eastAsia="宋体"/>
                <w:color w:val="auto"/>
                <w:lang w:eastAsia="zh-CN"/>
              </w:rPr>
              <w:t>1.完整性：方案必须全面，对评审内容中的各项要求有详细描述；2.可实施性：切合本项目实际情况，提出步骤清晰、合理的方案； 3.针对性：方案能够紧扣项目实际情况，内容科学合理。</w:t>
            </w:r>
            <w:r>
              <w:rPr>
                <w:rFonts w:hint="eastAsia" w:eastAsia="宋体"/>
                <w:color w:val="auto"/>
                <w:lang w:eastAsia="zh-CN"/>
              </w:rPr>
              <w:br w:type="textWrapping"/>
            </w:r>
            <w:r>
              <w:rPr>
                <w:rFonts w:hint="eastAsia" w:eastAsia="宋体"/>
                <w:color w:val="auto"/>
                <w:lang w:eastAsia="zh-CN"/>
              </w:rPr>
              <w:t>三、赋分依据：提供的上述</w:t>
            </w:r>
            <w:r>
              <w:rPr>
                <w:rFonts w:hint="eastAsia"/>
                <w:color w:val="auto"/>
                <w:lang w:val="en-US" w:eastAsia="zh-CN"/>
              </w:rPr>
              <w:t>3</w:t>
            </w:r>
            <w:r>
              <w:rPr>
                <w:rFonts w:hint="eastAsia" w:eastAsia="宋体"/>
                <w:color w:val="auto"/>
                <w:lang w:eastAsia="zh-CN"/>
              </w:rPr>
              <w:t>项内容完整可行得</w:t>
            </w:r>
            <w:r>
              <w:rPr>
                <w:rFonts w:hint="eastAsia"/>
                <w:color w:val="auto"/>
                <w:lang w:val="en-US" w:eastAsia="zh-CN"/>
              </w:rPr>
              <w:t>17</w:t>
            </w:r>
            <w:r>
              <w:rPr>
                <w:rFonts w:hint="eastAsia" w:eastAsia="宋体"/>
                <w:color w:val="auto"/>
                <w:lang w:eastAsia="zh-CN"/>
              </w:rPr>
              <w:t>分；每有一项未提供扣1分，每有一处有缺陷扣0.5分，扣完为止。（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bl>
    <w:p w14:paraId="5C93AA55">
      <w:pPr>
        <w:spacing w:line="288" w:lineRule="auto"/>
        <w:rPr>
          <w:rFonts w:hint="eastAsia" w:ascii="宋体" w:hAnsi="宋体" w:eastAsia="宋体" w:cs="宋体"/>
          <w:b/>
          <w:bCs/>
          <w:color w:val="auto"/>
          <w:szCs w:val="24"/>
        </w:rPr>
      </w:pPr>
    </w:p>
    <w:p w14:paraId="02282BB1">
      <w:pPr>
        <w:spacing w:line="288" w:lineRule="auto"/>
        <w:rPr>
          <w:rFonts w:hint="eastAsia" w:ascii="宋体" w:hAnsi="宋体" w:eastAsia="宋体" w:cs="宋体"/>
          <w:color w:val="auto"/>
          <w:szCs w:val="24"/>
        </w:rPr>
      </w:pPr>
      <w:r>
        <w:rPr>
          <w:rFonts w:hint="eastAsia" w:ascii="宋体" w:hAnsi="宋体" w:eastAsia="宋体" w:cs="宋体"/>
          <w:b/>
          <w:bCs/>
          <w:color w:val="auto"/>
          <w:szCs w:val="24"/>
        </w:rPr>
        <w:t>注：</w:t>
      </w:r>
      <w:r>
        <w:rPr>
          <w:rFonts w:hint="eastAsia" w:ascii="宋体" w:hAnsi="宋体" w:eastAsia="宋体" w:cs="宋体"/>
          <w:color w:val="auto"/>
          <w:szCs w:val="24"/>
        </w:rPr>
        <w:t>1.评委打分超过得分界限或未按本方法赋分时，该评委的打分按废</w:t>
      </w:r>
      <w:r>
        <w:rPr>
          <w:rFonts w:hint="eastAsia" w:ascii="宋体" w:hAnsi="宋体" w:eastAsia="宋体" w:cs="宋体"/>
          <w:color w:val="auto"/>
          <w:szCs w:val="24"/>
          <w:lang w:val="en-US" w:eastAsia="zh-CN"/>
        </w:rPr>
        <w:t>标</w:t>
      </w:r>
      <w:r>
        <w:rPr>
          <w:rFonts w:hint="eastAsia" w:ascii="宋体" w:hAnsi="宋体" w:eastAsia="宋体" w:cs="宋体"/>
          <w:color w:val="auto"/>
          <w:szCs w:val="24"/>
        </w:rPr>
        <w:t>处理。</w:t>
      </w:r>
    </w:p>
    <w:p w14:paraId="18AA1AB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2.各种计算数字均保留两位小数，第三位“四舍五入”。</w:t>
      </w:r>
    </w:p>
    <w:p w14:paraId="60344E46">
      <w:pPr>
        <w:spacing w:line="288" w:lineRule="auto"/>
        <w:ind w:firstLine="480" w:firstLineChars="200"/>
        <w:rPr>
          <w:rFonts w:hint="eastAsia" w:ascii="宋体" w:hAnsi="宋体" w:eastAsia="宋体" w:cs="宋体"/>
          <w:color w:val="auto"/>
        </w:rPr>
      </w:pPr>
      <w:r>
        <w:rPr>
          <w:rFonts w:hint="eastAsia" w:ascii="宋体" w:hAnsi="宋体" w:eastAsia="宋体" w:cs="宋体"/>
          <w:color w:val="auto"/>
          <w:szCs w:val="24"/>
        </w:rPr>
        <w:t>3.表内分值重叠数上限数不包括本数，下限数包括本数。</w:t>
      </w:r>
    </w:p>
    <w:p w14:paraId="53FD3E6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4.特殊情况处理：</w:t>
      </w:r>
    </w:p>
    <w:p w14:paraId="508BD8FD">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A.当投标人某评分项出现未报、漏报，该分项得零分，零报价时不参与投标报价分的计算。</w:t>
      </w:r>
    </w:p>
    <w:p w14:paraId="32C41BAA">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B.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9AEF33E">
      <w:pPr>
        <w:ind w:firstLine="480" w:firstLineChars="200"/>
        <w:rPr>
          <w:rFonts w:hint="eastAsia" w:ascii="宋体" w:hAnsi="宋体" w:eastAsia="宋体" w:cs="宋体"/>
          <w:color w:val="auto"/>
          <w:szCs w:val="24"/>
        </w:rPr>
      </w:pPr>
      <w:r>
        <w:rPr>
          <w:rFonts w:hint="eastAsia" w:ascii="宋体" w:hAnsi="宋体" w:eastAsia="宋体" w:cs="宋体"/>
          <w:color w:val="auto"/>
          <w:szCs w:val="24"/>
        </w:rPr>
        <w:t>C.评议过程中，若出现本评分方法以外的特殊情况时，将暂停评审，待评标委员会商榷后再进行复会。</w:t>
      </w:r>
    </w:p>
    <w:p w14:paraId="21E2DE61">
      <w:pPr>
        <w:spacing w:line="288" w:lineRule="auto"/>
        <w:ind w:firstLine="480" w:firstLineChars="200"/>
        <w:rPr>
          <w:rFonts w:hint="eastAsia" w:ascii="宋体" w:hAnsi="宋体" w:eastAsia="宋体" w:cs="宋体"/>
          <w:color w:val="auto"/>
          <w:szCs w:val="24"/>
        </w:rPr>
      </w:pPr>
    </w:p>
    <w:p w14:paraId="7567CB58">
      <w:pPr>
        <w:rPr>
          <w:rFonts w:hint="eastAsia" w:ascii="宋体" w:hAnsi="宋体" w:eastAsia="宋体" w:cs="宋体"/>
          <w:color w:val="auto"/>
          <w:sz w:val="32"/>
          <w:szCs w:val="32"/>
        </w:rPr>
      </w:pPr>
      <w:bookmarkStart w:id="167" w:name="_Toc1331"/>
      <w:r>
        <w:rPr>
          <w:rFonts w:hint="eastAsia" w:ascii="宋体" w:hAnsi="宋体" w:eastAsia="宋体" w:cs="宋体"/>
          <w:color w:val="auto"/>
          <w:sz w:val="32"/>
          <w:szCs w:val="32"/>
        </w:rPr>
        <w:br w:type="page"/>
      </w:r>
    </w:p>
    <w:p w14:paraId="403C0FCF">
      <w:pPr>
        <w:pStyle w:val="2"/>
        <w:rPr>
          <w:rFonts w:hint="eastAsia" w:ascii="宋体" w:hAnsi="宋体" w:eastAsia="宋体" w:cs="宋体"/>
          <w:color w:val="auto"/>
          <w:sz w:val="24"/>
          <w:szCs w:val="24"/>
        </w:rPr>
      </w:pPr>
      <w:r>
        <w:rPr>
          <w:rFonts w:hint="eastAsia" w:ascii="宋体" w:hAnsi="宋体" w:eastAsia="宋体" w:cs="宋体"/>
          <w:color w:val="auto"/>
          <w:sz w:val="32"/>
          <w:szCs w:val="32"/>
        </w:rPr>
        <w:t>第四章 招标采购内容及</w:t>
      </w:r>
      <w:bookmarkEnd w:id="167"/>
      <w:r>
        <w:rPr>
          <w:rFonts w:hint="eastAsia" w:ascii="宋体" w:hAnsi="宋体" w:eastAsia="宋体" w:cs="宋体"/>
          <w:color w:val="auto"/>
          <w:sz w:val="32"/>
          <w:szCs w:val="32"/>
        </w:rPr>
        <w:t>要求</w:t>
      </w:r>
    </w:p>
    <w:p w14:paraId="71C36132">
      <w:pPr>
        <w:pStyle w:val="9"/>
        <w:spacing w:before="208" w:line="221" w:lineRule="auto"/>
        <w:ind w:left="689"/>
        <w:outlineLvl w:val="2"/>
        <w:rPr>
          <w:rFonts w:ascii="宋体" w:hAnsi="宋体" w:eastAsia="宋体" w:cs="Times New Roman"/>
          <w:b/>
          <w:bCs/>
          <w:kern w:val="0"/>
          <w:sz w:val="24"/>
          <w:lang w:val="en-US" w:eastAsia="zh-CN" w:bidi="ar-SA"/>
        </w:rPr>
      </w:pPr>
      <w:r>
        <w:rPr>
          <w:rFonts w:ascii="宋体" w:hAnsi="宋体" w:eastAsia="宋体" w:cs="Times New Roman"/>
          <w:b/>
          <w:bCs/>
          <w:kern w:val="0"/>
          <w:sz w:val="24"/>
          <w:lang w:val="en-US" w:eastAsia="zh-CN" w:bidi="ar-SA"/>
        </w:rPr>
        <w:t>一、采购项目名称</w:t>
      </w:r>
    </w:p>
    <w:p w14:paraId="035B232B">
      <w:pPr>
        <w:pStyle w:val="9"/>
        <w:spacing w:before="1" w:line="221" w:lineRule="auto"/>
        <w:ind w:firstLine="720" w:firstLineChars="300"/>
        <w:outlineLvl w:val="2"/>
        <w:rPr>
          <w:rFonts w:hint="eastAsia" w:ascii="宋体" w:hAnsi="宋体" w:eastAsia="宋体" w:cs="Times New Roman"/>
          <w:b w:val="0"/>
          <w:bCs w:val="0"/>
          <w:kern w:val="0"/>
          <w:sz w:val="24"/>
          <w:lang w:val="en-US" w:eastAsia="zh-CN" w:bidi="ar-SA"/>
        </w:rPr>
      </w:pPr>
      <w:r>
        <w:rPr>
          <w:rFonts w:hint="eastAsia" w:ascii="宋体" w:hAnsi="宋体" w:cs="Times New Roman"/>
          <w:b w:val="0"/>
          <w:bCs w:val="0"/>
          <w:kern w:val="0"/>
          <w:sz w:val="24"/>
          <w:lang w:val="en-US" w:eastAsia="zh-CN" w:bidi="ar-SA"/>
        </w:rPr>
        <w:t>清涧县2025年黄河流域湿地保护与修复项目（二次）</w:t>
      </w:r>
    </w:p>
    <w:p w14:paraId="353174F4">
      <w:pPr>
        <w:pStyle w:val="9"/>
        <w:spacing w:before="1" w:line="221" w:lineRule="auto"/>
        <w:ind w:left="689"/>
        <w:outlineLvl w:val="2"/>
        <w:rPr>
          <w:rFonts w:ascii="宋体" w:hAnsi="宋体" w:eastAsia="宋体" w:cs="Times New Roman"/>
          <w:b/>
          <w:bCs/>
          <w:kern w:val="0"/>
          <w:sz w:val="24"/>
          <w:lang w:val="en-US" w:eastAsia="zh-CN" w:bidi="ar-SA"/>
        </w:rPr>
      </w:pPr>
      <w:r>
        <w:rPr>
          <w:rFonts w:ascii="宋体" w:hAnsi="宋体" w:eastAsia="宋体" w:cs="Times New Roman"/>
          <w:b/>
          <w:bCs/>
          <w:kern w:val="0"/>
          <w:sz w:val="24"/>
          <w:lang w:val="en-US" w:eastAsia="zh-CN" w:bidi="ar-SA"/>
        </w:rPr>
        <w:t>二、采购项目预算资金构成和采购方式</w:t>
      </w:r>
    </w:p>
    <w:p w14:paraId="22F4780B">
      <w:pPr>
        <w:pStyle w:val="9"/>
        <w:spacing w:before="242" w:line="222" w:lineRule="auto"/>
        <w:ind w:left="684"/>
        <w:rPr>
          <w:rFonts w:ascii="宋体" w:hAnsi="宋体" w:eastAsia="宋体" w:cs="Times New Roman"/>
          <w:kern w:val="0"/>
          <w:sz w:val="24"/>
          <w:lang w:val="en-US" w:eastAsia="zh-CN" w:bidi="ar-SA"/>
        </w:rPr>
      </w:pPr>
      <w:r>
        <w:rPr>
          <w:rFonts w:ascii="宋体" w:hAnsi="宋体" w:eastAsia="宋体" w:cs="Times New Roman"/>
          <w:kern w:val="0"/>
          <w:sz w:val="24"/>
          <w:lang w:val="en-US" w:eastAsia="zh-CN" w:bidi="ar-SA"/>
        </w:rPr>
        <w:t>1、采购项目预算：</w:t>
      </w:r>
      <w:r>
        <w:rPr>
          <w:rFonts w:hint="eastAsia" w:ascii="宋体" w:hAnsi="宋体" w:cs="Times New Roman"/>
          <w:kern w:val="0"/>
          <w:sz w:val="24"/>
          <w:lang w:val="en-US" w:eastAsia="zh-CN" w:bidi="ar-SA"/>
        </w:rPr>
        <w:t>300</w:t>
      </w:r>
      <w:r>
        <w:rPr>
          <w:rFonts w:ascii="宋体" w:hAnsi="宋体" w:eastAsia="宋体" w:cs="Times New Roman"/>
          <w:kern w:val="0"/>
          <w:sz w:val="24"/>
          <w:lang w:val="en-US" w:eastAsia="zh-CN" w:bidi="ar-SA"/>
        </w:rPr>
        <w:t>万元。</w:t>
      </w:r>
    </w:p>
    <w:p w14:paraId="7A932597">
      <w:pPr>
        <w:pStyle w:val="9"/>
        <w:spacing w:before="230" w:line="222" w:lineRule="auto"/>
        <w:ind w:left="684"/>
        <w:rPr>
          <w:rFonts w:ascii="宋体" w:hAnsi="宋体" w:eastAsia="宋体" w:cs="Times New Roman"/>
          <w:kern w:val="0"/>
          <w:sz w:val="24"/>
          <w:lang w:val="en-US" w:eastAsia="zh-CN" w:bidi="ar-SA"/>
        </w:rPr>
      </w:pPr>
      <w:r>
        <w:rPr>
          <w:rFonts w:hint="eastAsia" w:ascii="宋体" w:hAnsi="宋体" w:cs="Times New Roman"/>
          <w:kern w:val="0"/>
          <w:sz w:val="24"/>
          <w:lang w:val="en-US" w:eastAsia="zh-CN" w:bidi="ar-SA"/>
        </w:rPr>
        <w:t>2</w:t>
      </w:r>
      <w:r>
        <w:rPr>
          <w:rFonts w:ascii="宋体" w:hAnsi="宋体" w:eastAsia="宋体" w:cs="Times New Roman"/>
          <w:kern w:val="0"/>
          <w:sz w:val="24"/>
          <w:lang w:val="en-US" w:eastAsia="zh-CN" w:bidi="ar-SA"/>
        </w:rPr>
        <w:t>、采购方式：公开招标方式。</w:t>
      </w:r>
    </w:p>
    <w:p w14:paraId="5A4556D3">
      <w:pPr>
        <w:pStyle w:val="9"/>
        <w:spacing w:before="212" w:line="222" w:lineRule="auto"/>
        <w:ind w:left="689"/>
        <w:outlineLvl w:val="2"/>
        <w:rPr>
          <w:rFonts w:ascii="宋体" w:hAnsi="宋体" w:eastAsia="宋体" w:cs="Times New Roman"/>
          <w:b/>
          <w:bCs/>
          <w:kern w:val="0"/>
          <w:sz w:val="24"/>
          <w:lang w:val="en-US" w:eastAsia="zh-CN" w:bidi="ar-SA"/>
        </w:rPr>
      </w:pPr>
      <w:r>
        <w:rPr>
          <w:rFonts w:ascii="宋体" w:hAnsi="宋体" w:eastAsia="宋体" w:cs="Times New Roman"/>
          <w:b/>
          <w:bCs/>
          <w:kern w:val="0"/>
          <w:sz w:val="24"/>
          <w:lang w:val="en-US" w:eastAsia="zh-CN" w:bidi="ar-SA"/>
        </w:rPr>
        <w:t>三、具体采购需求</w:t>
      </w:r>
    </w:p>
    <w:p w14:paraId="06ABCC0C">
      <w:pPr>
        <w:pStyle w:val="9"/>
        <w:spacing w:before="218" w:line="291" w:lineRule="auto"/>
        <w:ind w:left="44" w:right="15" w:firstLine="639"/>
        <w:rPr>
          <w:rFonts w:hint="eastAsia" w:ascii="宋体" w:hAnsi="宋体" w:eastAsia="宋体" w:cs="Times New Roman"/>
          <w:kern w:val="0"/>
          <w:sz w:val="24"/>
          <w:lang w:val="en-US" w:eastAsia="zh-CN" w:bidi="ar-SA"/>
        </w:rPr>
      </w:pPr>
      <w:r>
        <w:rPr>
          <w:rFonts w:ascii="宋体" w:hAnsi="宋体" w:eastAsia="宋体" w:cs="Times New Roman"/>
          <w:kern w:val="0"/>
          <w:sz w:val="24"/>
          <w:lang w:val="en-US" w:eastAsia="zh-CN" w:bidi="ar-SA"/>
        </w:rPr>
        <w:t>1、采购内</w:t>
      </w:r>
      <w:r>
        <w:rPr>
          <w:rFonts w:hint="eastAsia" w:ascii="宋体" w:hAnsi="宋体" w:eastAsia="宋体" w:cs="Times New Roman"/>
          <w:kern w:val="0"/>
          <w:sz w:val="24"/>
          <w:lang w:val="en-US" w:eastAsia="zh-CN" w:bidi="ar-SA"/>
        </w:rPr>
        <w:t>容：2025年黄河流域湿地保护与修复项目</w:t>
      </w:r>
    </w:p>
    <w:p w14:paraId="7F7C2CB4">
      <w:pPr>
        <w:pStyle w:val="9"/>
        <w:spacing w:before="218" w:line="291" w:lineRule="auto"/>
        <w:ind w:left="44" w:right="15" w:firstLine="639"/>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3、项目验收方式：项目须通过最终验收。</w:t>
      </w:r>
    </w:p>
    <w:p w14:paraId="517A5BE4">
      <w:pPr>
        <w:pStyle w:val="9"/>
        <w:spacing w:before="218" w:line="291" w:lineRule="auto"/>
        <w:ind w:left="44" w:right="15" w:firstLine="639"/>
        <w:rPr>
          <w:rFonts w:ascii="宋体" w:hAnsi="宋体" w:eastAsia="宋体" w:cs="Times New Roman"/>
          <w:kern w:val="0"/>
          <w:sz w:val="24"/>
          <w:lang w:val="en-US" w:eastAsia="zh-CN" w:bidi="ar-SA"/>
        </w:rPr>
      </w:pPr>
      <w:r>
        <w:rPr>
          <w:rFonts w:ascii="宋体" w:hAnsi="宋体" w:eastAsia="宋体" w:cs="Times New Roman"/>
          <w:kern w:val="0"/>
          <w:sz w:val="24"/>
          <w:lang w:val="en-US" w:eastAsia="zh-CN" w:bidi="ar-SA"/>
        </w:rPr>
        <w:t>4、资金结算方式：非现金结算。</w:t>
      </w:r>
    </w:p>
    <w:p w14:paraId="028E31A6">
      <w:pPr>
        <w:pStyle w:val="9"/>
        <w:spacing w:before="218" w:line="291" w:lineRule="auto"/>
        <w:ind w:left="44" w:right="15" w:firstLine="639"/>
        <w:rPr>
          <w:rFonts w:hint="default" w:ascii="宋体" w:hAnsi="宋体" w:eastAsia="宋体" w:cs="Times New Roman"/>
          <w:kern w:val="0"/>
          <w:sz w:val="24"/>
          <w:lang w:val="en-US" w:eastAsia="zh-CN" w:bidi="ar-SA"/>
        </w:rPr>
      </w:pPr>
      <w:r>
        <w:rPr>
          <w:rFonts w:ascii="宋体" w:hAnsi="宋体" w:eastAsia="宋体" w:cs="Times New Roman"/>
          <w:kern w:val="0"/>
          <w:sz w:val="24"/>
          <w:lang w:val="en-US" w:eastAsia="zh-CN" w:bidi="ar-SA"/>
        </w:rPr>
        <w:t>5、项目</w:t>
      </w:r>
      <w:r>
        <w:rPr>
          <w:rFonts w:hint="eastAsia" w:ascii="宋体" w:hAnsi="宋体" w:eastAsia="宋体" w:cs="Times New Roman"/>
          <w:kern w:val="0"/>
          <w:sz w:val="24"/>
          <w:lang w:val="en-US" w:eastAsia="zh-CN" w:bidi="ar-SA"/>
        </w:rPr>
        <w:t>供货期</w:t>
      </w:r>
      <w:r>
        <w:rPr>
          <w:rFonts w:ascii="宋体" w:hAnsi="宋体" w:eastAsia="宋体" w:cs="Times New Roman"/>
          <w:kern w:val="0"/>
          <w:sz w:val="24"/>
          <w:lang w:val="en-US" w:eastAsia="zh-CN" w:bidi="ar-SA"/>
        </w:rPr>
        <w:t>：</w:t>
      </w:r>
      <w:r>
        <w:rPr>
          <w:rFonts w:hint="eastAsia" w:ascii="宋体" w:hAnsi="宋体" w:eastAsia="宋体" w:cs="Times New Roman"/>
          <w:kern w:val="0"/>
          <w:sz w:val="24"/>
          <w:lang w:val="en-US" w:eastAsia="zh-CN" w:bidi="ar-SA"/>
        </w:rPr>
        <w:t>30天</w:t>
      </w:r>
    </w:p>
    <w:p w14:paraId="57A7FF74">
      <w:pPr>
        <w:pStyle w:val="9"/>
        <w:spacing w:before="302" w:line="222" w:lineRule="auto"/>
        <w:ind w:left="689"/>
        <w:outlineLvl w:val="2"/>
        <w:rPr>
          <w:rFonts w:ascii="宋体" w:hAnsi="宋体" w:eastAsia="宋体" w:cs="Times New Roman"/>
          <w:b/>
          <w:bCs/>
          <w:kern w:val="0"/>
          <w:sz w:val="24"/>
          <w:lang w:val="en-US" w:eastAsia="zh-CN" w:bidi="ar-SA"/>
        </w:rPr>
      </w:pPr>
      <w:r>
        <w:rPr>
          <w:rFonts w:ascii="宋体" w:hAnsi="宋体" w:eastAsia="宋体" w:cs="Times New Roman"/>
          <w:b/>
          <w:bCs/>
          <w:kern w:val="0"/>
          <w:sz w:val="24"/>
          <w:lang w:val="en-US" w:eastAsia="zh-CN" w:bidi="ar-SA"/>
        </w:rPr>
        <w:t>四 、履约验收标准和方法</w:t>
      </w:r>
    </w:p>
    <w:p w14:paraId="452EDC3C">
      <w:pPr>
        <w:pStyle w:val="9"/>
        <w:spacing w:before="209" w:line="240" w:lineRule="auto"/>
        <w:ind w:left="684"/>
        <w:rPr>
          <w:rFonts w:ascii="宋体" w:hAnsi="宋体" w:eastAsia="宋体" w:cs="Times New Roman"/>
          <w:kern w:val="0"/>
          <w:sz w:val="24"/>
          <w:lang w:val="en-US" w:eastAsia="zh-CN" w:bidi="ar-SA"/>
        </w:rPr>
      </w:pPr>
      <w:r>
        <w:rPr>
          <w:rFonts w:ascii="宋体" w:hAnsi="宋体" w:eastAsia="宋体" w:cs="Times New Roman"/>
          <w:kern w:val="0"/>
          <w:sz w:val="24"/>
          <w:lang w:val="en-US" w:eastAsia="zh-CN" w:bidi="ar-SA"/>
        </w:rPr>
        <w:t>1、履约验收时间：</w:t>
      </w:r>
      <w:r>
        <w:rPr>
          <w:rFonts w:hint="eastAsia" w:ascii="宋体" w:hAnsi="宋体" w:eastAsia="宋体" w:cs="Times New Roman"/>
          <w:kern w:val="0"/>
          <w:sz w:val="24"/>
          <w:lang w:val="en-US" w:eastAsia="zh-CN" w:bidi="ar-SA"/>
        </w:rPr>
        <w:t>项目竣工后。</w:t>
      </w:r>
    </w:p>
    <w:p w14:paraId="060A3B2A">
      <w:pPr>
        <w:pStyle w:val="9"/>
        <w:spacing w:before="209" w:line="240" w:lineRule="auto"/>
        <w:ind w:left="684"/>
        <w:rPr>
          <w:rFonts w:hint="eastAsia" w:ascii="宋体" w:hAnsi="宋体" w:eastAsia="宋体" w:cs="Times New Roman"/>
          <w:kern w:val="0"/>
          <w:sz w:val="24"/>
          <w:lang w:val="en-US" w:eastAsia="zh-CN" w:bidi="ar-SA"/>
        </w:rPr>
      </w:pPr>
      <w:r>
        <w:rPr>
          <w:rFonts w:ascii="宋体" w:hAnsi="宋体" w:eastAsia="宋体" w:cs="Times New Roman"/>
          <w:kern w:val="0"/>
          <w:sz w:val="24"/>
          <w:lang w:val="en-US" w:eastAsia="zh-CN" w:bidi="ar-SA"/>
        </w:rPr>
        <w:t>2、履约验收主体：</w:t>
      </w:r>
      <w:r>
        <w:rPr>
          <w:rFonts w:hint="eastAsia" w:ascii="宋体" w:hAnsi="宋体" w:eastAsia="宋体" w:cs="Times New Roman"/>
          <w:kern w:val="0"/>
          <w:sz w:val="24"/>
          <w:lang w:val="en-US" w:eastAsia="zh-CN" w:bidi="ar-SA"/>
        </w:rPr>
        <w:t>清涧县林业工作站。</w:t>
      </w:r>
    </w:p>
    <w:p w14:paraId="16BAD6CC">
      <w:pPr>
        <w:pStyle w:val="9"/>
        <w:spacing w:before="209" w:line="240" w:lineRule="auto"/>
        <w:ind w:left="684"/>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w:t>
      </w:r>
      <w:r>
        <w:rPr>
          <w:rFonts w:ascii="宋体" w:hAnsi="宋体" w:eastAsia="宋体" w:cs="Times New Roman"/>
          <w:kern w:val="0"/>
          <w:sz w:val="24"/>
          <w:lang w:val="en-US" w:eastAsia="zh-CN" w:bidi="ar-SA"/>
        </w:rPr>
        <w:t xml:space="preserve">、验收方式： </w:t>
      </w:r>
      <w:r>
        <w:rPr>
          <w:rFonts w:hint="eastAsia" w:ascii="宋体" w:hAnsi="宋体" w:eastAsia="宋体" w:cs="Times New Roman"/>
          <w:kern w:val="0"/>
          <w:sz w:val="24"/>
          <w:lang w:val="en-US" w:eastAsia="zh-CN" w:bidi="ar-SA"/>
        </w:rPr>
        <w:t>一般验收。</w:t>
      </w:r>
    </w:p>
    <w:p w14:paraId="68903DFB">
      <w:pPr>
        <w:rPr>
          <w:rFonts w:ascii="宋体" w:hAnsi="宋体" w:eastAsia="宋体" w:cs="Times New Roman"/>
          <w:b/>
          <w:bCs/>
          <w:kern w:val="0"/>
          <w:sz w:val="24"/>
          <w:lang w:val="en-US" w:eastAsia="zh-CN" w:bidi="ar-SA"/>
        </w:rPr>
      </w:pPr>
      <w:r>
        <w:rPr>
          <w:rFonts w:ascii="宋体" w:hAnsi="宋体" w:eastAsia="宋体" w:cs="Times New Roman"/>
          <w:b/>
          <w:bCs/>
          <w:kern w:val="0"/>
          <w:sz w:val="24"/>
          <w:lang w:val="en-US" w:eastAsia="zh-CN" w:bidi="ar-SA"/>
        </w:rPr>
        <w:br w:type="page"/>
      </w:r>
    </w:p>
    <w:p w14:paraId="0195CEE9">
      <w:pPr>
        <w:pStyle w:val="9"/>
        <w:spacing w:after="0" w:line="240" w:lineRule="auto"/>
        <w:ind w:left="0" w:right="0" w:firstLine="720" w:firstLineChars="300"/>
        <w:rPr>
          <w:rFonts w:ascii="宋体" w:hAnsi="宋体" w:eastAsia="宋体" w:cs="Times New Roman"/>
          <w:kern w:val="0"/>
          <w:sz w:val="24"/>
          <w:lang w:val="en-US" w:eastAsia="zh-CN" w:bidi="ar-SA"/>
        </w:rPr>
        <w:sectPr>
          <w:headerReference r:id="rId3" w:type="default"/>
          <w:footerReference r:id="rId4" w:type="default"/>
          <w:pgSz w:w="11900" w:h="16820"/>
          <w:pgMar w:top="1440" w:right="1800" w:bottom="1440" w:left="1800" w:header="0" w:footer="0" w:gutter="0"/>
          <w:pgNumType w:fmt="decimal"/>
          <w:cols w:space="720" w:num="1"/>
        </w:sect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4"/>
        <w:gridCol w:w="4088"/>
        <w:gridCol w:w="1389"/>
        <w:gridCol w:w="995"/>
      </w:tblGrid>
      <w:tr w14:paraId="7D79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tcPr>
          <w:p w14:paraId="6973B8EF">
            <w:pPr>
              <w:jc w:val="center"/>
              <w:rPr>
                <w:rFonts w:hint="eastAsia" w:ascii="宋体" w:hAnsi="宋体" w:eastAsia="宋体" w:cs="宋体"/>
                <w:color w:val="auto"/>
                <w:sz w:val="24"/>
                <w:szCs w:val="24"/>
                <w:vertAlign w:val="baseline"/>
              </w:rPr>
            </w:pPr>
            <w:bookmarkStart w:id="168" w:name="_Toc2247"/>
            <w:bookmarkStart w:id="169" w:name="_Toc20606"/>
            <w:r>
              <w:rPr>
                <w:rFonts w:hint="eastAsia" w:ascii="宋体" w:hAnsi="宋体" w:eastAsia="宋体" w:cs="宋体"/>
                <w:color w:val="auto"/>
                <w:sz w:val="24"/>
                <w:szCs w:val="24"/>
                <w:vertAlign w:val="baseline"/>
              </w:rPr>
              <w:t>项目名称</w:t>
            </w:r>
          </w:p>
        </w:tc>
        <w:tc>
          <w:tcPr>
            <w:tcW w:w="4088" w:type="dxa"/>
          </w:tcPr>
          <w:p w14:paraId="59BA223C">
            <w:pPr>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技术参数</w:t>
            </w:r>
          </w:p>
        </w:tc>
        <w:tc>
          <w:tcPr>
            <w:tcW w:w="1389" w:type="dxa"/>
          </w:tcPr>
          <w:p w14:paraId="4B1CA5F3">
            <w:pPr>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数量</w:t>
            </w:r>
          </w:p>
        </w:tc>
        <w:tc>
          <w:tcPr>
            <w:tcW w:w="995" w:type="dxa"/>
          </w:tcPr>
          <w:p w14:paraId="0B27F8B4">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备注</w:t>
            </w:r>
          </w:p>
        </w:tc>
      </w:tr>
      <w:tr w14:paraId="77D8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01D03A42">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高清智能网络球机</w:t>
            </w:r>
          </w:p>
        </w:tc>
        <w:tc>
          <w:tcPr>
            <w:tcW w:w="4088" w:type="dxa"/>
            <w:vAlign w:val="center"/>
          </w:tcPr>
          <w:p w14:paraId="00D8EBD6">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全景4Mp23 倍变焦红外声光警戒球机1.400万1/1.8英寸CMOS，输出2560×1440@30fps；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搭载25倍光学变焦+16倍数字变倍，焦距5.9~147.5mm，F1.5大光圈，红外最远150米、白光全彩100米，内置加热除雾玻璃；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云台水平360°连续旋转，垂直-15°~90°，300个预置位，支持断电记忆、3D定位、报警自动跟踪；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内置深度学习AI算法，支持人车分类、多类周界侦测、人脸抓拍（最多5张同时抓拍），支持录像图片检索；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自带双麦+扬声器，支持双向语音、声光警戒爆闪+语音喊话；具备1进1出音频、2入1出报警端子；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支持Hi-PoE(802.3at)、24VAC双供电，最大功耗≤24W，SD卡本地存储最大512GB，断网补录ANR；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 防护等级IP66、IK10，6000V防雷，工作温度-30℃~65℃，适配露天全天候室外场景；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 兼容GB28181-2022国标协议，支持Smart265智能编码，降低存储带宽；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 整机铝合金工业壳体，配套原厂安装支架，支持壁装/吊装/抱杆多种安装方式；</w:t>
            </w:r>
          </w:p>
        </w:tc>
        <w:tc>
          <w:tcPr>
            <w:tcW w:w="1389" w:type="dxa"/>
            <w:vAlign w:val="center"/>
          </w:tcPr>
          <w:p w14:paraId="7E0753E0">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10台</w:t>
            </w:r>
          </w:p>
        </w:tc>
        <w:tc>
          <w:tcPr>
            <w:tcW w:w="995" w:type="dxa"/>
          </w:tcPr>
          <w:p w14:paraId="061D15F2">
            <w:pPr>
              <w:rPr>
                <w:rFonts w:hint="eastAsia" w:ascii="宋体" w:hAnsi="宋体" w:eastAsia="宋体" w:cs="宋体"/>
                <w:color w:val="auto"/>
                <w:sz w:val="24"/>
                <w:szCs w:val="24"/>
                <w:vertAlign w:val="baseline"/>
              </w:rPr>
            </w:pPr>
          </w:p>
        </w:tc>
      </w:tr>
      <w:tr w14:paraId="7B72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157FC0CA">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通用网桥</w:t>
            </w:r>
          </w:p>
        </w:tc>
        <w:tc>
          <w:tcPr>
            <w:tcW w:w="4088" w:type="dxa"/>
            <w:vAlign w:val="center"/>
          </w:tcPr>
          <w:p w14:paraId="19ABF079">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工业级10KM网桥1. 设备为Wi-Fi6工业室外网桥，5GHz单频无线速率≥2402Mbps，内置≥15dBi定向天线，水平波瓣≤37°、垂直波瓣≤17°；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配备1路2.5G自适应网口+1路千兆网口，满足高清监控大带宽回传；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支持802.3at标准PoE、44-57V非标PoE、12-57V工业宽压直流三种供电模式；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防护等级不低于IP68，工作温度区间覆盖-40℃至80℃，无风扇自然散热；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满足IEC工业电磁兼容标准，适配工厂、隧道、电力强电磁干扰场景；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硬件自带AP/Client模式切换开关，支持点对点、点对多点远距离无线组网；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 支持云端集中管理、本地串口调试，具备完整流量、链路状态监控功能；</w:t>
            </w:r>
          </w:p>
        </w:tc>
        <w:tc>
          <w:tcPr>
            <w:tcW w:w="1389" w:type="dxa"/>
            <w:vAlign w:val="center"/>
          </w:tcPr>
          <w:p w14:paraId="14A1E5EE">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10台</w:t>
            </w:r>
          </w:p>
        </w:tc>
        <w:tc>
          <w:tcPr>
            <w:tcW w:w="995" w:type="dxa"/>
          </w:tcPr>
          <w:p w14:paraId="1802F996">
            <w:pPr>
              <w:rPr>
                <w:rFonts w:hint="eastAsia" w:ascii="宋体" w:hAnsi="宋体" w:eastAsia="宋体" w:cs="宋体"/>
                <w:color w:val="auto"/>
                <w:sz w:val="24"/>
                <w:szCs w:val="24"/>
                <w:vertAlign w:val="baseline"/>
              </w:rPr>
            </w:pPr>
          </w:p>
        </w:tc>
      </w:tr>
      <w:tr w14:paraId="7E2EE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0E61385E">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太阳能组件</w:t>
            </w:r>
          </w:p>
        </w:tc>
        <w:tc>
          <w:tcPr>
            <w:tcW w:w="4088" w:type="dxa"/>
            <w:vAlign w:val="center"/>
          </w:tcPr>
          <w:p w14:paraId="6B836289">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400W120Ah 太阳能及控制器组件光伏板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采用表面整体黑色高光单晶硅太阳能电池片封装而成，电池片转换效率不低于 23%，组件转换效率≥ 23%；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采用高透光率低铁超白钢化玻璃；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卓越的弱光环境发电性能；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高强度铝合金边框，坚固耐用；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独特工艺使组件既美观又便于安装；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特有的技术避免框架内积水冻结和变形；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适应环境温度 -40℃ -85℃;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使用寿命 25 年以上；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三元锂电池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能量密度高：三元锂动力电芯的能量密度在 140 ～ 160wh/kg，这一特性使得它在同样体积和重量下能够提供更长的续航时间。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电压平台高：单体三元锂动力电芯的放电电压平台高达 3.7V，高于磷酸铁锂（3.2V）和钛酸锂（2.3V），这也是其能量密度优势的一个重要原因。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循环性能好：三元锂动力电芯的理论寿命＞ 2000 次充放电循环，即使在较窄的充放电范围内使用，也能保持较高的容量。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低温性能良好：三元锂动力电芯在低温环境下的放电性能优于磷酸铁锂，例如在零下 20℃时，三元锂动力电芯能释放约 80% 的容量，而磷酸铁锂的性能会大幅下降。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安全性要求高：三元锂动力电芯在受到撞击和高温时起火点较低，因此对其保护要求很高，以防止意外发生。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采用 MPPT 最大功率追踪技术，  MPPT 追踪效率可达 99.9%;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全数字控制技术，充电转化效率 95%-98%;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支持同时满功率充电和放电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支持密封、胶体、开口、锂电池和自定义等多种蓄电池类型 ; 支持锂电池、铅酸激活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支持充电电流设置 ; 支持充满设置 ;</w:t>
            </w:r>
          </w:p>
        </w:tc>
        <w:tc>
          <w:tcPr>
            <w:tcW w:w="1389" w:type="dxa"/>
            <w:vAlign w:val="center"/>
          </w:tcPr>
          <w:p w14:paraId="5C38079B">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10套</w:t>
            </w:r>
          </w:p>
        </w:tc>
        <w:tc>
          <w:tcPr>
            <w:tcW w:w="995" w:type="dxa"/>
          </w:tcPr>
          <w:p w14:paraId="2DFFEA83">
            <w:pPr>
              <w:rPr>
                <w:rFonts w:hint="eastAsia" w:ascii="宋体" w:hAnsi="宋体" w:eastAsia="宋体" w:cs="宋体"/>
                <w:color w:val="auto"/>
                <w:sz w:val="24"/>
                <w:szCs w:val="24"/>
                <w:vertAlign w:val="baseline"/>
              </w:rPr>
            </w:pPr>
          </w:p>
        </w:tc>
      </w:tr>
      <w:tr w14:paraId="7456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3E8C7F18">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监测站立杆等配件</w:t>
            </w:r>
          </w:p>
        </w:tc>
        <w:tc>
          <w:tcPr>
            <w:tcW w:w="4088" w:type="dxa"/>
            <w:vAlign w:val="center"/>
          </w:tcPr>
          <w:p w14:paraId="14D8983E">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12 米监测杆及地笼等配件监测站立杆等配件 定制 12M 高12M，对角口径180-320-6mm，法兰550-20mm 10 套</w:t>
            </w:r>
          </w:p>
        </w:tc>
        <w:tc>
          <w:tcPr>
            <w:tcW w:w="1389" w:type="dxa"/>
            <w:vAlign w:val="center"/>
          </w:tcPr>
          <w:p w14:paraId="0106F8B6">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10套</w:t>
            </w:r>
          </w:p>
        </w:tc>
        <w:tc>
          <w:tcPr>
            <w:tcW w:w="995" w:type="dxa"/>
          </w:tcPr>
          <w:p w14:paraId="6A6705DB">
            <w:pPr>
              <w:rPr>
                <w:rFonts w:hint="eastAsia" w:ascii="宋体" w:hAnsi="宋体" w:eastAsia="宋体" w:cs="宋体"/>
                <w:color w:val="auto"/>
                <w:sz w:val="24"/>
                <w:szCs w:val="24"/>
                <w:vertAlign w:val="baseline"/>
              </w:rPr>
            </w:pPr>
          </w:p>
        </w:tc>
      </w:tr>
      <w:tr w14:paraId="29513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6D59BD04">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监测站数据采集终端</w:t>
            </w:r>
          </w:p>
        </w:tc>
        <w:tc>
          <w:tcPr>
            <w:tcW w:w="4088" w:type="dxa"/>
            <w:vAlign w:val="center"/>
          </w:tcPr>
          <w:p w14:paraId="51D86DE1">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支持RS485及模拟量等数据采集 ，支持4G或无线网络</w:t>
            </w:r>
          </w:p>
        </w:tc>
        <w:tc>
          <w:tcPr>
            <w:tcW w:w="1389" w:type="dxa"/>
            <w:vAlign w:val="center"/>
          </w:tcPr>
          <w:p w14:paraId="6F7B1B31">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10套</w:t>
            </w:r>
          </w:p>
        </w:tc>
        <w:tc>
          <w:tcPr>
            <w:tcW w:w="995" w:type="dxa"/>
          </w:tcPr>
          <w:p w14:paraId="052C6927">
            <w:pPr>
              <w:rPr>
                <w:rFonts w:hint="eastAsia" w:ascii="宋体" w:hAnsi="宋体" w:eastAsia="宋体" w:cs="宋体"/>
                <w:color w:val="auto"/>
                <w:sz w:val="24"/>
                <w:szCs w:val="24"/>
                <w:vertAlign w:val="baseline"/>
              </w:rPr>
            </w:pPr>
          </w:p>
        </w:tc>
      </w:tr>
      <w:tr w14:paraId="68C4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6CD8EB24">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防雨箱及安装辅材</w:t>
            </w:r>
          </w:p>
        </w:tc>
        <w:tc>
          <w:tcPr>
            <w:tcW w:w="4088" w:type="dxa"/>
            <w:vAlign w:val="center"/>
          </w:tcPr>
          <w:p w14:paraId="2AAD674A">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材质为冷轧钢板（喷塑）、304/201 不锈钢或 ABS 工程塑料，防护等级通常需达‌IP55 及以上‌</w:t>
            </w:r>
          </w:p>
        </w:tc>
        <w:tc>
          <w:tcPr>
            <w:tcW w:w="1389" w:type="dxa"/>
            <w:vAlign w:val="center"/>
          </w:tcPr>
          <w:p w14:paraId="722458DE">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10套</w:t>
            </w:r>
          </w:p>
        </w:tc>
        <w:tc>
          <w:tcPr>
            <w:tcW w:w="995" w:type="dxa"/>
          </w:tcPr>
          <w:p w14:paraId="77A70FA6">
            <w:pPr>
              <w:rPr>
                <w:rFonts w:hint="eastAsia" w:ascii="宋体" w:hAnsi="宋体" w:eastAsia="宋体" w:cs="宋体"/>
                <w:color w:val="auto"/>
                <w:sz w:val="24"/>
                <w:szCs w:val="24"/>
                <w:vertAlign w:val="baseline"/>
              </w:rPr>
            </w:pPr>
          </w:p>
        </w:tc>
      </w:tr>
      <w:tr w14:paraId="295C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423A9386">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施工服务</w:t>
            </w:r>
          </w:p>
        </w:tc>
        <w:tc>
          <w:tcPr>
            <w:tcW w:w="4088" w:type="dxa"/>
            <w:vAlign w:val="center"/>
          </w:tcPr>
          <w:p w14:paraId="372F0319">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人工及其他相关费用</w:t>
            </w:r>
          </w:p>
        </w:tc>
        <w:tc>
          <w:tcPr>
            <w:tcW w:w="1389" w:type="dxa"/>
            <w:vAlign w:val="center"/>
          </w:tcPr>
          <w:p w14:paraId="5622E85C">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10套</w:t>
            </w:r>
          </w:p>
        </w:tc>
        <w:tc>
          <w:tcPr>
            <w:tcW w:w="995" w:type="dxa"/>
          </w:tcPr>
          <w:p w14:paraId="62E24435">
            <w:pPr>
              <w:rPr>
                <w:rFonts w:hint="eastAsia" w:ascii="宋体" w:hAnsi="宋体" w:eastAsia="宋体" w:cs="宋体"/>
                <w:color w:val="auto"/>
                <w:sz w:val="24"/>
                <w:szCs w:val="24"/>
                <w:vertAlign w:val="baseline"/>
              </w:rPr>
            </w:pPr>
          </w:p>
        </w:tc>
      </w:tr>
      <w:tr w14:paraId="7CF7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4CA43B82">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视频存储服务器</w:t>
            </w:r>
          </w:p>
        </w:tc>
        <w:tc>
          <w:tcPr>
            <w:tcW w:w="4088" w:type="dxa"/>
            <w:vAlign w:val="center"/>
          </w:tcPr>
          <w:p w14:paraId="170CE611">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专用嵌入式视频服务器，接入100路以上1. 设备为2U国产信创机架服务器，搭载2颗国产海光3350处理器，单CPU≥8核16线程，主频≥3.0GHz；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内存≥32GB DDR4 3200MHz，8内存插槽，整机最大支持1TB内存扩展，支持内存容错技术；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整机不少于16个SATA/SAS硬盘位，板载M.2插槽，标配2块960G SSD系统盘做RAID1，支持0/1/10/5/6/50/60多种阵列模式，具备断电缓存保护；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标配双千兆业务网口+独立IPMI远程管理口，支持选配万兆光网卡，满足多路监控视频并发转发；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 采用550W 1+1冗余热插拔电源、N+1冗余调速风扇，硬盘/风扇/电源全部支持热插拔免停机维护；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标准2U 19英寸机架机箱，工作环境5℃~40℃，支持7×24小时不间断安防业务运行；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 具备独立IPMI带外远程管理，前置硬件故障分级告警指示灯，支持国产麒麟、统信、海康专用操作系统；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 整机4个PCIe4.0扩展槽，可扩展视频解码、智能分析、万兆网卡等业务加速硬件</w:t>
            </w:r>
          </w:p>
        </w:tc>
        <w:tc>
          <w:tcPr>
            <w:tcW w:w="1389" w:type="dxa"/>
            <w:vAlign w:val="center"/>
          </w:tcPr>
          <w:p w14:paraId="3DC87CF9">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10台</w:t>
            </w:r>
          </w:p>
        </w:tc>
        <w:tc>
          <w:tcPr>
            <w:tcW w:w="995" w:type="dxa"/>
          </w:tcPr>
          <w:p w14:paraId="4C598759">
            <w:pPr>
              <w:rPr>
                <w:rFonts w:hint="eastAsia" w:ascii="宋体" w:hAnsi="宋体" w:eastAsia="宋体" w:cs="宋体"/>
                <w:color w:val="auto"/>
                <w:sz w:val="24"/>
                <w:szCs w:val="24"/>
                <w:vertAlign w:val="baseline"/>
              </w:rPr>
            </w:pPr>
          </w:p>
        </w:tc>
      </w:tr>
      <w:tr w14:paraId="51A5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044" w:type="dxa"/>
            <w:vAlign w:val="center"/>
          </w:tcPr>
          <w:p w14:paraId="0BB6CE92">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接平台费用</w:t>
            </w:r>
          </w:p>
        </w:tc>
        <w:tc>
          <w:tcPr>
            <w:tcW w:w="4088" w:type="dxa"/>
            <w:vAlign w:val="center"/>
          </w:tcPr>
          <w:p w14:paraId="6E7F0605">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1次</w:t>
            </w:r>
          </w:p>
        </w:tc>
        <w:tc>
          <w:tcPr>
            <w:tcW w:w="1389" w:type="dxa"/>
            <w:vAlign w:val="center"/>
          </w:tcPr>
          <w:p w14:paraId="0B492A67">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1次</w:t>
            </w:r>
          </w:p>
        </w:tc>
        <w:tc>
          <w:tcPr>
            <w:tcW w:w="995" w:type="dxa"/>
          </w:tcPr>
          <w:p w14:paraId="20AD7EA5">
            <w:pPr>
              <w:rPr>
                <w:rFonts w:hint="eastAsia" w:ascii="宋体" w:hAnsi="宋体" w:eastAsia="宋体" w:cs="宋体"/>
                <w:color w:val="auto"/>
                <w:sz w:val="24"/>
                <w:szCs w:val="24"/>
                <w:vertAlign w:val="baseline"/>
              </w:rPr>
            </w:pPr>
          </w:p>
        </w:tc>
      </w:tr>
      <w:tr w14:paraId="69BA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463E7EFB">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建设生态围栏（栽植柽柳）</w:t>
            </w:r>
          </w:p>
        </w:tc>
        <w:tc>
          <w:tcPr>
            <w:tcW w:w="4088" w:type="dxa"/>
            <w:vAlign w:val="center"/>
          </w:tcPr>
          <w:p w14:paraId="036240DA">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柽柳苗高＞60 公分，地径≥0.8 公分，生长健壮、无病虫害、无机械损伤，根系完整（主根长度≥20公分，须根发达</w:t>
            </w:r>
          </w:p>
        </w:tc>
        <w:tc>
          <w:tcPr>
            <w:tcW w:w="1389" w:type="dxa"/>
            <w:vAlign w:val="center"/>
          </w:tcPr>
          <w:p w14:paraId="6584FF52">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8690株</w:t>
            </w:r>
          </w:p>
        </w:tc>
        <w:tc>
          <w:tcPr>
            <w:tcW w:w="995" w:type="dxa"/>
          </w:tcPr>
          <w:p w14:paraId="229ABBE9">
            <w:pPr>
              <w:rPr>
                <w:rFonts w:hint="eastAsia" w:ascii="宋体" w:hAnsi="宋体" w:eastAsia="宋体" w:cs="宋体"/>
                <w:color w:val="auto"/>
                <w:sz w:val="24"/>
                <w:szCs w:val="24"/>
                <w:vertAlign w:val="baseline"/>
              </w:rPr>
            </w:pPr>
          </w:p>
        </w:tc>
      </w:tr>
      <w:tr w14:paraId="3240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50CD291B">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湿地有害生物防治</w:t>
            </w:r>
          </w:p>
        </w:tc>
        <w:tc>
          <w:tcPr>
            <w:tcW w:w="4088" w:type="dxa"/>
            <w:vAlign w:val="center"/>
          </w:tcPr>
          <w:p w14:paraId="2CF78045">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设置诱捕灯（执行国标：GB/T24689.2-2017《植物保护机械 杀虫灯》、NB/T34001太阳能杀虫灯标准、LY/T1915林间诱虫灯规程）诱捕器：包括1、信息素诱捕器200个，2. 蛾类通用诱捕器（船型/漏斗型200个3、色板诱捕器（趋色性害虫：蚜虫、飞虱）5000个；药物防治166750平米</w:t>
            </w:r>
          </w:p>
        </w:tc>
        <w:tc>
          <w:tcPr>
            <w:tcW w:w="1389" w:type="dxa"/>
            <w:vAlign w:val="center"/>
          </w:tcPr>
          <w:p w14:paraId="2F273F70">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166750平米</w:t>
            </w:r>
          </w:p>
        </w:tc>
        <w:tc>
          <w:tcPr>
            <w:tcW w:w="995" w:type="dxa"/>
          </w:tcPr>
          <w:p w14:paraId="2A55AE61">
            <w:pPr>
              <w:rPr>
                <w:rFonts w:hint="eastAsia" w:ascii="宋体" w:hAnsi="宋体" w:eastAsia="宋体" w:cs="宋体"/>
                <w:color w:val="auto"/>
                <w:sz w:val="24"/>
                <w:szCs w:val="24"/>
                <w:vertAlign w:val="baseline"/>
              </w:rPr>
            </w:pPr>
          </w:p>
        </w:tc>
      </w:tr>
      <w:tr w14:paraId="7D3F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044" w:type="dxa"/>
            <w:vAlign w:val="center"/>
          </w:tcPr>
          <w:p w14:paraId="60708D90">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地表清理</w:t>
            </w:r>
          </w:p>
        </w:tc>
        <w:tc>
          <w:tcPr>
            <w:tcW w:w="4088" w:type="dxa"/>
            <w:vAlign w:val="center"/>
          </w:tcPr>
          <w:p w14:paraId="444F350D">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采用人工清理与机械清理相结合的方式，对湿地地表的生活垃圾、建筑垃圾、废弃渔具、杂草、枯枝败叶等有害垃圾48469m³进行全面清理；运距15km其中人工清理：9693.8m³合计1615.6工日；机械清理：38775.2m³合计77.55台班，</w:t>
            </w:r>
          </w:p>
        </w:tc>
        <w:tc>
          <w:tcPr>
            <w:tcW w:w="1389" w:type="dxa"/>
            <w:vAlign w:val="center"/>
          </w:tcPr>
          <w:p w14:paraId="50CC0F6F">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48469m³</w:t>
            </w:r>
          </w:p>
        </w:tc>
        <w:tc>
          <w:tcPr>
            <w:tcW w:w="995" w:type="dxa"/>
          </w:tcPr>
          <w:p w14:paraId="59EDA625">
            <w:pPr>
              <w:rPr>
                <w:rFonts w:hint="eastAsia" w:ascii="宋体" w:hAnsi="宋体" w:eastAsia="宋体" w:cs="宋体"/>
                <w:color w:val="auto"/>
                <w:sz w:val="24"/>
                <w:szCs w:val="24"/>
                <w:vertAlign w:val="baseline"/>
              </w:rPr>
            </w:pPr>
          </w:p>
        </w:tc>
      </w:tr>
      <w:tr w14:paraId="599C4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7E39B778">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警示牌</w:t>
            </w:r>
          </w:p>
        </w:tc>
        <w:tc>
          <w:tcPr>
            <w:tcW w:w="4088" w:type="dxa"/>
            <w:vAlign w:val="center"/>
          </w:tcPr>
          <w:p w14:paraId="2EA5F305">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警示牌尺寸为0.5×0 .8 米采用 PVC 材质（抗老化等级≥5 级），规格 0.4m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×0.6m，</w:t>
            </w:r>
          </w:p>
        </w:tc>
        <w:tc>
          <w:tcPr>
            <w:tcW w:w="1389" w:type="dxa"/>
            <w:vAlign w:val="center"/>
          </w:tcPr>
          <w:p w14:paraId="1B038094">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100</w:t>
            </w:r>
          </w:p>
        </w:tc>
        <w:tc>
          <w:tcPr>
            <w:tcW w:w="995" w:type="dxa"/>
          </w:tcPr>
          <w:p w14:paraId="52C09CF4">
            <w:pPr>
              <w:rPr>
                <w:rFonts w:hint="eastAsia" w:ascii="宋体" w:hAnsi="宋体" w:eastAsia="宋体" w:cs="宋体"/>
                <w:color w:val="auto"/>
                <w:sz w:val="24"/>
                <w:szCs w:val="24"/>
                <w:vertAlign w:val="baseline"/>
              </w:rPr>
            </w:pPr>
          </w:p>
        </w:tc>
      </w:tr>
      <w:tr w14:paraId="0F5A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264CCB58">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生态功能展示牌</w:t>
            </w:r>
          </w:p>
        </w:tc>
        <w:tc>
          <w:tcPr>
            <w:tcW w:w="4088" w:type="dxa"/>
            <w:vAlign w:val="center"/>
          </w:tcPr>
          <w:p w14:paraId="3433823F">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主体采用防腐木（规格 2m×3m×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0.1m），面板为钢化玻璃（厚度 8mm），</w:t>
            </w:r>
          </w:p>
        </w:tc>
        <w:tc>
          <w:tcPr>
            <w:tcW w:w="1389" w:type="dxa"/>
            <w:vAlign w:val="center"/>
          </w:tcPr>
          <w:p w14:paraId="788D4D3D">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5</w:t>
            </w:r>
          </w:p>
        </w:tc>
        <w:tc>
          <w:tcPr>
            <w:tcW w:w="995" w:type="dxa"/>
          </w:tcPr>
          <w:p w14:paraId="3D27316F">
            <w:pPr>
              <w:rPr>
                <w:rFonts w:hint="eastAsia" w:ascii="宋体" w:hAnsi="宋体" w:eastAsia="宋体" w:cs="宋体"/>
                <w:color w:val="auto"/>
                <w:sz w:val="24"/>
                <w:szCs w:val="24"/>
                <w:vertAlign w:val="baseline"/>
              </w:rPr>
            </w:pPr>
          </w:p>
        </w:tc>
      </w:tr>
      <w:tr w14:paraId="786C2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6E67BB46">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宣传栏</w:t>
            </w:r>
          </w:p>
        </w:tc>
        <w:tc>
          <w:tcPr>
            <w:tcW w:w="4088" w:type="dxa"/>
            <w:vAlign w:val="center"/>
          </w:tcPr>
          <w:p w14:paraId="05B631C0">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宣传栏尺寸为3×2 米主体为镀锌板（材质 304，厚度 1.5mm），规格 3m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×2m，</w:t>
            </w:r>
          </w:p>
        </w:tc>
        <w:tc>
          <w:tcPr>
            <w:tcW w:w="1389" w:type="dxa"/>
            <w:vAlign w:val="center"/>
          </w:tcPr>
          <w:p w14:paraId="3AAB6EC0">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3</w:t>
            </w:r>
          </w:p>
        </w:tc>
        <w:tc>
          <w:tcPr>
            <w:tcW w:w="995" w:type="dxa"/>
          </w:tcPr>
          <w:p w14:paraId="29518215">
            <w:pPr>
              <w:rPr>
                <w:rFonts w:hint="eastAsia" w:ascii="宋体" w:hAnsi="宋体" w:eastAsia="宋体" w:cs="宋体"/>
                <w:color w:val="auto"/>
                <w:sz w:val="24"/>
                <w:szCs w:val="24"/>
                <w:vertAlign w:val="baseline"/>
              </w:rPr>
            </w:pPr>
          </w:p>
        </w:tc>
      </w:tr>
      <w:tr w14:paraId="3454F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4" w:type="dxa"/>
            <w:vAlign w:val="center"/>
          </w:tcPr>
          <w:p w14:paraId="1CC693DA">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宣传资料</w:t>
            </w:r>
          </w:p>
        </w:tc>
        <w:tc>
          <w:tcPr>
            <w:tcW w:w="4088" w:type="dxa"/>
            <w:vAlign w:val="center"/>
          </w:tcPr>
          <w:p w14:paraId="0AA64B17">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通过庙会、集会等社会活动发放采用彩色印刷（16 开，32 页）通过村委会、学校、湿地入口、当地集市、政务服务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大厅发放，其中学校发放 800 册（覆盖周边中小学）、村委会发放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1200 册、公共场所发放 1000 册</w:t>
            </w:r>
          </w:p>
        </w:tc>
        <w:tc>
          <w:tcPr>
            <w:tcW w:w="1389" w:type="dxa"/>
            <w:vAlign w:val="center"/>
          </w:tcPr>
          <w:p w14:paraId="1B88EE18">
            <w:pPr>
              <w:keepNext w:val="0"/>
              <w:keepLines w:val="0"/>
              <w:widowControl/>
              <w:suppressLineNumbers w:val="0"/>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000000"/>
                <w:kern w:val="0"/>
                <w:sz w:val="24"/>
                <w:szCs w:val="24"/>
                <w:u w:val="none"/>
                <w:lang w:val="en-US" w:eastAsia="zh-CN" w:bidi="ar"/>
              </w:rPr>
              <w:t>3000</w:t>
            </w:r>
          </w:p>
        </w:tc>
        <w:tc>
          <w:tcPr>
            <w:tcW w:w="995" w:type="dxa"/>
          </w:tcPr>
          <w:p w14:paraId="53E05151">
            <w:pPr>
              <w:rPr>
                <w:rFonts w:hint="eastAsia" w:ascii="宋体" w:hAnsi="宋体" w:eastAsia="宋体" w:cs="宋体"/>
                <w:color w:val="auto"/>
                <w:sz w:val="24"/>
                <w:szCs w:val="24"/>
                <w:vertAlign w:val="baseline"/>
              </w:rPr>
            </w:pPr>
          </w:p>
        </w:tc>
      </w:tr>
    </w:tbl>
    <w:p w14:paraId="516D9B48">
      <w:pPr>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70E96B37">
      <w:pPr>
        <w:pStyle w:val="2"/>
        <w:spacing w:line="24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第五章 </w:t>
      </w:r>
      <w:r>
        <w:rPr>
          <w:rFonts w:hint="eastAsia" w:cs="宋体"/>
          <w:color w:val="auto"/>
          <w:sz w:val="32"/>
          <w:szCs w:val="32"/>
          <w:lang w:val="en-US" w:eastAsia="zh-CN"/>
        </w:rPr>
        <w:t>商务要求</w:t>
      </w:r>
      <w:bookmarkEnd w:id="168"/>
    </w:p>
    <w:p w14:paraId="5AA06078">
      <w:pPr>
        <w:spacing w:line="220" w:lineRule="atLeast"/>
        <w:jc w:val="center"/>
        <w:rPr>
          <w:rFonts w:hint="eastAsia" w:ascii="宋体" w:hAnsi="宋体" w:eastAsia="宋体" w:cs="宋体"/>
          <w:color w:val="FF0000"/>
          <w:sz w:val="24"/>
          <w:szCs w:val="24"/>
          <w:lang w:eastAsia="zh-CN"/>
        </w:rPr>
      </w:pPr>
    </w:p>
    <w:tbl>
      <w:tblPr>
        <w:tblStyle w:val="64"/>
        <w:tblW w:w="50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3"/>
        <w:gridCol w:w="7366"/>
      </w:tblGrid>
      <w:tr w14:paraId="7D6B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589" w:type="pct"/>
            <w:tcBorders>
              <w:top w:val="single" w:color="000000" w:sz="10" w:space="0"/>
              <w:left w:val="single" w:color="000000" w:sz="10" w:space="0"/>
            </w:tcBorders>
            <w:vAlign w:val="top"/>
          </w:tcPr>
          <w:p w14:paraId="39EF55B8">
            <w:pPr>
              <w:pStyle w:val="79"/>
              <w:spacing w:before="202" w:line="219" w:lineRule="auto"/>
              <w:ind w:left="95"/>
              <w:rPr>
                <w:sz w:val="24"/>
                <w:szCs w:val="24"/>
              </w:rPr>
            </w:pPr>
            <w:r>
              <w:rPr>
                <w:b/>
                <w:bCs/>
                <w:spacing w:val="-6"/>
                <w:sz w:val="24"/>
                <w:szCs w:val="24"/>
              </w:rPr>
              <w:t>条款号</w:t>
            </w:r>
          </w:p>
        </w:tc>
        <w:tc>
          <w:tcPr>
            <w:tcW w:w="4410" w:type="pct"/>
            <w:tcBorders>
              <w:top w:val="single" w:color="000000" w:sz="10" w:space="0"/>
              <w:right w:val="single" w:color="000000" w:sz="10" w:space="0"/>
            </w:tcBorders>
            <w:vAlign w:val="center"/>
          </w:tcPr>
          <w:p w14:paraId="7034FE82">
            <w:pPr>
              <w:pStyle w:val="79"/>
              <w:spacing w:before="202" w:line="219" w:lineRule="auto"/>
              <w:jc w:val="center"/>
              <w:rPr>
                <w:sz w:val="24"/>
                <w:szCs w:val="24"/>
              </w:rPr>
            </w:pPr>
            <w:r>
              <w:rPr>
                <w:b/>
                <w:bCs/>
                <w:spacing w:val="-22"/>
                <w:sz w:val="24"/>
                <w:szCs w:val="24"/>
              </w:rPr>
              <w:t>内</w:t>
            </w:r>
            <w:r>
              <w:rPr>
                <w:spacing w:val="2"/>
                <w:sz w:val="24"/>
                <w:szCs w:val="24"/>
              </w:rPr>
              <w:t xml:space="preserve">      </w:t>
            </w:r>
            <w:r>
              <w:rPr>
                <w:b/>
                <w:bCs/>
                <w:spacing w:val="-22"/>
                <w:sz w:val="24"/>
                <w:szCs w:val="24"/>
              </w:rPr>
              <w:t>容</w:t>
            </w:r>
          </w:p>
        </w:tc>
      </w:tr>
      <w:tr w14:paraId="45C6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rPr>
        <w:tc>
          <w:tcPr>
            <w:tcW w:w="589" w:type="pct"/>
            <w:tcBorders>
              <w:left w:val="single" w:color="000000" w:sz="10" w:space="0"/>
            </w:tcBorders>
            <w:vAlign w:val="top"/>
          </w:tcPr>
          <w:p w14:paraId="2B4BDEEE">
            <w:pPr>
              <w:spacing w:line="344" w:lineRule="auto"/>
              <w:rPr>
                <w:rFonts w:ascii="Arial"/>
                <w:sz w:val="24"/>
                <w:szCs w:val="24"/>
              </w:rPr>
            </w:pPr>
          </w:p>
          <w:p w14:paraId="7261A69D">
            <w:pPr>
              <w:spacing w:line="345" w:lineRule="auto"/>
              <w:rPr>
                <w:rFonts w:ascii="Arial"/>
                <w:sz w:val="24"/>
                <w:szCs w:val="24"/>
              </w:rPr>
            </w:pPr>
          </w:p>
          <w:p w14:paraId="736D10CE">
            <w:pPr>
              <w:pStyle w:val="79"/>
              <w:spacing w:before="78" w:line="241" w:lineRule="auto"/>
              <w:ind w:left="413"/>
              <w:rPr>
                <w:sz w:val="24"/>
                <w:szCs w:val="24"/>
              </w:rPr>
            </w:pPr>
            <w:r>
              <w:rPr>
                <w:sz w:val="24"/>
                <w:szCs w:val="24"/>
              </w:rPr>
              <w:t>1</w:t>
            </w:r>
          </w:p>
        </w:tc>
        <w:tc>
          <w:tcPr>
            <w:tcW w:w="4410" w:type="pct"/>
            <w:tcBorders>
              <w:right w:val="single" w:color="000000" w:sz="10" w:space="0"/>
            </w:tcBorders>
            <w:vAlign w:val="top"/>
          </w:tcPr>
          <w:p w14:paraId="0694F3A3">
            <w:pPr>
              <w:pStyle w:val="79"/>
              <w:spacing w:before="113" w:line="219" w:lineRule="auto"/>
              <w:ind w:left="20"/>
              <w:rPr>
                <w:rFonts w:hint="eastAsia" w:eastAsia="宋体"/>
                <w:sz w:val="24"/>
                <w:szCs w:val="24"/>
                <w:lang w:eastAsia="zh-CN"/>
              </w:rPr>
            </w:pPr>
            <w:r>
              <w:rPr>
                <w:b/>
                <w:bCs/>
                <w:spacing w:val="-2"/>
                <w:sz w:val="24"/>
                <w:szCs w:val="24"/>
              </w:rPr>
              <w:t>采购人名称：</w:t>
            </w:r>
            <w:r>
              <w:rPr>
                <w:rFonts w:hint="eastAsia"/>
                <w:spacing w:val="-2"/>
                <w:sz w:val="24"/>
                <w:szCs w:val="24"/>
                <w:lang w:eastAsia="zh-CN"/>
              </w:rPr>
              <w:t>清涧县林业工作站</w:t>
            </w:r>
          </w:p>
          <w:p w14:paraId="78EE49D2">
            <w:pPr>
              <w:pStyle w:val="79"/>
              <w:spacing w:before="183" w:line="219" w:lineRule="auto"/>
              <w:ind w:left="25"/>
              <w:rPr>
                <w:rFonts w:hint="eastAsia"/>
                <w:b/>
                <w:bCs/>
                <w:sz w:val="24"/>
                <w:szCs w:val="24"/>
              </w:rPr>
            </w:pPr>
            <w:r>
              <w:rPr>
                <w:b/>
                <w:bCs/>
                <w:sz w:val="24"/>
                <w:szCs w:val="24"/>
              </w:rPr>
              <w:t>地址：</w:t>
            </w:r>
            <w:r>
              <w:rPr>
                <w:rFonts w:hint="eastAsia"/>
                <w:b w:val="0"/>
                <w:bCs w:val="0"/>
                <w:sz w:val="24"/>
                <w:szCs w:val="24"/>
              </w:rPr>
              <w:t>清涧县岔口林业站</w:t>
            </w:r>
          </w:p>
          <w:p w14:paraId="42366D30">
            <w:pPr>
              <w:pStyle w:val="79"/>
              <w:spacing w:before="183" w:line="219" w:lineRule="auto"/>
              <w:ind w:left="25"/>
              <w:rPr>
                <w:rFonts w:hint="eastAsia" w:ascii="宋体" w:hAnsi="宋体" w:eastAsia="宋体" w:cs="宋体"/>
                <w:b w:val="0"/>
                <w:bCs w:val="0"/>
                <w:spacing w:val="-4"/>
                <w:sz w:val="24"/>
                <w:szCs w:val="24"/>
                <w:lang w:eastAsia="zh-CN"/>
              </w:rPr>
            </w:pPr>
            <w:r>
              <w:rPr>
                <w:rFonts w:ascii="宋体" w:hAnsi="宋体" w:eastAsia="宋体" w:cs="宋体"/>
                <w:b/>
                <w:bCs/>
                <w:spacing w:val="-1"/>
                <w:sz w:val="24"/>
                <w:szCs w:val="24"/>
              </w:rPr>
              <w:t>项目名称：</w:t>
            </w:r>
            <w:r>
              <w:rPr>
                <w:rFonts w:hint="eastAsia" w:cs="宋体"/>
                <w:b w:val="0"/>
                <w:bCs w:val="0"/>
                <w:spacing w:val="-1"/>
                <w:sz w:val="24"/>
                <w:szCs w:val="24"/>
                <w:lang w:val="en-US" w:eastAsia="zh-CN"/>
              </w:rPr>
              <w:t>清涧县2025年黄河流域湿地保护与修复项目（二次）</w:t>
            </w:r>
          </w:p>
          <w:p w14:paraId="4C1CDCC5">
            <w:pPr>
              <w:pStyle w:val="79"/>
              <w:spacing w:before="183" w:line="219" w:lineRule="auto"/>
              <w:ind w:left="25"/>
              <w:rPr>
                <w:rFonts w:hint="default"/>
                <w:sz w:val="24"/>
                <w:szCs w:val="24"/>
                <w:lang w:val="en-US"/>
              </w:rPr>
            </w:pPr>
            <w:r>
              <w:rPr>
                <w:rFonts w:ascii="宋体" w:hAnsi="宋体" w:eastAsia="宋体" w:cs="宋体"/>
                <w:b/>
                <w:bCs/>
                <w:spacing w:val="-1"/>
                <w:sz w:val="24"/>
                <w:szCs w:val="24"/>
              </w:rPr>
              <w:t>资金来源：</w:t>
            </w:r>
            <w:r>
              <w:rPr>
                <w:rFonts w:hint="eastAsia" w:cs="宋体"/>
                <w:b w:val="0"/>
                <w:bCs w:val="0"/>
                <w:spacing w:val="-1"/>
                <w:sz w:val="24"/>
                <w:szCs w:val="24"/>
                <w:lang w:val="en-US" w:eastAsia="zh-CN"/>
              </w:rPr>
              <w:t>财政资金</w:t>
            </w:r>
          </w:p>
        </w:tc>
      </w:tr>
      <w:tr w14:paraId="5301F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89" w:type="pct"/>
            <w:tcBorders>
              <w:left w:val="single" w:color="000000" w:sz="10" w:space="0"/>
            </w:tcBorders>
            <w:vAlign w:val="top"/>
          </w:tcPr>
          <w:p w14:paraId="4AE6F510">
            <w:pPr>
              <w:pStyle w:val="79"/>
              <w:spacing w:before="130" w:line="241" w:lineRule="auto"/>
              <w:ind w:left="398"/>
              <w:rPr>
                <w:sz w:val="24"/>
                <w:szCs w:val="24"/>
              </w:rPr>
            </w:pPr>
            <w:r>
              <w:rPr>
                <w:sz w:val="24"/>
                <w:szCs w:val="24"/>
              </w:rPr>
              <w:t>2</w:t>
            </w:r>
          </w:p>
        </w:tc>
        <w:tc>
          <w:tcPr>
            <w:tcW w:w="4410" w:type="pct"/>
            <w:tcBorders>
              <w:right w:val="single" w:color="000000" w:sz="10" w:space="0"/>
            </w:tcBorders>
            <w:vAlign w:val="top"/>
          </w:tcPr>
          <w:p w14:paraId="5573B647">
            <w:pPr>
              <w:pStyle w:val="79"/>
              <w:spacing w:before="130" w:line="219" w:lineRule="auto"/>
              <w:ind w:left="25"/>
              <w:rPr>
                <w:sz w:val="24"/>
                <w:szCs w:val="24"/>
              </w:rPr>
            </w:pPr>
            <w:r>
              <w:rPr>
                <w:b/>
                <w:bCs/>
                <w:spacing w:val="-2"/>
                <w:sz w:val="24"/>
                <w:szCs w:val="24"/>
              </w:rPr>
              <w:t>项目实施地点：</w:t>
            </w:r>
            <w:r>
              <w:rPr>
                <w:spacing w:val="-2"/>
                <w:sz w:val="24"/>
                <w:szCs w:val="24"/>
              </w:rPr>
              <w:t>采购人指定地点。</w:t>
            </w:r>
          </w:p>
        </w:tc>
      </w:tr>
      <w:tr w14:paraId="69CE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589" w:type="pct"/>
            <w:tcBorders>
              <w:left w:val="single" w:color="000000" w:sz="10" w:space="0"/>
            </w:tcBorders>
            <w:vAlign w:val="top"/>
          </w:tcPr>
          <w:p w14:paraId="6F4BAFEE">
            <w:pPr>
              <w:pStyle w:val="79"/>
              <w:spacing w:before="119"/>
              <w:ind w:left="400"/>
              <w:rPr>
                <w:color w:val="auto"/>
                <w:sz w:val="24"/>
                <w:szCs w:val="24"/>
              </w:rPr>
            </w:pPr>
            <w:r>
              <w:rPr>
                <w:color w:val="auto"/>
                <w:sz w:val="24"/>
                <w:szCs w:val="24"/>
              </w:rPr>
              <w:t>3</w:t>
            </w:r>
          </w:p>
        </w:tc>
        <w:tc>
          <w:tcPr>
            <w:tcW w:w="4410" w:type="pct"/>
            <w:tcBorders>
              <w:right w:val="single" w:color="000000" w:sz="10" w:space="0"/>
            </w:tcBorders>
            <w:vAlign w:val="top"/>
          </w:tcPr>
          <w:p w14:paraId="6AF62FDF">
            <w:pPr>
              <w:pStyle w:val="79"/>
              <w:spacing w:before="119" w:line="219" w:lineRule="auto"/>
              <w:ind w:left="26"/>
              <w:rPr>
                <w:rFonts w:hint="default" w:eastAsia="宋体"/>
                <w:color w:val="auto"/>
                <w:sz w:val="24"/>
                <w:szCs w:val="24"/>
                <w:lang w:val="en-US" w:eastAsia="zh-CN"/>
              </w:rPr>
            </w:pPr>
            <w:r>
              <w:rPr>
                <w:rFonts w:hint="eastAsia"/>
                <w:b/>
                <w:bCs/>
                <w:color w:val="auto"/>
                <w:spacing w:val="-4"/>
                <w:sz w:val="24"/>
                <w:szCs w:val="24"/>
                <w:lang w:val="en-US" w:eastAsia="zh-CN"/>
              </w:rPr>
              <w:t>供货期</w:t>
            </w:r>
            <w:r>
              <w:rPr>
                <w:b/>
                <w:bCs/>
                <w:color w:val="auto"/>
                <w:spacing w:val="-4"/>
                <w:sz w:val="24"/>
                <w:szCs w:val="24"/>
              </w:rPr>
              <w:t>：</w:t>
            </w:r>
            <w:r>
              <w:rPr>
                <w:rFonts w:hint="eastAsia"/>
                <w:b w:val="0"/>
                <w:bCs w:val="0"/>
                <w:color w:val="auto"/>
                <w:spacing w:val="-4"/>
                <w:sz w:val="24"/>
                <w:szCs w:val="24"/>
                <w:lang w:val="en-US" w:eastAsia="zh-CN"/>
              </w:rPr>
              <w:t>30天</w:t>
            </w:r>
          </w:p>
        </w:tc>
      </w:tr>
      <w:tr w14:paraId="34E04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589" w:type="pct"/>
            <w:tcBorders>
              <w:left w:val="single" w:color="000000" w:sz="10" w:space="0"/>
            </w:tcBorders>
            <w:vAlign w:val="top"/>
          </w:tcPr>
          <w:p w14:paraId="63A52CA9">
            <w:pPr>
              <w:pStyle w:val="79"/>
              <w:spacing w:before="120" w:line="241" w:lineRule="auto"/>
              <w:ind w:left="394"/>
              <w:rPr>
                <w:color w:val="auto"/>
                <w:sz w:val="24"/>
                <w:szCs w:val="24"/>
              </w:rPr>
            </w:pPr>
            <w:r>
              <w:rPr>
                <w:color w:val="auto"/>
                <w:sz w:val="24"/>
                <w:szCs w:val="24"/>
              </w:rPr>
              <w:t>4</w:t>
            </w:r>
          </w:p>
        </w:tc>
        <w:tc>
          <w:tcPr>
            <w:tcW w:w="4410" w:type="pct"/>
            <w:tcBorders>
              <w:right w:val="single" w:color="000000" w:sz="10" w:space="0"/>
            </w:tcBorders>
            <w:vAlign w:val="top"/>
          </w:tcPr>
          <w:p w14:paraId="67E277E3">
            <w:pPr>
              <w:pStyle w:val="79"/>
              <w:spacing w:before="121" w:line="219" w:lineRule="auto"/>
              <w:ind w:left="22"/>
              <w:rPr>
                <w:rFonts w:hint="default" w:eastAsia="宋体"/>
                <w:color w:val="auto"/>
                <w:sz w:val="24"/>
                <w:szCs w:val="24"/>
                <w:lang w:val="en-US" w:eastAsia="zh-CN"/>
              </w:rPr>
            </w:pPr>
            <w:r>
              <w:rPr>
                <w:b/>
                <w:bCs/>
                <w:color w:val="auto"/>
                <w:spacing w:val="-4"/>
                <w:sz w:val="24"/>
                <w:szCs w:val="24"/>
              </w:rPr>
              <w:t>质保期：</w:t>
            </w:r>
            <w:r>
              <w:rPr>
                <w:rFonts w:hint="eastAsia"/>
                <w:b w:val="0"/>
                <w:bCs w:val="0"/>
                <w:color w:val="auto"/>
                <w:spacing w:val="-4"/>
                <w:sz w:val="24"/>
                <w:szCs w:val="24"/>
                <w:lang w:val="en-US" w:eastAsia="zh-CN"/>
              </w:rPr>
              <w:t>一年</w:t>
            </w:r>
          </w:p>
        </w:tc>
      </w:tr>
      <w:tr w14:paraId="2199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6" w:hRule="atLeast"/>
        </w:trPr>
        <w:tc>
          <w:tcPr>
            <w:tcW w:w="589" w:type="pct"/>
            <w:tcBorders>
              <w:left w:val="single" w:color="000000" w:sz="10" w:space="0"/>
            </w:tcBorders>
            <w:vAlign w:val="top"/>
          </w:tcPr>
          <w:p w14:paraId="0DC3B104">
            <w:pPr>
              <w:spacing w:line="271" w:lineRule="auto"/>
              <w:rPr>
                <w:rFonts w:ascii="Arial"/>
                <w:sz w:val="24"/>
                <w:szCs w:val="24"/>
              </w:rPr>
            </w:pPr>
          </w:p>
          <w:p w14:paraId="205BCD9F">
            <w:pPr>
              <w:spacing w:line="271" w:lineRule="auto"/>
              <w:rPr>
                <w:rFonts w:ascii="Arial"/>
                <w:sz w:val="24"/>
                <w:szCs w:val="24"/>
              </w:rPr>
            </w:pPr>
          </w:p>
          <w:p w14:paraId="74E19506">
            <w:pPr>
              <w:spacing w:line="271" w:lineRule="auto"/>
              <w:rPr>
                <w:rFonts w:ascii="Arial"/>
                <w:sz w:val="24"/>
                <w:szCs w:val="24"/>
              </w:rPr>
            </w:pPr>
          </w:p>
          <w:p w14:paraId="2E32ECB8">
            <w:pPr>
              <w:spacing w:line="272" w:lineRule="auto"/>
              <w:rPr>
                <w:rFonts w:ascii="Arial"/>
                <w:sz w:val="24"/>
                <w:szCs w:val="24"/>
              </w:rPr>
            </w:pPr>
          </w:p>
          <w:p w14:paraId="4CF0C65D">
            <w:pPr>
              <w:spacing w:line="272" w:lineRule="auto"/>
              <w:rPr>
                <w:rFonts w:ascii="Arial"/>
                <w:sz w:val="24"/>
                <w:szCs w:val="24"/>
              </w:rPr>
            </w:pPr>
          </w:p>
          <w:p w14:paraId="0E396B02">
            <w:pPr>
              <w:spacing w:line="272" w:lineRule="auto"/>
              <w:rPr>
                <w:rFonts w:ascii="Arial"/>
                <w:sz w:val="24"/>
                <w:szCs w:val="24"/>
              </w:rPr>
            </w:pPr>
          </w:p>
          <w:p w14:paraId="39E173F7">
            <w:pPr>
              <w:spacing w:line="272" w:lineRule="auto"/>
              <w:rPr>
                <w:rFonts w:ascii="Arial"/>
                <w:sz w:val="24"/>
                <w:szCs w:val="24"/>
              </w:rPr>
            </w:pPr>
          </w:p>
          <w:p w14:paraId="667408C5">
            <w:pPr>
              <w:pStyle w:val="79"/>
              <w:spacing w:before="78"/>
              <w:ind w:left="400"/>
              <w:rPr>
                <w:sz w:val="24"/>
                <w:szCs w:val="24"/>
              </w:rPr>
            </w:pPr>
            <w:r>
              <w:rPr>
                <w:sz w:val="24"/>
                <w:szCs w:val="24"/>
              </w:rPr>
              <w:t>5</w:t>
            </w:r>
          </w:p>
        </w:tc>
        <w:tc>
          <w:tcPr>
            <w:tcW w:w="4410" w:type="pct"/>
            <w:tcBorders>
              <w:right w:val="single" w:color="000000" w:sz="10" w:space="0"/>
            </w:tcBorders>
            <w:vAlign w:val="top"/>
          </w:tcPr>
          <w:p w14:paraId="3E60CE3E">
            <w:pPr>
              <w:pStyle w:val="79"/>
              <w:spacing w:before="119" w:line="218" w:lineRule="auto"/>
              <w:ind w:left="39"/>
              <w:rPr>
                <w:color w:val="auto"/>
                <w:sz w:val="24"/>
                <w:szCs w:val="24"/>
              </w:rPr>
            </w:pPr>
            <w:r>
              <w:rPr>
                <w:b/>
                <w:bCs/>
                <w:color w:val="auto"/>
                <w:spacing w:val="-7"/>
                <w:sz w:val="24"/>
                <w:szCs w:val="24"/>
              </w:rPr>
              <w:t>1.投标报价</w:t>
            </w:r>
          </w:p>
          <w:p w14:paraId="735B1FCD">
            <w:pPr>
              <w:pStyle w:val="79"/>
              <w:spacing w:before="184" w:line="218" w:lineRule="auto"/>
              <w:ind w:left="279"/>
              <w:rPr>
                <w:color w:val="auto"/>
                <w:sz w:val="24"/>
                <w:szCs w:val="24"/>
              </w:rPr>
            </w:pPr>
            <w:r>
              <w:rPr>
                <w:color w:val="auto"/>
                <w:spacing w:val="-2"/>
                <w:sz w:val="24"/>
                <w:szCs w:val="24"/>
              </w:rPr>
              <w:t>1.1 所有报价均以人民币报价。</w:t>
            </w:r>
          </w:p>
          <w:p w14:paraId="4F45325F">
            <w:pPr>
              <w:pStyle w:val="79"/>
              <w:spacing w:before="187" w:line="324" w:lineRule="auto"/>
              <w:ind w:left="20" w:right="17" w:firstLine="258"/>
              <w:rPr>
                <w:color w:val="FF0000"/>
                <w:sz w:val="24"/>
                <w:szCs w:val="24"/>
              </w:rPr>
            </w:pPr>
            <w:r>
              <w:rPr>
                <w:color w:val="auto"/>
                <w:spacing w:val="-3"/>
                <w:sz w:val="24"/>
                <w:szCs w:val="24"/>
              </w:rPr>
              <w:t>1.2</w:t>
            </w:r>
            <w:r>
              <w:rPr>
                <w:color w:val="auto"/>
                <w:spacing w:val="-51"/>
                <w:sz w:val="24"/>
                <w:szCs w:val="24"/>
              </w:rPr>
              <w:t xml:space="preserve"> </w:t>
            </w:r>
            <w:r>
              <w:rPr>
                <w:color w:val="auto"/>
                <w:spacing w:val="-3"/>
                <w:sz w:val="24"/>
                <w:szCs w:val="24"/>
              </w:rPr>
              <w:t>报价：供应商应在报价表中标明完成本次采购所要求</w:t>
            </w:r>
            <w:r>
              <w:rPr>
                <w:color w:val="auto"/>
                <w:spacing w:val="-4"/>
                <w:sz w:val="24"/>
                <w:szCs w:val="24"/>
              </w:rPr>
              <w:t>的服务且验收</w:t>
            </w:r>
            <w:r>
              <w:rPr>
                <w:color w:val="auto"/>
                <w:sz w:val="24"/>
                <w:szCs w:val="24"/>
              </w:rPr>
              <w:t xml:space="preserve"> 合格的所有费用，包括食宿费、拓展培训费、交通费、服</w:t>
            </w:r>
            <w:r>
              <w:rPr>
                <w:color w:val="auto"/>
                <w:spacing w:val="-1"/>
                <w:sz w:val="24"/>
                <w:szCs w:val="24"/>
              </w:rPr>
              <w:t>装费、餐补费等其他一</w:t>
            </w:r>
            <w:r>
              <w:rPr>
                <w:color w:val="auto"/>
                <w:sz w:val="24"/>
                <w:szCs w:val="24"/>
              </w:rPr>
              <w:t>切相关费用。谈判报价表标明本次服务的所有单项价格和</w:t>
            </w:r>
            <w:r>
              <w:rPr>
                <w:color w:val="auto"/>
                <w:spacing w:val="-1"/>
                <w:sz w:val="24"/>
                <w:szCs w:val="24"/>
              </w:rPr>
              <w:t>总价，任何有选择的报价将不予接受，按无效投标处理。</w:t>
            </w:r>
          </w:p>
        </w:tc>
      </w:tr>
      <w:tr w14:paraId="2AE7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589" w:type="pct"/>
            <w:tcBorders>
              <w:left w:val="single" w:color="000000" w:sz="10" w:space="0"/>
            </w:tcBorders>
            <w:vAlign w:val="top"/>
          </w:tcPr>
          <w:p w14:paraId="1A47D90D">
            <w:pPr>
              <w:spacing w:line="248" w:lineRule="auto"/>
              <w:rPr>
                <w:rFonts w:ascii="Arial"/>
                <w:sz w:val="24"/>
                <w:szCs w:val="24"/>
              </w:rPr>
            </w:pPr>
          </w:p>
          <w:p w14:paraId="13C4E7D5">
            <w:pPr>
              <w:spacing w:line="249" w:lineRule="auto"/>
              <w:rPr>
                <w:rFonts w:ascii="Arial"/>
                <w:sz w:val="24"/>
                <w:szCs w:val="24"/>
              </w:rPr>
            </w:pPr>
          </w:p>
          <w:p w14:paraId="17B3A08D">
            <w:pPr>
              <w:spacing w:line="249" w:lineRule="auto"/>
              <w:rPr>
                <w:rFonts w:ascii="Arial"/>
                <w:sz w:val="24"/>
                <w:szCs w:val="24"/>
              </w:rPr>
            </w:pPr>
          </w:p>
          <w:p w14:paraId="69310819">
            <w:pPr>
              <w:pStyle w:val="79"/>
              <w:spacing w:before="79"/>
              <w:ind w:left="397"/>
              <w:rPr>
                <w:sz w:val="24"/>
                <w:szCs w:val="24"/>
              </w:rPr>
            </w:pPr>
            <w:r>
              <w:rPr>
                <w:sz w:val="24"/>
                <w:szCs w:val="24"/>
              </w:rPr>
              <w:t>6</w:t>
            </w:r>
          </w:p>
        </w:tc>
        <w:tc>
          <w:tcPr>
            <w:tcW w:w="4410" w:type="pct"/>
            <w:tcBorders>
              <w:right w:val="single" w:color="000000" w:sz="10" w:space="0"/>
            </w:tcBorders>
            <w:vAlign w:val="top"/>
          </w:tcPr>
          <w:p w14:paraId="5F467C27">
            <w:pPr>
              <w:pStyle w:val="79"/>
              <w:spacing w:before="129" w:line="220" w:lineRule="auto"/>
              <w:ind w:left="22"/>
              <w:rPr>
                <w:color w:val="auto"/>
                <w:sz w:val="24"/>
                <w:szCs w:val="24"/>
              </w:rPr>
            </w:pPr>
            <w:r>
              <w:rPr>
                <w:b/>
                <w:bCs/>
                <w:color w:val="auto"/>
                <w:spacing w:val="-5"/>
                <w:sz w:val="24"/>
                <w:szCs w:val="24"/>
              </w:rPr>
              <w:t>质量要求：</w:t>
            </w:r>
          </w:p>
          <w:p w14:paraId="5F5550A9">
            <w:pPr>
              <w:pStyle w:val="79"/>
              <w:spacing w:before="179" w:line="325" w:lineRule="auto"/>
              <w:ind w:left="23" w:right="18" w:firstLine="478"/>
              <w:jc w:val="both"/>
              <w:rPr>
                <w:rFonts w:hint="eastAsia" w:eastAsia="宋体"/>
                <w:color w:val="FF0000"/>
                <w:sz w:val="24"/>
                <w:szCs w:val="24"/>
                <w:lang w:eastAsia="zh-CN"/>
              </w:rPr>
            </w:pPr>
            <w:r>
              <w:rPr>
                <w:rFonts w:hint="eastAsia" w:eastAsia="宋体"/>
                <w:color w:val="auto"/>
                <w:sz w:val="24"/>
                <w:szCs w:val="24"/>
                <w:lang w:eastAsia="zh-CN"/>
              </w:rPr>
              <w:t>严格遵循相关技术规范标准开展采购、安装调试等工作，确保达到批复实施方案要求。</w:t>
            </w:r>
          </w:p>
        </w:tc>
      </w:tr>
      <w:tr w14:paraId="6D42D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 w:hRule="atLeast"/>
        </w:trPr>
        <w:tc>
          <w:tcPr>
            <w:tcW w:w="589" w:type="pct"/>
            <w:tcBorders>
              <w:left w:val="single" w:color="000000" w:sz="10" w:space="0"/>
            </w:tcBorders>
            <w:vAlign w:val="top"/>
          </w:tcPr>
          <w:p w14:paraId="55A66D84">
            <w:pPr>
              <w:spacing w:line="259" w:lineRule="auto"/>
              <w:rPr>
                <w:rFonts w:ascii="Arial"/>
                <w:color w:val="auto"/>
                <w:sz w:val="24"/>
                <w:szCs w:val="24"/>
              </w:rPr>
            </w:pPr>
          </w:p>
          <w:p w14:paraId="582DD9B1">
            <w:pPr>
              <w:spacing w:line="260" w:lineRule="auto"/>
              <w:rPr>
                <w:rFonts w:ascii="Arial"/>
                <w:color w:val="auto"/>
                <w:sz w:val="24"/>
                <w:szCs w:val="24"/>
              </w:rPr>
            </w:pPr>
          </w:p>
          <w:p w14:paraId="2DFF603F">
            <w:pPr>
              <w:pStyle w:val="79"/>
              <w:spacing w:before="78"/>
              <w:ind w:left="401"/>
              <w:rPr>
                <w:color w:val="auto"/>
                <w:sz w:val="24"/>
                <w:szCs w:val="24"/>
              </w:rPr>
            </w:pPr>
            <w:r>
              <w:rPr>
                <w:color w:val="auto"/>
                <w:sz w:val="24"/>
                <w:szCs w:val="24"/>
              </w:rPr>
              <w:t>7</w:t>
            </w:r>
          </w:p>
        </w:tc>
        <w:tc>
          <w:tcPr>
            <w:tcW w:w="4410" w:type="pct"/>
            <w:tcBorders>
              <w:right w:val="single" w:color="000000" w:sz="10" w:space="0"/>
            </w:tcBorders>
            <w:vAlign w:val="top"/>
          </w:tcPr>
          <w:p w14:paraId="2A0142A0">
            <w:pPr>
              <w:pStyle w:val="79"/>
              <w:spacing w:before="54" w:line="219" w:lineRule="auto"/>
              <w:ind w:left="20"/>
              <w:rPr>
                <w:color w:val="auto"/>
                <w:sz w:val="24"/>
                <w:szCs w:val="24"/>
              </w:rPr>
            </w:pPr>
            <w:r>
              <w:rPr>
                <w:b/>
                <w:bCs/>
                <w:color w:val="auto"/>
                <w:spacing w:val="-6"/>
                <w:sz w:val="24"/>
                <w:szCs w:val="24"/>
              </w:rPr>
              <w:t>验收：</w:t>
            </w:r>
          </w:p>
          <w:p w14:paraId="0787E55D">
            <w:pPr>
              <w:pStyle w:val="9"/>
              <w:spacing w:before="209" w:line="240" w:lineRule="auto"/>
              <w:ind w:left="684"/>
              <w:rPr>
                <w:rFonts w:ascii="宋体" w:hAnsi="宋体" w:eastAsia="宋体" w:cs="Times New Roman"/>
                <w:kern w:val="0"/>
                <w:sz w:val="24"/>
                <w:szCs w:val="24"/>
                <w:lang w:val="en-US" w:eastAsia="zh-CN" w:bidi="ar-SA"/>
              </w:rPr>
            </w:pPr>
            <w:r>
              <w:rPr>
                <w:rFonts w:ascii="宋体" w:hAnsi="宋体" w:eastAsia="宋体" w:cs="Times New Roman"/>
                <w:kern w:val="0"/>
                <w:sz w:val="24"/>
                <w:szCs w:val="24"/>
                <w:lang w:val="en-US" w:eastAsia="zh-CN" w:bidi="ar-SA"/>
              </w:rPr>
              <w:t>1、履约验收时间：</w:t>
            </w:r>
            <w:r>
              <w:rPr>
                <w:rFonts w:hint="eastAsia" w:ascii="宋体" w:hAnsi="宋体" w:eastAsia="宋体" w:cs="Times New Roman"/>
                <w:kern w:val="0"/>
                <w:sz w:val="24"/>
                <w:szCs w:val="24"/>
                <w:lang w:val="en-US" w:eastAsia="zh-CN" w:bidi="ar-SA"/>
              </w:rPr>
              <w:t>项目竣工后。</w:t>
            </w:r>
          </w:p>
          <w:p w14:paraId="249D3BFB">
            <w:pPr>
              <w:pStyle w:val="9"/>
              <w:spacing w:before="228" w:line="240" w:lineRule="auto"/>
              <w:ind w:left="684"/>
              <w:rPr>
                <w:rFonts w:ascii="宋体" w:hAnsi="宋体" w:eastAsia="宋体" w:cs="Times New Roman"/>
                <w:kern w:val="0"/>
                <w:sz w:val="24"/>
                <w:szCs w:val="24"/>
                <w:lang w:val="en-US" w:eastAsia="zh-CN" w:bidi="ar-SA"/>
              </w:rPr>
            </w:pPr>
            <w:r>
              <w:rPr>
                <w:rFonts w:ascii="宋体" w:hAnsi="宋体" w:eastAsia="宋体" w:cs="Times New Roman"/>
                <w:kern w:val="0"/>
                <w:sz w:val="24"/>
                <w:szCs w:val="24"/>
                <w:lang w:val="en-US" w:eastAsia="zh-CN" w:bidi="ar-SA"/>
              </w:rPr>
              <w:t>2、履约验收主体：</w:t>
            </w:r>
            <w:r>
              <w:rPr>
                <w:rFonts w:hint="eastAsia" w:ascii="宋体" w:hAnsi="宋体" w:cs="Times New Roman"/>
                <w:kern w:val="0"/>
                <w:sz w:val="24"/>
                <w:szCs w:val="24"/>
                <w:lang w:val="en-US" w:eastAsia="zh-CN" w:bidi="ar-SA"/>
              </w:rPr>
              <w:t>清涧县林业工作站</w:t>
            </w:r>
            <w:r>
              <w:rPr>
                <w:rFonts w:hint="eastAsia" w:ascii="宋体" w:hAnsi="宋体" w:eastAsia="宋体" w:cs="Times New Roman"/>
                <w:kern w:val="0"/>
                <w:sz w:val="24"/>
                <w:szCs w:val="24"/>
                <w:lang w:val="en-US" w:eastAsia="zh-CN" w:bidi="ar-SA"/>
              </w:rPr>
              <w:t>。</w:t>
            </w:r>
          </w:p>
          <w:p w14:paraId="14A5AB1B">
            <w:pPr>
              <w:pStyle w:val="9"/>
              <w:spacing w:before="209" w:line="240" w:lineRule="auto"/>
              <w:ind w:left="684"/>
              <w:rPr>
                <w:rFonts w:hint="eastAsia"/>
                <w:color w:val="FF0000"/>
                <w:spacing w:val="3"/>
                <w:sz w:val="24"/>
                <w:szCs w:val="24"/>
                <w:lang w:val="en-US" w:eastAsia="zh-CN"/>
              </w:rPr>
            </w:pPr>
            <w:r>
              <w:rPr>
                <w:rFonts w:hint="eastAsia" w:ascii="宋体" w:hAnsi="宋体" w:cs="Times New Roman"/>
                <w:kern w:val="0"/>
                <w:sz w:val="24"/>
                <w:szCs w:val="24"/>
                <w:lang w:val="en-US" w:eastAsia="zh-CN" w:bidi="ar-SA"/>
              </w:rPr>
              <w:t>3</w:t>
            </w:r>
            <w:r>
              <w:rPr>
                <w:rFonts w:ascii="宋体" w:hAnsi="宋体" w:eastAsia="宋体" w:cs="Times New Roman"/>
                <w:kern w:val="0"/>
                <w:sz w:val="24"/>
                <w:szCs w:val="24"/>
                <w:lang w:val="en-US" w:eastAsia="zh-CN" w:bidi="ar-SA"/>
              </w:rPr>
              <w:t>、验收方式：</w:t>
            </w:r>
            <w:r>
              <w:rPr>
                <w:rFonts w:hint="eastAsia" w:ascii="宋体" w:hAnsi="宋体" w:eastAsia="宋体" w:cs="Times New Roman"/>
                <w:kern w:val="0"/>
                <w:sz w:val="24"/>
                <w:szCs w:val="24"/>
                <w:lang w:val="en-US" w:eastAsia="zh-CN" w:bidi="ar-SA"/>
              </w:rPr>
              <w:t>一般验收</w:t>
            </w:r>
          </w:p>
        </w:tc>
      </w:tr>
      <w:tr w14:paraId="0A4E8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2" w:hRule="atLeast"/>
        </w:trPr>
        <w:tc>
          <w:tcPr>
            <w:tcW w:w="589" w:type="pct"/>
            <w:tcBorders>
              <w:left w:val="single" w:color="000000" w:sz="10" w:space="0"/>
            </w:tcBorders>
            <w:vAlign w:val="top"/>
          </w:tcPr>
          <w:p w14:paraId="02BC455E">
            <w:pPr>
              <w:spacing w:line="260" w:lineRule="auto"/>
              <w:rPr>
                <w:rFonts w:ascii="Arial"/>
                <w:sz w:val="24"/>
                <w:szCs w:val="24"/>
              </w:rPr>
            </w:pPr>
          </w:p>
          <w:p w14:paraId="78CDEA81">
            <w:pPr>
              <w:spacing w:line="260" w:lineRule="auto"/>
              <w:rPr>
                <w:rFonts w:ascii="Arial"/>
                <w:sz w:val="24"/>
                <w:szCs w:val="24"/>
              </w:rPr>
            </w:pPr>
          </w:p>
          <w:p w14:paraId="51742D9E">
            <w:pPr>
              <w:pStyle w:val="79"/>
              <w:spacing w:before="78"/>
              <w:ind w:left="396"/>
              <w:rPr>
                <w:sz w:val="24"/>
                <w:szCs w:val="24"/>
              </w:rPr>
            </w:pPr>
            <w:r>
              <w:rPr>
                <w:sz w:val="24"/>
                <w:szCs w:val="24"/>
              </w:rPr>
              <w:t>8</w:t>
            </w:r>
          </w:p>
        </w:tc>
        <w:tc>
          <w:tcPr>
            <w:tcW w:w="4410" w:type="pct"/>
            <w:tcBorders>
              <w:right w:val="single" w:color="000000" w:sz="10" w:space="0"/>
            </w:tcBorders>
            <w:vAlign w:val="top"/>
          </w:tcPr>
          <w:p w14:paraId="7CDEC84A">
            <w:pPr>
              <w:pStyle w:val="79"/>
              <w:spacing w:before="133" w:line="219" w:lineRule="auto"/>
              <w:ind w:left="20"/>
              <w:rPr>
                <w:color w:val="auto"/>
                <w:sz w:val="24"/>
                <w:szCs w:val="24"/>
              </w:rPr>
            </w:pPr>
            <w:r>
              <w:rPr>
                <w:b/>
                <w:bCs/>
                <w:color w:val="auto"/>
                <w:spacing w:val="-4"/>
                <w:sz w:val="24"/>
                <w:szCs w:val="24"/>
              </w:rPr>
              <w:t>验收依据：</w:t>
            </w:r>
          </w:p>
          <w:p w14:paraId="12DFAF16">
            <w:pPr>
              <w:pStyle w:val="79"/>
              <w:spacing w:before="183" w:line="219" w:lineRule="auto"/>
              <w:ind w:left="273"/>
              <w:rPr>
                <w:color w:val="auto"/>
                <w:sz w:val="24"/>
                <w:szCs w:val="24"/>
              </w:rPr>
            </w:pPr>
            <w:r>
              <w:rPr>
                <w:color w:val="auto"/>
                <w:spacing w:val="-6"/>
                <w:sz w:val="24"/>
                <w:szCs w:val="24"/>
              </w:rPr>
              <w:t>（1）合同文本及合同补充文件（条款）。</w:t>
            </w:r>
          </w:p>
          <w:p w14:paraId="3923FED9">
            <w:pPr>
              <w:pStyle w:val="79"/>
              <w:spacing w:before="184" w:line="219" w:lineRule="auto"/>
              <w:ind w:left="273"/>
              <w:rPr>
                <w:color w:val="auto"/>
                <w:spacing w:val="-2"/>
                <w:sz w:val="24"/>
                <w:szCs w:val="24"/>
              </w:rPr>
            </w:pPr>
            <w:r>
              <w:rPr>
                <w:color w:val="auto"/>
                <w:spacing w:val="-2"/>
                <w:sz w:val="24"/>
                <w:szCs w:val="24"/>
              </w:rPr>
              <w:t>（2）</w:t>
            </w:r>
            <w:r>
              <w:rPr>
                <w:rFonts w:hint="eastAsia"/>
                <w:color w:val="auto"/>
                <w:spacing w:val="-2"/>
                <w:sz w:val="24"/>
                <w:szCs w:val="24"/>
                <w:lang w:val="en-US" w:eastAsia="zh-CN"/>
              </w:rPr>
              <w:t>招标</w:t>
            </w:r>
            <w:r>
              <w:rPr>
                <w:color w:val="auto"/>
                <w:spacing w:val="-2"/>
                <w:sz w:val="24"/>
                <w:szCs w:val="24"/>
              </w:rPr>
              <w:t>文件。</w:t>
            </w:r>
          </w:p>
          <w:p w14:paraId="1AA7A0FD">
            <w:pPr>
              <w:pStyle w:val="79"/>
              <w:spacing w:before="106" w:line="219" w:lineRule="auto"/>
              <w:ind w:left="273"/>
              <w:rPr>
                <w:color w:val="auto"/>
                <w:sz w:val="24"/>
                <w:szCs w:val="24"/>
              </w:rPr>
            </w:pPr>
            <w:r>
              <w:rPr>
                <w:color w:val="auto"/>
                <w:spacing w:val="-2"/>
                <w:sz w:val="24"/>
                <w:szCs w:val="24"/>
              </w:rPr>
              <w:t>（3）</w:t>
            </w:r>
            <w:r>
              <w:rPr>
                <w:rFonts w:hint="eastAsia"/>
                <w:color w:val="auto"/>
                <w:spacing w:val="-2"/>
                <w:sz w:val="24"/>
                <w:szCs w:val="24"/>
                <w:lang w:val="en-US" w:eastAsia="zh-CN"/>
              </w:rPr>
              <w:t>投标</w:t>
            </w:r>
            <w:r>
              <w:rPr>
                <w:color w:val="auto"/>
                <w:spacing w:val="-2"/>
                <w:sz w:val="24"/>
                <w:szCs w:val="24"/>
              </w:rPr>
              <w:t>文件。</w:t>
            </w:r>
          </w:p>
          <w:p w14:paraId="7FA4E216">
            <w:pPr>
              <w:pStyle w:val="79"/>
              <w:spacing w:before="182" w:line="219" w:lineRule="auto"/>
              <w:ind w:left="273"/>
              <w:rPr>
                <w:color w:val="auto"/>
                <w:sz w:val="24"/>
                <w:szCs w:val="24"/>
              </w:rPr>
            </w:pPr>
            <w:r>
              <w:rPr>
                <w:color w:val="auto"/>
                <w:spacing w:val="-2"/>
                <w:sz w:val="24"/>
                <w:szCs w:val="24"/>
              </w:rPr>
              <w:t>（4）采购内容及要求。</w:t>
            </w:r>
          </w:p>
        </w:tc>
      </w:tr>
      <w:tr w14:paraId="17D46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7" w:hRule="atLeast"/>
        </w:trPr>
        <w:tc>
          <w:tcPr>
            <w:tcW w:w="589" w:type="pct"/>
            <w:tcBorders>
              <w:left w:val="single" w:color="000000" w:sz="10" w:space="0"/>
            </w:tcBorders>
            <w:vAlign w:val="top"/>
          </w:tcPr>
          <w:p w14:paraId="360295B3">
            <w:pPr>
              <w:spacing w:line="244" w:lineRule="auto"/>
              <w:rPr>
                <w:rFonts w:ascii="Arial"/>
                <w:sz w:val="24"/>
                <w:szCs w:val="24"/>
              </w:rPr>
            </w:pPr>
          </w:p>
          <w:p w14:paraId="6C3FF3FE">
            <w:pPr>
              <w:spacing w:line="245" w:lineRule="auto"/>
              <w:rPr>
                <w:rFonts w:ascii="Arial"/>
                <w:sz w:val="24"/>
                <w:szCs w:val="24"/>
              </w:rPr>
            </w:pPr>
          </w:p>
          <w:p w14:paraId="17B7BE1D">
            <w:pPr>
              <w:spacing w:line="245" w:lineRule="auto"/>
              <w:rPr>
                <w:rFonts w:ascii="Arial"/>
                <w:sz w:val="24"/>
                <w:szCs w:val="24"/>
              </w:rPr>
            </w:pPr>
          </w:p>
          <w:p w14:paraId="62B5D92E">
            <w:pPr>
              <w:pStyle w:val="79"/>
              <w:spacing w:before="78"/>
              <w:ind w:left="396"/>
              <w:rPr>
                <w:sz w:val="24"/>
                <w:szCs w:val="24"/>
              </w:rPr>
            </w:pPr>
            <w:r>
              <w:rPr>
                <w:sz w:val="24"/>
                <w:szCs w:val="24"/>
              </w:rPr>
              <w:t>9</w:t>
            </w:r>
          </w:p>
        </w:tc>
        <w:tc>
          <w:tcPr>
            <w:tcW w:w="4410" w:type="pct"/>
            <w:tcBorders>
              <w:right w:val="single" w:color="000000" w:sz="10" w:space="0"/>
            </w:tcBorders>
            <w:vAlign w:val="top"/>
          </w:tcPr>
          <w:p w14:paraId="6AAC86FB">
            <w:pPr>
              <w:pStyle w:val="79"/>
              <w:spacing w:before="117" w:line="219" w:lineRule="auto"/>
              <w:ind w:left="26"/>
              <w:rPr>
                <w:color w:val="auto"/>
                <w:sz w:val="24"/>
                <w:szCs w:val="24"/>
              </w:rPr>
            </w:pPr>
            <w:r>
              <w:rPr>
                <w:b/>
                <w:bCs/>
                <w:color w:val="auto"/>
                <w:spacing w:val="-5"/>
                <w:sz w:val="24"/>
                <w:szCs w:val="24"/>
              </w:rPr>
              <w:t>知识产权：</w:t>
            </w:r>
          </w:p>
          <w:p w14:paraId="4ADB5A9C">
            <w:pPr>
              <w:pStyle w:val="79"/>
              <w:spacing w:before="182" w:line="357" w:lineRule="auto"/>
              <w:ind w:left="25" w:right="18" w:firstLine="476"/>
              <w:jc w:val="both"/>
              <w:rPr>
                <w:color w:val="auto"/>
                <w:sz w:val="24"/>
                <w:szCs w:val="24"/>
              </w:rPr>
            </w:pPr>
            <w:r>
              <w:rPr>
                <w:color w:val="auto"/>
                <w:spacing w:val="3"/>
                <w:sz w:val="24"/>
                <w:szCs w:val="24"/>
              </w:rPr>
              <w:t>供应商应保证投标服务不会出现因第三方提出侵犯其专利权</w:t>
            </w:r>
            <w:r>
              <w:rPr>
                <w:color w:val="auto"/>
                <w:spacing w:val="2"/>
                <w:sz w:val="24"/>
                <w:szCs w:val="24"/>
              </w:rPr>
              <w:t>、商标权或其它</w:t>
            </w:r>
            <w:r>
              <w:rPr>
                <w:color w:val="auto"/>
                <w:sz w:val="24"/>
                <w:szCs w:val="24"/>
              </w:rPr>
              <w:t xml:space="preserve"> </w:t>
            </w:r>
            <w:r>
              <w:rPr>
                <w:color w:val="auto"/>
                <w:spacing w:val="2"/>
                <w:sz w:val="24"/>
                <w:szCs w:val="24"/>
              </w:rPr>
              <w:t>知识产权而引发法律或经济纠纷，否则由供应商承担全部责任。任何被供应商用</w:t>
            </w:r>
            <w:r>
              <w:rPr>
                <w:color w:val="auto"/>
                <w:spacing w:val="18"/>
                <w:sz w:val="24"/>
                <w:szCs w:val="24"/>
              </w:rPr>
              <w:t xml:space="preserve"> </w:t>
            </w:r>
            <w:r>
              <w:rPr>
                <w:color w:val="auto"/>
                <w:spacing w:val="-1"/>
                <w:sz w:val="24"/>
                <w:szCs w:val="24"/>
              </w:rPr>
              <w:t>于未经授权的商业目的行为所造成的违约或侵权责任由供应商承担。</w:t>
            </w:r>
          </w:p>
        </w:tc>
      </w:tr>
      <w:tr w14:paraId="0694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589" w:type="pct"/>
            <w:tcBorders>
              <w:left w:val="single" w:color="000000" w:sz="10" w:space="0"/>
              <w:bottom w:val="single" w:color="000000" w:sz="10" w:space="0"/>
            </w:tcBorders>
            <w:vAlign w:val="top"/>
          </w:tcPr>
          <w:p w14:paraId="335267D4">
            <w:pPr>
              <w:spacing w:line="243" w:lineRule="auto"/>
              <w:rPr>
                <w:rFonts w:ascii="Arial"/>
                <w:sz w:val="24"/>
                <w:szCs w:val="24"/>
              </w:rPr>
            </w:pPr>
          </w:p>
          <w:p w14:paraId="70CE1DD6">
            <w:pPr>
              <w:spacing w:line="243" w:lineRule="auto"/>
              <w:rPr>
                <w:rFonts w:ascii="Arial"/>
                <w:sz w:val="24"/>
                <w:szCs w:val="24"/>
              </w:rPr>
            </w:pPr>
          </w:p>
          <w:p w14:paraId="5FD6F128">
            <w:pPr>
              <w:spacing w:line="243" w:lineRule="auto"/>
              <w:rPr>
                <w:rFonts w:ascii="Arial"/>
                <w:sz w:val="24"/>
                <w:szCs w:val="24"/>
              </w:rPr>
            </w:pPr>
          </w:p>
          <w:p w14:paraId="5FA4E152">
            <w:pPr>
              <w:spacing w:line="243" w:lineRule="auto"/>
              <w:rPr>
                <w:rFonts w:ascii="Arial"/>
                <w:sz w:val="24"/>
                <w:szCs w:val="24"/>
              </w:rPr>
            </w:pPr>
          </w:p>
          <w:p w14:paraId="4F677D08">
            <w:pPr>
              <w:spacing w:line="244" w:lineRule="auto"/>
              <w:rPr>
                <w:rFonts w:ascii="Arial"/>
                <w:sz w:val="24"/>
                <w:szCs w:val="24"/>
              </w:rPr>
            </w:pPr>
          </w:p>
          <w:p w14:paraId="108D2A2F">
            <w:pPr>
              <w:pStyle w:val="79"/>
              <w:spacing w:before="78"/>
              <w:ind w:left="283"/>
              <w:rPr>
                <w:sz w:val="24"/>
                <w:szCs w:val="24"/>
              </w:rPr>
            </w:pPr>
            <w:r>
              <w:rPr>
                <w:spacing w:val="-14"/>
                <w:sz w:val="24"/>
                <w:szCs w:val="24"/>
              </w:rPr>
              <w:t>10</w:t>
            </w:r>
          </w:p>
        </w:tc>
        <w:tc>
          <w:tcPr>
            <w:tcW w:w="4410" w:type="pct"/>
            <w:tcBorders>
              <w:bottom w:val="single" w:color="000000" w:sz="10" w:space="0"/>
              <w:right w:val="single" w:color="000000" w:sz="10" w:space="0"/>
            </w:tcBorders>
            <w:vAlign w:val="top"/>
          </w:tcPr>
          <w:p w14:paraId="36D2A186">
            <w:pPr>
              <w:pStyle w:val="79"/>
              <w:spacing w:before="127" w:line="219" w:lineRule="auto"/>
              <w:ind w:left="21"/>
              <w:rPr>
                <w:color w:val="auto"/>
                <w:sz w:val="24"/>
                <w:szCs w:val="24"/>
              </w:rPr>
            </w:pPr>
            <w:r>
              <w:rPr>
                <w:b/>
                <w:bCs/>
                <w:color w:val="auto"/>
                <w:spacing w:val="-4"/>
                <w:sz w:val="24"/>
                <w:szCs w:val="24"/>
              </w:rPr>
              <w:t>违约责任：</w:t>
            </w:r>
          </w:p>
          <w:p w14:paraId="28B7F648">
            <w:pPr>
              <w:pStyle w:val="79"/>
              <w:spacing w:before="183" w:line="219" w:lineRule="auto"/>
              <w:ind w:left="519"/>
              <w:rPr>
                <w:color w:val="auto"/>
                <w:sz w:val="24"/>
                <w:szCs w:val="24"/>
              </w:rPr>
            </w:pPr>
            <w:r>
              <w:rPr>
                <w:color w:val="auto"/>
                <w:spacing w:val="-1"/>
                <w:sz w:val="24"/>
                <w:szCs w:val="24"/>
              </w:rPr>
              <w:t>1、按《中华人民共和国民法典》中的相关</w:t>
            </w:r>
            <w:r>
              <w:rPr>
                <w:color w:val="auto"/>
                <w:spacing w:val="-2"/>
                <w:sz w:val="24"/>
                <w:szCs w:val="24"/>
              </w:rPr>
              <w:t>条款执行。</w:t>
            </w:r>
          </w:p>
          <w:p w14:paraId="05ED536C">
            <w:pPr>
              <w:pStyle w:val="79"/>
              <w:spacing w:before="184" w:line="313" w:lineRule="auto"/>
              <w:ind w:left="22" w:right="15" w:firstLine="481"/>
              <w:rPr>
                <w:color w:val="auto"/>
                <w:sz w:val="24"/>
                <w:szCs w:val="24"/>
              </w:rPr>
            </w:pPr>
            <w:r>
              <w:rPr>
                <w:color w:val="auto"/>
                <w:spacing w:val="-1"/>
                <w:sz w:val="24"/>
                <w:szCs w:val="24"/>
              </w:rPr>
              <w:t>2、未按合同要求提供服务质量或服务质量不能满足技术要求，招标人有权终</w:t>
            </w:r>
            <w:r>
              <w:rPr>
                <w:color w:val="auto"/>
                <w:spacing w:val="3"/>
                <w:sz w:val="24"/>
                <w:szCs w:val="24"/>
              </w:rPr>
              <w:t xml:space="preserve"> 止合同，并对供方违约行为进行追究，同时按《中华人</w:t>
            </w:r>
            <w:r>
              <w:rPr>
                <w:color w:val="auto"/>
                <w:spacing w:val="2"/>
                <w:sz w:val="24"/>
                <w:szCs w:val="24"/>
              </w:rPr>
              <w:t>民共和国政府采购法》的</w:t>
            </w:r>
            <w:r>
              <w:rPr>
                <w:color w:val="auto"/>
                <w:spacing w:val="-2"/>
                <w:sz w:val="24"/>
                <w:szCs w:val="24"/>
              </w:rPr>
              <w:t>有关规定进行处罚。</w:t>
            </w:r>
          </w:p>
        </w:tc>
      </w:tr>
    </w:tbl>
    <w:p w14:paraId="55ACE3D7">
      <w:pPr>
        <w:pStyle w:val="9"/>
        <w:spacing w:before="203" w:line="349" w:lineRule="auto"/>
        <w:ind w:right="85" w:firstLine="659"/>
        <w:jc w:val="both"/>
        <w:rPr>
          <w:rFonts w:ascii="宋体" w:hAnsi="宋体" w:eastAsia="宋体" w:cs="Times New Roman"/>
          <w:kern w:val="0"/>
          <w:sz w:val="24"/>
          <w:lang w:val="en-US" w:eastAsia="zh-CN" w:bidi="ar-SA"/>
        </w:rPr>
      </w:pPr>
    </w:p>
    <w:p w14:paraId="0873654A">
      <w:pPr>
        <w:pStyle w:val="9"/>
        <w:spacing w:after="0" w:line="240" w:lineRule="auto"/>
        <w:ind w:left="0" w:right="0" w:firstLine="720" w:firstLineChars="300"/>
        <w:rPr>
          <w:rFonts w:ascii="宋体" w:hAnsi="宋体" w:eastAsia="宋体" w:cs="Times New Roman"/>
          <w:kern w:val="0"/>
          <w:sz w:val="24"/>
          <w:lang w:val="en-US" w:eastAsia="zh-CN" w:bidi="ar-SA"/>
        </w:rPr>
        <w:sectPr>
          <w:pgSz w:w="11900" w:h="16820"/>
          <w:pgMar w:top="1440" w:right="1800" w:bottom="1440" w:left="1800" w:header="0" w:footer="0" w:gutter="0"/>
          <w:pgNumType w:fmt="decimal"/>
          <w:cols w:space="720" w:num="1"/>
        </w:sectPr>
      </w:pPr>
    </w:p>
    <w:p w14:paraId="1C6C48E5">
      <w:pPr>
        <w:pStyle w:val="2"/>
        <w:spacing w:line="240" w:lineRule="auto"/>
        <w:rPr>
          <w:rFonts w:hint="eastAsia" w:ascii="宋体" w:hAnsi="宋体" w:eastAsia="宋体" w:cs="宋体"/>
          <w:color w:val="auto"/>
          <w:sz w:val="32"/>
          <w:szCs w:val="32"/>
        </w:rPr>
      </w:pPr>
      <w:bookmarkStart w:id="170" w:name="_Toc18724"/>
      <w:bookmarkStart w:id="171" w:name="_Toc32397"/>
      <w:bookmarkStart w:id="172" w:name="_Toc28931"/>
      <w:r>
        <w:rPr>
          <w:rFonts w:hint="eastAsia" w:ascii="宋体" w:hAnsi="宋体" w:eastAsia="宋体" w:cs="宋体"/>
          <w:color w:val="auto"/>
          <w:sz w:val="32"/>
          <w:szCs w:val="32"/>
        </w:rPr>
        <w:t>第</w:t>
      </w:r>
      <w:r>
        <w:rPr>
          <w:rFonts w:hint="eastAsia" w:ascii="宋体" w:hAnsi="宋体" w:eastAsia="宋体" w:cs="宋体"/>
          <w:color w:val="auto"/>
          <w:sz w:val="32"/>
          <w:szCs w:val="32"/>
          <w:lang w:val="en-US" w:eastAsia="zh-CN"/>
        </w:rPr>
        <w:t>六章</w:t>
      </w:r>
      <w:r>
        <w:rPr>
          <w:rFonts w:hint="eastAsia" w:ascii="宋体" w:hAnsi="宋体" w:eastAsia="宋体" w:cs="宋体"/>
          <w:color w:val="auto"/>
          <w:sz w:val="32"/>
          <w:szCs w:val="32"/>
        </w:rPr>
        <w:t xml:space="preserve"> 政府采购合同</w:t>
      </w:r>
      <w:bookmarkEnd w:id="170"/>
      <w:bookmarkEnd w:id="171"/>
      <w:bookmarkEnd w:id="172"/>
    </w:p>
    <w:p w14:paraId="0A8CC25C">
      <w:pPr>
        <w:spacing w:before="114" w:line="224" w:lineRule="auto"/>
        <w:ind w:left="2642"/>
        <w:rPr>
          <w:rFonts w:ascii="宋体" w:hAnsi="宋体" w:eastAsia="宋体" w:cs="宋体"/>
          <w:b/>
          <w:bCs/>
          <w:spacing w:val="-3"/>
          <w:sz w:val="35"/>
          <w:szCs w:val="35"/>
        </w:rPr>
      </w:pPr>
    </w:p>
    <w:p w14:paraId="4B01B870">
      <w:pPr>
        <w:spacing w:before="114" w:line="224" w:lineRule="auto"/>
        <w:ind w:left="2642"/>
        <w:rPr>
          <w:rFonts w:ascii="宋体" w:hAnsi="宋体" w:eastAsia="宋体" w:cs="宋体"/>
          <w:b/>
          <w:bCs/>
          <w:spacing w:val="-3"/>
          <w:sz w:val="35"/>
          <w:szCs w:val="35"/>
        </w:rPr>
      </w:pPr>
    </w:p>
    <w:p w14:paraId="3F37E22F">
      <w:pPr>
        <w:spacing w:before="114" w:line="224" w:lineRule="auto"/>
        <w:ind w:left="2642"/>
        <w:rPr>
          <w:rFonts w:ascii="宋体" w:hAnsi="宋体" w:eastAsia="宋体" w:cs="宋体"/>
          <w:b/>
          <w:bCs/>
          <w:spacing w:val="-3"/>
          <w:sz w:val="35"/>
          <w:szCs w:val="35"/>
        </w:rPr>
      </w:pPr>
    </w:p>
    <w:p w14:paraId="53E2049E">
      <w:pPr>
        <w:spacing w:before="114" w:line="224" w:lineRule="auto"/>
        <w:ind w:left="2642"/>
        <w:rPr>
          <w:rFonts w:ascii="宋体" w:hAnsi="宋体" w:eastAsia="宋体" w:cs="宋体"/>
          <w:b/>
          <w:bCs/>
          <w:spacing w:val="-3"/>
          <w:sz w:val="35"/>
          <w:szCs w:val="35"/>
        </w:rPr>
      </w:pPr>
    </w:p>
    <w:p w14:paraId="5E469690">
      <w:pPr>
        <w:spacing w:before="114" w:line="224" w:lineRule="auto"/>
        <w:ind w:left="2642"/>
        <w:rPr>
          <w:rFonts w:ascii="宋体" w:hAnsi="宋体" w:eastAsia="宋体" w:cs="宋体"/>
          <w:b/>
          <w:bCs/>
          <w:spacing w:val="-3"/>
          <w:sz w:val="35"/>
          <w:szCs w:val="35"/>
        </w:rPr>
      </w:pPr>
    </w:p>
    <w:p w14:paraId="7A4C906C">
      <w:pPr>
        <w:spacing w:before="114" w:line="224" w:lineRule="auto"/>
        <w:ind w:left="2642"/>
        <w:rPr>
          <w:rFonts w:ascii="宋体" w:hAnsi="宋体" w:eastAsia="宋体" w:cs="宋体"/>
          <w:b/>
          <w:bCs/>
          <w:spacing w:val="-3"/>
          <w:sz w:val="35"/>
          <w:szCs w:val="35"/>
        </w:rPr>
      </w:pPr>
    </w:p>
    <w:p w14:paraId="78C3F5DA">
      <w:pPr>
        <w:spacing w:before="114" w:line="224" w:lineRule="auto"/>
        <w:ind w:left="2642"/>
        <w:rPr>
          <w:rFonts w:ascii="宋体" w:hAnsi="宋体" w:eastAsia="宋体" w:cs="宋体"/>
          <w:sz w:val="35"/>
          <w:szCs w:val="35"/>
        </w:rPr>
      </w:pPr>
      <w:r>
        <w:rPr>
          <w:rFonts w:ascii="宋体" w:hAnsi="宋体" w:eastAsia="宋体" w:cs="宋体"/>
          <w:b/>
          <w:bCs/>
          <w:spacing w:val="-3"/>
          <w:sz w:val="35"/>
          <w:szCs w:val="35"/>
        </w:rPr>
        <w:t>政</w:t>
      </w:r>
      <w:r>
        <w:rPr>
          <w:rFonts w:ascii="宋体" w:hAnsi="宋体" w:eastAsia="宋体" w:cs="宋体"/>
          <w:spacing w:val="22"/>
          <w:sz w:val="35"/>
          <w:szCs w:val="35"/>
        </w:rPr>
        <w:t xml:space="preserve"> </w:t>
      </w:r>
      <w:r>
        <w:rPr>
          <w:rFonts w:ascii="宋体" w:hAnsi="宋体" w:eastAsia="宋体" w:cs="宋体"/>
          <w:b/>
          <w:bCs/>
          <w:spacing w:val="-3"/>
          <w:sz w:val="35"/>
          <w:szCs w:val="35"/>
        </w:rPr>
        <w:t>府</w:t>
      </w:r>
      <w:r>
        <w:rPr>
          <w:rFonts w:ascii="宋体" w:hAnsi="宋体" w:eastAsia="宋体" w:cs="宋体"/>
          <w:spacing w:val="20"/>
          <w:sz w:val="35"/>
          <w:szCs w:val="35"/>
        </w:rPr>
        <w:t xml:space="preserve"> </w:t>
      </w:r>
      <w:r>
        <w:rPr>
          <w:rFonts w:ascii="宋体" w:hAnsi="宋体" w:eastAsia="宋体" w:cs="宋体"/>
          <w:b/>
          <w:bCs/>
          <w:spacing w:val="-3"/>
          <w:sz w:val="35"/>
          <w:szCs w:val="35"/>
        </w:rPr>
        <w:t>采</w:t>
      </w:r>
      <w:r>
        <w:rPr>
          <w:rFonts w:ascii="宋体" w:hAnsi="宋体" w:eastAsia="宋体" w:cs="宋体"/>
          <w:spacing w:val="-3"/>
          <w:sz w:val="35"/>
          <w:szCs w:val="35"/>
        </w:rPr>
        <w:t xml:space="preserve"> </w:t>
      </w:r>
      <w:r>
        <w:rPr>
          <w:rFonts w:ascii="宋体" w:hAnsi="宋体" w:eastAsia="宋体" w:cs="宋体"/>
          <w:b/>
          <w:bCs/>
          <w:spacing w:val="-3"/>
          <w:sz w:val="35"/>
          <w:szCs w:val="35"/>
        </w:rPr>
        <w:t>购</w:t>
      </w:r>
      <w:r>
        <w:rPr>
          <w:rFonts w:ascii="宋体" w:hAnsi="宋体" w:eastAsia="宋体" w:cs="宋体"/>
          <w:spacing w:val="22"/>
          <w:sz w:val="35"/>
          <w:szCs w:val="35"/>
        </w:rPr>
        <w:t xml:space="preserve"> </w:t>
      </w:r>
      <w:r>
        <w:rPr>
          <w:rFonts w:ascii="宋体" w:hAnsi="宋体" w:eastAsia="宋体" w:cs="宋体"/>
          <w:b/>
          <w:bCs/>
          <w:spacing w:val="-3"/>
          <w:sz w:val="35"/>
          <w:szCs w:val="35"/>
        </w:rPr>
        <w:t>合</w:t>
      </w:r>
      <w:r>
        <w:rPr>
          <w:rFonts w:ascii="宋体" w:hAnsi="宋体" w:eastAsia="宋体" w:cs="宋体"/>
          <w:spacing w:val="57"/>
          <w:sz w:val="35"/>
          <w:szCs w:val="35"/>
        </w:rPr>
        <w:t xml:space="preserve"> </w:t>
      </w:r>
      <w:r>
        <w:rPr>
          <w:rFonts w:ascii="宋体" w:hAnsi="宋体" w:eastAsia="宋体" w:cs="宋体"/>
          <w:b/>
          <w:bCs/>
          <w:spacing w:val="-3"/>
          <w:sz w:val="35"/>
          <w:szCs w:val="35"/>
        </w:rPr>
        <w:t>同</w:t>
      </w:r>
    </w:p>
    <w:p w14:paraId="5116C61E">
      <w:pPr>
        <w:pStyle w:val="9"/>
        <w:spacing w:line="251" w:lineRule="auto"/>
      </w:pPr>
    </w:p>
    <w:p w14:paraId="1A601D3A">
      <w:pPr>
        <w:pStyle w:val="9"/>
        <w:spacing w:line="252" w:lineRule="auto"/>
      </w:pPr>
    </w:p>
    <w:p w14:paraId="61438786">
      <w:pPr>
        <w:pStyle w:val="9"/>
        <w:spacing w:line="252" w:lineRule="auto"/>
      </w:pPr>
    </w:p>
    <w:p w14:paraId="09991B3F">
      <w:pPr>
        <w:pStyle w:val="9"/>
        <w:spacing w:line="252" w:lineRule="auto"/>
      </w:pPr>
    </w:p>
    <w:p w14:paraId="1D7C8DFE">
      <w:pPr>
        <w:spacing w:before="91" w:line="220" w:lineRule="auto"/>
        <w:ind w:left="3078"/>
        <w:rPr>
          <w:rFonts w:ascii="宋体" w:hAnsi="宋体" w:eastAsia="宋体" w:cs="宋体"/>
          <w:sz w:val="28"/>
          <w:szCs w:val="28"/>
        </w:rPr>
      </w:pPr>
      <w:r>
        <w:rPr>
          <w:rFonts w:ascii="宋体" w:hAnsi="宋体" w:eastAsia="宋体" w:cs="宋体"/>
          <w:b/>
          <w:bCs/>
          <w:spacing w:val="-5"/>
          <w:sz w:val="28"/>
          <w:szCs w:val="28"/>
        </w:rPr>
        <w:t>合同编号：</w:t>
      </w:r>
      <w:r>
        <w:rPr>
          <w:rFonts w:ascii="宋体" w:hAnsi="宋体" w:eastAsia="宋体" w:cs="宋体"/>
          <w:sz w:val="28"/>
          <w:szCs w:val="28"/>
          <w:u w:val="single" w:color="auto"/>
        </w:rPr>
        <w:t xml:space="preserve">             </w:t>
      </w:r>
    </w:p>
    <w:p w14:paraId="261DC9EF">
      <w:pPr>
        <w:pStyle w:val="9"/>
        <w:spacing w:line="247" w:lineRule="auto"/>
      </w:pPr>
    </w:p>
    <w:p w14:paraId="7009E24C">
      <w:pPr>
        <w:pStyle w:val="9"/>
        <w:spacing w:line="247" w:lineRule="auto"/>
      </w:pPr>
    </w:p>
    <w:p w14:paraId="1649BEC3">
      <w:pPr>
        <w:pStyle w:val="9"/>
        <w:spacing w:line="247" w:lineRule="auto"/>
      </w:pPr>
    </w:p>
    <w:p w14:paraId="56EC1103">
      <w:pPr>
        <w:pStyle w:val="9"/>
        <w:spacing w:line="247" w:lineRule="auto"/>
      </w:pPr>
    </w:p>
    <w:p w14:paraId="47AFFA26">
      <w:pPr>
        <w:pStyle w:val="9"/>
        <w:spacing w:line="247" w:lineRule="auto"/>
      </w:pPr>
    </w:p>
    <w:p w14:paraId="125D662C">
      <w:pPr>
        <w:pStyle w:val="9"/>
        <w:spacing w:line="247" w:lineRule="auto"/>
      </w:pPr>
    </w:p>
    <w:p w14:paraId="266B5EE2">
      <w:pPr>
        <w:pStyle w:val="9"/>
        <w:spacing w:line="248" w:lineRule="auto"/>
      </w:pPr>
    </w:p>
    <w:p w14:paraId="22C4F4F5">
      <w:pPr>
        <w:pStyle w:val="9"/>
        <w:spacing w:line="248" w:lineRule="auto"/>
      </w:pPr>
    </w:p>
    <w:p w14:paraId="6C259E23">
      <w:pPr>
        <w:pStyle w:val="9"/>
        <w:spacing w:line="248" w:lineRule="auto"/>
      </w:pPr>
    </w:p>
    <w:p w14:paraId="05C2D23D">
      <w:pPr>
        <w:pStyle w:val="9"/>
        <w:spacing w:line="248" w:lineRule="auto"/>
      </w:pPr>
    </w:p>
    <w:p w14:paraId="23FF29CE">
      <w:pPr>
        <w:spacing w:before="91" w:line="219" w:lineRule="auto"/>
        <w:ind w:left="983"/>
        <w:rPr>
          <w:rFonts w:ascii="宋体" w:hAnsi="宋体" w:eastAsia="宋体" w:cs="宋体"/>
          <w:sz w:val="28"/>
          <w:szCs w:val="28"/>
        </w:rPr>
      </w:pPr>
      <w:r>
        <w:rPr>
          <w:rFonts w:ascii="宋体" w:hAnsi="宋体" w:eastAsia="宋体" w:cs="宋体"/>
          <w:b/>
          <w:bCs/>
          <w:spacing w:val="-4"/>
          <w:sz w:val="28"/>
          <w:szCs w:val="28"/>
        </w:rPr>
        <w:t>采购项目名称：</w:t>
      </w:r>
    </w:p>
    <w:p w14:paraId="2D366E9D">
      <w:pPr>
        <w:pStyle w:val="9"/>
        <w:spacing w:line="318" w:lineRule="auto"/>
      </w:pPr>
    </w:p>
    <w:p w14:paraId="25F4099E">
      <w:pPr>
        <w:spacing w:before="91" w:line="219" w:lineRule="auto"/>
        <w:ind w:left="983"/>
        <w:rPr>
          <w:rFonts w:ascii="宋体" w:hAnsi="宋体" w:eastAsia="宋体" w:cs="宋体"/>
          <w:sz w:val="28"/>
          <w:szCs w:val="28"/>
        </w:rPr>
      </w:pPr>
      <w:r>
        <w:rPr>
          <w:rFonts w:ascii="宋体" w:hAnsi="宋体" w:eastAsia="宋体" w:cs="宋体"/>
          <w:b/>
          <w:bCs/>
          <w:spacing w:val="-11"/>
          <w:sz w:val="28"/>
          <w:szCs w:val="28"/>
        </w:rPr>
        <w:t>采</w:t>
      </w:r>
      <w:r>
        <w:rPr>
          <w:rFonts w:ascii="宋体" w:hAnsi="宋体" w:eastAsia="宋体" w:cs="宋体"/>
          <w:spacing w:val="5"/>
          <w:sz w:val="28"/>
          <w:szCs w:val="28"/>
        </w:rPr>
        <w:t xml:space="preserve">  </w:t>
      </w:r>
      <w:r>
        <w:rPr>
          <w:rFonts w:ascii="宋体" w:hAnsi="宋体" w:eastAsia="宋体" w:cs="宋体"/>
          <w:b/>
          <w:bCs/>
          <w:spacing w:val="-11"/>
          <w:sz w:val="28"/>
          <w:szCs w:val="28"/>
        </w:rPr>
        <w:t>购</w:t>
      </w:r>
      <w:r>
        <w:rPr>
          <w:rFonts w:ascii="宋体" w:hAnsi="宋体" w:eastAsia="宋体" w:cs="宋体"/>
          <w:spacing w:val="7"/>
          <w:sz w:val="28"/>
          <w:szCs w:val="28"/>
        </w:rPr>
        <w:t xml:space="preserve">  </w:t>
      </w:r>
      <w:r>
        <w:rPr>
          <w:rFonts w:ascii="宋体" w:hAnsi="宋体" w:eastAsia="宋体" w:cs="宋体"/>
          <w:b/>
          <w:bCs/>
          <w:spacing w:val="-11"/>
          <w:sz w:val="28"/>
          <w:szCs w:val="28"/>
        </w:rPr>
        <w:t>人：</w:t>
      </w:r>
    </w:p>
    <w:p w14:paraId="3BCE3014">
      <w:pPr>
        <w:pStyle w:val="9"/>
        <w:spacing w:line="318" w:lineRule="auto"/>
      </w:pPr>
    </w:p>
    <w:p w14:paraId="3A51E3C8">
      <w:pPr>
        <w:spacing w:before="92" w:line="219" w:lineRule="auto"/>
        <w:ind w:left="985"/>
        <w:rPr>
          <w:rFonts w:ascii="宋体" w:hAnsi="宋体" w:eastAsia="宋体" w:cs="宋体"/>
          <w:sz w:val="28"/>
          <w:szCs w:val="28"/>
        </w:rPr>
      </w:pPr>
      <w:r>
        <w:rPr>
          <w:rFonts w:ascii="宋体" w:hAnsi="宋体" w:eastAsia="宋体" w:cs="宋体"/>
          <w:b/>
          <w:bCs/>
          <w:spacing w:val="-12"/>
          <w:sz w:val="28"/>
          <w:szCs w:val="28"/>
        </w:rPr>
        <w:t>供</w:t>
      </w:r>
      <w:r>
        <w:rPr>
          <w:rFonts w:ascii="宋体" w:hAnsi="宋体" w:eastAsia="宋体" w:cs="宋体"/>
          <w:spacing w:val="5"/>
          <w:sz w:val="28"/>
          <w:szCs w:val="28"/>
        </w:rPr>
        <w:t xml:space="preserve">  </w:t>
      </w:r>
      <w:r>
        <w:rPr>
          <w:rFonts w:ascii="宋体" w:hAnsi="宋体" w:eastAsia="宋体" w:cs="宋体"/>
          <w:b/>
          <w:bCs/>
          <w:spacing w:val="-12"/>
          <w:sz w:val="28"/>
          <w:szCs w:val="28"/>
        </w:rPr>
        <w:t>应</w:t>
      </w:r>
      <w:r>
        <w:rPr>
          <w:rFonts w:ascii="宋体" w:hAnsi="宋体" w:eastAsia="宋体" w:cs="宋体"/>
          <w:spacing w:val="9"/>
          <w:sz w:val="28"/>
          <w:szCs w:val="28"/>
        </w:rPr>
        <w:t xml:space="preserve">  </w:t>
      </w:r>
      <w:r>
        <w:rPr>
          <w:rFonts w:ascii="宋体" w:hAnsi="宋体" w:eastAsia="宋体" w:cs="宋体"/>
          <w:b/>
          <w:bCs/>
          <w:spacing w:val="-12"/>
          <w:sz w:val="28"/>
          <w:szCs w:val="28"/>
        </w:rPr>
        <w:t>商：</w:t>
      </w:r>
    </w:p>
    <w:p w14:paraId="6D73F87A">
      <w:pPr>
        <w:spacing w:before="291" w:line="221" w:lineRule="auto"/>
        <w:ind w:left="1001"/>
        <w:rPr>
          <w:rFonts w:ascii="宋体" w:hAnsi="宋体" w:eastAsia="宋体" w:cs="宋体"/>
          <w:sz w:val="28"/>
          <w:szCs w:val="28"/>
        </w:rPr>
      </w:pPr>
      <w:r>
        <w:rPr>
          <w:rFonts w:ascii="宋体" w:hAnsi="宋体" w:eastAsia="宋体" w:cs="宋体"/>
          <w:b/>
          <w:bCs/>
          <w:spacing w:val="-5"/>
          <w:sz w:val="28"/>
          <w:szCs w:val="28"/>
        </w:rPr>
        <w:t>签署日期：</w:t>
      </w:r>
    </w:p>
    <w:p w14:paraId="06A59B1C">
      <w:pPr>
        <w:spacing w:line="221" w:lineRule="auto"/>
        <w:rPr>
          <w:rFonts w:ascii="宋体" w:hAnsi="宋体" w:eastAsia="宋体" w:cs="宋体"/>
          <w:sz w:val="28"/>
          <w:szCs w:val="28"/>
        </w:rPr>
        <w:sectPr>
          <w:footerReference r:id="rId5" w:type="default"/>
          <w:pgSz w:w="11906" w:h="16839"/>
          <w:pgMar w:top="1431" w:right="1785" w:bottom="1152" w:left="1785" w:header="0" w:footer="987" w:gutter="0"/>
          <w:pgNumType w:fmt="decimal"/>
          <w:cols w:space="720" w:num="1"/>
        </w:sectPr>
      </w:pPr>
    </w:p>
    <w:p w14:paraId="47F27B23">
      <w:pPr>
        <w:spacing w:line="220" w:lineRule="atLeas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（仅供参考）</w:t>
      </w:r>
    </w:p>
    <w:p w14:paraId="66461976">
      <w:pPr>
        <w:pStyle w:val="11"/>
        <w:rPr>
          <w:rFonts w:hint="eastAsia" w:ascii="宋体" w:hAnsi="宋体" w:eastAsia="宋体" w:cs="宋体"/>
          <w:color w:val="auto"/>
          <w:sz w:val="24"/>
          <w:szCs w:val="24"/>
        </w:rPr>
      </w:pPr>
    </w:p>
    <w:p w14:paraId="69BD141D">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政府购买服务合同</w:t>
      </w:r>
    </w:p>
    <w:p w14:paraId="0BD3B615">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 xml:space="preserve">      主要合同条款</w:t>
      </w:r>
    </w:p>
    <w:p w14:paraId="4759D23F">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甲方：</w:t>
      </w:r>
    </w:p>
    <w:p w14:paraId="419122F3">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乙方：</w:t>
      </w:r>
    </w:p>
    <w:p w14:paraId="1BE211A5">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根据甲方委托　　　　　　　　　实施的政府采购              　　项目的采购结果，按照《中华人民共和国政府采购法》、《中华人民共和国民法典》之规定，经甲乙双方协商，本着平等互利和诚实信用的原则，双方一致同意，签订本合同.</w:t>
      </w:r>
    </w:p>
    <w:p w14:paraId="67876609">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购买服务的内容及期限</w:t>
      </w:r>
    </w:p>
    <w:p w14:paraId="0538DEFF">
      <w:pPr>
        <w:pStyle w:val="9"/>
        <w:numPr>
          <w:ilvl w:val="0"/>
          <w:numId w:val="4"/>
        </w:numPr>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甲方以　　　　（政府采购方式）采购乙方提供的以下服务：</w:t>
      </w:r>
    </w:p>
    <w:p w14:paraId="6DD554A4">
      <w:pPr>
        <w:pStyle w:val="9"/>
        <w:numPr>
          <w:ilvl w:val="0"/>
          <w:numId w:val="0"/>
        </w:numPr>
        <w:spacing w:before="203" w:line="349" w:lineRule="auto"/>
        <w:ind w:right="85" w:rightChars="0" w:firstLine="480" w:firstLineChars="200"/>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。内容包括：                           。</w:t>
      </w:r>
    </w:p>
    <w:p w14:paraId="02FEED96">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2、本合同项目下的</w:t>
      </w:r>
      <w:r>
        <w:rPr>
          <w:rFonts w:hint="eastAsia" w:ascii="宋体" w:hAnsi="宋体" w:cs="Times New Roman"/>
          <w:kern w:val="0"/>
          <w:sz w:val="24"/>
          <w:lang w:val="en-US" w:eastAsia="zh-CN" w:bidi="ar-SA"/>
        </w:rPr>
        <w:t>供货期</w:t>
      </w:r>
      <w:r>
        <w:rPr>
          <w:rFonts w:hint="eastAsia" w:ascii="宋体" w:hAnsi="宋体" w:eastAsia="宋体" w:cs="Times New Roman"/>
          <w:kern w:val="0"/>
          <w:sz w:val="24"/>
          <w:lang w:val="en-US" w:eastAsia="zh-CN" w:bidi="ar-SA"/>
        </w:rPr>
        <w:t>限为：</w:t>
      </w:r>
    </w:p>
    <w:p w14:paraId="13E5A1CE">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自______年___ 月    日至______年___ 月    日止，共计     天。</w:t>
      </w:r>
    </w:p>
    <w:p w14:paraId="3ACC34C1">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3、服务地点：              。</w:t>
      </w:r>
    </w:p>
    <w:p w14:paraId="62993E3F">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第二条  合同金额</w:t>
      </w:r>
    </w:p>
    <w:p w14:paraId="1E6F38ED">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本合同服务费总金额为人民币（大写）：_____________元（￥_______________元）。</w:t>
      </w:r>
    </w:p>
    <w:p w14:paraId="0AA05FB2">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第三条  服务质量标准为：</w:t>
      </w:r>
    </w:p>
    <w:p w14:paraId="7752EFD2">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第四条  验收方及验收标准</w:t>
      </w:r>
    </w:p>
    <w:p w14:paraId="4BB36671">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 xml:space="preserve"> 1、完成合同约定的各项内容；</w:t>
      </w:r>
    </w:p>
    <w:p w14:paraId="637939B0">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2、有完整的技术档案和施工管理资料；</w:t>
      </w:r>
    </w:p>
    <w:p w14:paraId="580C0627">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3、有相关的进场试验报告等。</w:t>
      </w:r>
    </w:p>
    <w:p w14:paraId="2963C221">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第五条  服务受益方评价标准及方法</w:t>
      </w:r>
    </w:p>
    <w:p w14:paraId="1C3277D3">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第六条  双方权利和义务</w:t>
      </w:r>
    </w:p>
    <w:p w14:paraId="3F6A8DEA">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1、甲方的权利和义务：</w:t>
      </w:r>
    </w:p>
    <w:p w14:paraId="3E5F5235">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2、乙方的权利和义务：</w:t>
      </w:r>
    </w:p>
    <w:p w14:paraId="37744D90">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第七条  付款方式</w:t>
      </w:r>
    </w:p>
    <w:p w14:paraId="1E55EB49">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按进度支付服务费：</w:t>
      </w:r>
    </w:p>
    <w:p w14:paraId="0B215187">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（1）合同签订后，甲方支付40%价款。</w:t>
      </w:r>
    </w:p>
    <w:p w14:paraId="554E54CC">
      <w:pPr>
        <w:pStyle w:val="9"/>
        <w:spacing w:before="203" w:line="349" w:lineRule="auto"/>
        <w:ind w:right="85" w:firstLine="659"/>
        <w:jc w:val="both"/>
        <w:rPr>
          <w:rFonts w:hint="eastAsia"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（2）项目完工验收后，甲方支付剩余款项。</w:t>
      </w:r>
    </w:p>
    <w:p w14:paraId="7EEB2B81">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第八条  违约责任</w:t>
      </w:r>
    </w:p>
    <w:p w14:paraId="696A9118">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1、乙方提供的服务不符合采购文件、报价文件或本合同规定的，甲方有权拒收，并且乙方须向甲方支付本合同总价__ %的违约金。</w:t>
      </w:r>
    </w:p>
    <w:p w14:paraId="2626DA70">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2、乙方未能按本合同规定的服务时间提供服务，从逾期之日起每日按本合同总价__ %的数额向甲方支付违约金；逾期半个月以上的，甲方有权终止合同，由此造成的甲方经济损失由乙方承担。</w:t>
      </w:r>
    </w:p>
    <w:p w14:paraId="791B749C">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3、未经甲方同意乙方不得私自将该服务转包第三方完成。如私自转包，则处本合同总价__ %的违约金。</w:t>
      </w:r>
    </w:p>
    <w:p w14:paraId="3A82845D">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4、甲方无正当理由拒绝接受服务，到期拒付服务款项的，甲方向乙方偿付本合同总价的__ %的违约金。甲方逾期付款，则每日按逾期金额的__ %向乙方偿付违约金。</w:t>
      </w:r>
    </w:p>
    <w:p w14:paraId="1C827867">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5、其它违约责任按《中华人民共和国合同法》处理。</w:t>
      </w:r>
    </w:p>
    <w:p w14:paraId="549777C0">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第九条  知识产权归属</w:t>
      </w:r>
    </w:p>
    <w:p w14:paraId="15624EEA">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第十条  保密条款</w:t>
      </w:r>
    </w:p>
    <w:p w14:paraId="3E29353E">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1、乙方对甲方提供的资料负有保密义务，未经甲方同意，不得向项目无关单位和个人提供有关资料。如发生以上情况，甲方有权索赔。</w:t>
      </w:r>
    </w:p>
    <w:p w14:paraId="248883AB">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2、甲方有义务保护乙方的知识产权，未经乙方同意，甲方对工程咨询单位交付的成果文件、资料不得向第三方转让或用于本合同以外的项目。如发生以上情况，乙方有权索赔。</w:t>
      </w:r>
    </w:p>
    <w:p w14:paraId="56FA38B6">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第十一条  争议的解决</w:t>
      </w:r>
    </w:p>
    <w:p w14:paraId="17CCC2FC">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本合同执行过程中发生的任何争议，如双方不能通过友好协商解决，由合同签订地法院处理。</w:t>
      </w:r>
    </w:p>
    <w:p w14:paraId="2344FF8F">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第十二条  不可抗力</w:t>
      </w:r>
    </w:p>
    <w:p w14:paraId="781C3F24">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4C3CCABA">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第十三条  合同的终止</w:t>
      </w:r>
    </w:p>
    <w:p w14:paraId="3E37CAF1">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1、合同期满，双方未续签的；</w:t>
      </w:r>
    </w:p>
    <w:p w14:paraId="274BE2F0">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2、乙方服务能力丧失，致使服务无法正常进行的；</w:t>
      </w:r>
    </w:p>
    <w:p w14:paraId="21C4EFCD">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第十四条  税费</w:t>
      </w:r>
    </w:p>
    <w:p w14:paraId="35B55025">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此项目发生的与本合同执行有关的一切税费均由乙方负担。</w:t>
      </w:r>
    </w:p>
    <w:p w14:paraId="04DA5BA7">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第十五条  其它</w:t>
      </w:r>
    </w:p>
    <w:p w14:paraId="73EF5344">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1、本合同所有附件及政府采购文件均为合同的有效组成部分，与本合同具有同等法律效力。</w:t>
      </w:r>
    </w:p>
    <w:p w14:paraId="4A34CB98">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2、在执行本合同的过程中，所有经双方签署确认的文件（包括会议纪要、补充协议、往来信函）即成为本合同的有效组成部分。</w:t>
      </w:r>
    </w:p>
    <w:p w14:paraId="276E8619">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 xml:space="preserve">3、如一方地址、电话、传真号码有变更，应在变更当日内书面通知对方，否则，应承担相应责任。 </w:t>
      </w:r>
    </w:p>
    <w:p w14:paraId="425EC337">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第十六条  补充条款</w:t>
      </w:r>
    </w:p>
    <w:p w14:paraId="1BEB6791">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1、谅解与备忘条款：</w:t>
      </w:r>
    </w:p>
    <w:p w14:paraId="5BC79A1C">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2、双方不可撤销的责任与义务：</w:t>
      </w:r>
    </w:p>
    <w:p w14:paraId="4C7DE484">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3、双方约定以下补充条款：</w:t>
      </w:r>
    </w:p>
    <w:p w14:paraId="584B0B4B">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第十七条  合同生效</w:t>
      </w:r>
    </w:p>
    <w:p w14:paraId="542EC6A8">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1、本合同订立时间：        年      月      日</w:t>
      </w:r>
    </w:p>
    <w:p w14:paraId="47BF0BA0">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 xml:space="preserve">2、本合同订立地点：                          。                       </w:t>
      </w:r>
    </w:p>
    <w:p w14:paraId="06222610">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3、本合同在甲乙双方法人代表或其授权代表签字盖章后生效。</w:t>
      </w:r>
    </w:p>
    <w:p w14:paraId="0CAF5A63">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4、本合同一式    份，甲乙双方、代理机构及政府采购监督管理部门各执一份，具有同等法律效力。</w:t>
      </w:r>
    </w:p>
    <w:p w14:paraId="4D00C55B">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第十八条  合同附件(签定具体合同时，若有附件应注明，并注明附件名称。)</w:t>
      </w:r>
    </w:p>
    <w:p w14:paraId="6CD6F8E8">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甲方（盖章）：                          乙方（盖章）：</w:t>
      </w:r>
    </w:p>
    <w:p w14:paraId="6164D27D">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法定代表人（盖章或签字）：             法定代表人（盖章或签字）：</w:t>
      </w:r>
    </w:p>
    <w:p w14:paraId="0D67EDDE">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委托代理人（签字）：                   委托代理人（签字）：</w:t>
      </w:r>
    </w:p>
    <w:p w14:paraId="3023313F">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地  址：                               地  址：</w:t>
      </w:r>
    </w:p>
    <w:p w14:paraId="265FC607">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电  话：                               电  话：</w:t>
      </w:r>
    </w:p>
    <w:p w14:paraId="4E9BD21E">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开户名称：</w:t>
      </w:r>
    </w:p>
    <w:p w14:paraId="6644B6F9">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开 户 行：</w:t>
      </w:r>
    </w:p>
    <w:p w14:paraId="6DF3787B">
      <w:pPr>
        <w:pStyle w:val="9"/>
        <w:spacing w:before="203" w:line="349" w:lineRule="auto"/>
        <w:ind w:right="85" w:firstLine="659"/>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银行帐号：</w:t>
      </w:r>
    </w:p>
    <w:p w14:paraId="0F605213">
      <w:pPr>
        <w:pStyle w:val="9"/>
        <w:spacing w:before="203" w:line="349" w:lineRule="auto"/>
        <w:ind w:right="85"/>
        <w:jc w:val="both"/>
        <w:rPr>
          <w:rFonts w:ascii="宋体" w:hAnsi="宋体" w:eastAsia="宋体" w:cs="Times New Roman"/>
          <w:kern w:val="0"/>
          <w:sz w:val="24"/>
          <w:lang w:val="en-US" w:eastAsia="zh-CN" w:bidi="ar-SA"/>
        </w:rPr>
      </w:pPr>
      <w:r>
        <w:rPr>
          <w:rFonts w:hint="eastAsia" w:ascii="宋体" w:hAnsi="宋体" w:eastAsia="宋体" w:cs="Times New Roman"/>
          <w:kern w:val="0"/>
          <w:sz w:val="24"/>
          <w:lang w:val="en-US" w:eastAsia="zh-CN" w:bidi="ar-SA"/>
        </w:rPr>
        <w:t xml:space="preserve">日  期：   年 　月　 日              　日    期：    年   月   日  </w:t>
      </w:r>
    </w:p>
    <w:p w14:paraId="4BEEFE85">
      <w:pPr>
        <w:pStyle w:val="9"/>
        <w:spacing w:after="0" w:line="240" w:lineRule="auto"/>
        <w:ind w:left="0" w:right="0" w:firstLine="720" w:firstLineChars="300"/>
        <w:rPr>
          <w:rFonts w:ascii="宋体" w:hAnsi="宋体" w:eastAsia="宋体" w:cs="Times New Roman"/>
          <w:kern w:val="0"/>
          <w:sz w:val="24"/>
          <w:lang w:val="en-US" w:eastAsia="zh-CN" w:bidi="ar-SA"/>
        </w:rPr>
        <w:sectPr>
          <w:pgSz w:w="11900" w:h="16820"/>
          <w:pgMar w:top="1440" w:right="1800" w:bottom="1440" w:left="1800" w:header="0" w:footer="0" w:gutter="0"/>
          <w:pgNumType w:fmt="decimal"/>
          <w:cols w:space="720" w:num="1"/>
        </w:sectPr>
      </w:pPr>
    </w:p>
    <w:p w14:paraId="371D0F3C">
      <w:pPr>
        <w:pStyle w:val="2"/>
        <w:rPr>
          <w:rFonts w:hint="eastAsia" w:ascii="宋体" w:hAnsi="宋体" w:eastAsia="宋体" w:cs="宋体"/>
          <w:color w:val="auto"/>
        </w:rPr>
      </w:pPr>
      <w:r>
        <w:rPr>
          <w:rFonts w:hint="eastAsia" w:ascii="宋体" w:hAnsi="宋体" w:eastAsia="宋体" w:cs="宋体"/>
          <w:color w:val="auto"/>
          <w:sz w:val="32"/>
          <w:szCs w:val="32"/>
        </w:rPr>
        <w:t>第</w:t>
      </w:r>
      <w:r>
        <w:rPr>
          <w:rFonts w:hint="eastAsia" w:cs="宋体"/>
          <w:color w:val="auto"/>
          <w:sz w:val="32"/>
          <w:szCs w:val="32"/>
          <w:lang w:val="en-US" w:eastAsia="zh-CN"/>
        </w:rPr>
        <w:t>七</w:t>
      </w:r>
      <w:r>
        <w:rPr>
          <w:rFonts w:hint="eastAsia" w:ascii="宋体" w:hAnsi="宋体" w:eastAsia="宋体" w:cs="宋体"/>
          <w:color w:val="auto"/>
          <w:sz w:val="32"/>
          <w:szCs w:val="32"/>
        </w:rPr>
        <w:t>章  投标文件构成及格式</w:t>
      </w:r>
      <w:bookmarkEnd w:id="169"/>
    </w:p>
    <w:tbl>
      <w:tblPr>
        <w:tblStyle w:val="2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0"/>
      </w:tblGrid>
      <w:tr w14:paraId="4678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26" w:hRule="atLeast"/>
          <w:jc w:val="center"/>
        </w:trPr>
        <w:tc>
          <w:tcPr>
            <w:tcW w:w="9180" w:type="dxa"/>
          </w:tcPr>
          <w:p w14:paraId="161C822E">
            <w:pP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注释： </w:t>
            </w:r>
          </w:p>
          <w:p w14:paraId="6B1EE8A5">
            <w:pPr>
              <w:spacing w:line="288"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1.本章分为六部分，是为方便投标人制作投标文件设计。第一、二、三、四、五部分应按要求或给定格式填报。</w:t>
            </w:r>
          </w:p>
          <w:p w14:paraId="3BD6439F">
            <w:pPr>
              <w:spacing w:line="288"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2.第六部分投标响应方案部分格式仅供参考，投标人应根据项目特点，结合本次采购要求，对有关表格进行补充或修改。但不得对实质性文件的相关条款做出变动。</w:t>
            </w:r>
          </w:p>
        </w:tc>
      </w:tr>
    </w:tbl>
    <w:p w14:paraId="1AD17BFF">
      <w:pPr>
        <w:rPr>
          <w:rFonts w:hint="eastAsia" w:ascii="宋体" w:hAnsi="宋体" w:eastAsia="宋体" w:cs="宋体"/>
          <w:b/>
          <w:bCs/>
          <w:color w:val="auto"/>
          <w:sz w:val="21"/>
          <w:szCs w:val="16"/>
        </w:rPr>
      </w:pPr>
      <w:r>
        <w:rPr>
          <w:rFonts w:hint="eastAsia" w:ascii="宋体" w:hAnsi="宋体" w:eastAsia="宋体" w:cs="宋体"/>
          <w:color w:val="auto"/>
        </w:rPr>
        <w:br w:type="page"/>
      </w:r>
      <w:bookmarkStart w:id="173" w:name="_Toc13182"/>
    </w:p>
    <w:p w14:paraId="64F1A089">
      <w:pPr>
        <w:keepNext/>
        <w:keepLines/>
        <w:spacing w:line="288" w:lineRule="auto"/>
        <w:jc w:val="center"/>
        <w:rPr>
          <w:rFonts w:hint="eastAsia" w:ascii="宋体" w:hAnsi="宋体" w:eastAsia="宋体" w:cs="宋体"/>
          <w:b/>
          <w:bCs/>
          <w:color w:val="auto"/>
          <w:sz w:val="28"/>
          <w:szCs w:val="28"/>
        </w:rPr>
      </w:pPr>
    </w:p>
    <w:p w14:paraId="535785A6">
      <w:pPr>
        <w:keepNext/>
        <w:keepLines/>
        <w:spacing w:line="288"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封面及目录格式</w:t>
      </w:r>
      <w:bookmarkEnd w:id="173"/>
    </w:p>
    <w:p w14:paraId="4BB1D607">
      <w:pPr>
        <w:pStyle w:val="47"/>
        <w:ind w:firstLine="0" w:firstLineChars="0"/>
        <w:rPr>
          <w:rFonts w:hint="eastAsia" w:ascii="宋体" w:hAnsi="宋体" w:eastAsia="宋体" w:cs="宋体"/>
          <w:bCs/>
          <w:color w:val="auto"/>
          <w:sz w:val="28"/>
          <w:szCs w:val="28"/>
        </w:rPr>
      </w:pPr>
    </w:p>
    <w:p w14:paraId="30B0F6A8">
      <w:pPr>
        <w:pStyle w:val="47"/>
        <w:ind w:firstLine="0" w:firstLineChars="0"/>
        <w:rPr>
          <w:rFonts w:hint="eastAsia" w:ascii="宋体" w:hAnsi="宋体" w:eastAsia="宋体" w:cs="宋体"/>
          <w:bCs/>
          <w:color w:val="auto"/>
          <w:sz w:val="28"/>
          <w:szCs w:val="28"/>
        </w:rPr>
      </w:pPr>
    </w:p>
    <w:p w14:paraId="198CAF3E">
      <w:pPr>
        <w:pStyle w:val="47"/>
        <w:ind w:firstLine="0" w:firstLineChars="0"/>
        <w:rPr>
          <w:rFonts w:hint="eastAsia" w:ascii="宋体" w:hAnsi="宋体" w:eastAsia="宋体" w:cs="宋体"/>
          <w:bCs/>
          <w:color w:val="auto"/>
          <w:sz w:val="28"/>
          <w:szCs w:val="28"/>
        </w:rPr>
      </w:pPr>
      <w:r>
        <w:rPr>
          <w:rFonts w:hint="eastAsia" w:ascii="宋体" w:hAnsi="宋体" w:eastAsia="宋体" w:cs="宋体"/>
          <w:bCs/>
          <w:color w:val="auto"/>
          <w:sz w:val="28"/>
          <w:szCs w:val="28"/>
        </w:rPr>
        <w:t>项目名称：</w:t>
      </w:r>
    </w:p>
    <w:p w14:paraId="00802835">
      <w:pPr>
        <w:pStyle w:val="47"/>
        <w:ind w:firstLine="0" w:firstLineChars="0"/>
        <w:rPr>
          <w:rFonts w:hint="eastAsia" w:ascii="宋体" w:hAnsi="宋体" w:eastAsia="宋体" w:cs="宋体"/>
          <w:color w:val="auto"/>
          <w:sz w:val="28"/>
          <w:szCs w:val="28"/>
        </w:rPr>
      </w:pPr>
      <w:r>
        <w:rPr>
          <w:rFonts w:hint="eastAsia" w:ascii="宋体" w:hAnsi="宋体" w:eastAsia="宋体" w:cs="宋体"/>
          <w:color w:val="auto"/>
          <w:sz w:val="28"/>
          <w:szCs w:val="28"/>
        </w:rPr>
        <w:t>项目编号：</w:t>
      </w:r>
    </w:p>
    <w:p w14:paraId="3659027E">
      <w:pPr>
        <w:pStyle w:val="47"/>
        <w:ind w:firstLine="0" w:firstLineChars="0"/>
        <w:rPr>
          <w:rFonts w:hint="eastAsia" w:ascii="宋体" w:hAnsi="宋体" w:eastAsia="宋体" w:cs="宋体"/>
          <w:color w:val="auto"/>
          <w:sz w:val="28"/>
          <w:szCs w:val="28"/>
        </w:rPr>
      </w:pPr>
    </w:p>
    <w:p w14:paraId="56981ED5">
      <w:pPr>
        <w:jc w:val="center"/>
        <w:rPr>
          <w:rFonts w:hint="eastAsia" w:ascii="宋体" w:hAnsi="宋体" w:eastAsia="宋体" w:cs="宋体"/>
          <w:color w:val="auto"/>
          <w:sz w:val="52"/>
          <w:szCs w:val="52"/>
        </w:rPr>
      </w:pPr>
    </w:p>
    <w:p w14:paraId="28952B4D">
      <w:pPr>
        <w:jc w:val="center"/>
        <w:rPr>
          <w:rFonts w:hint="eastAsia" w:ascii="宋体" w:hAnsi="宋体" w:eastAsia="宋体" w:cs="宋体"/>
          <w:color w:val="auto"/>
          <w:sz w:val="52"/>
          <w:szCs w:val="52"/>
        </w:rPr>
      </w:pPr>
    </w:p>
    <w:p w14:paraId="6BCFEF7D">
      <w:pPr>
        <w:pStyle w:val="9"/>
        <w:rPr>
          <w:rFonts w:hint="eastAsia" w:ascii="宋体" w:hAnsi="宋体" w:eastAsia="宋体" w:cs="宋体"/>
          <w:color w:val="auto"/>
        </w:rPr>
      </w:pPr>
    </w:p>
    <w:p w14:paraId="67151B15">
      <w:pPr>
        <w:jc w:val="center"/>
        <w:rPr>
          <w:rFonts w:hint="eastAsia" w:ascii="宋体" w:hAnsi="宋体" w:eastAsia="宋体" w:cs="宋体"/>
          <w:b/>
          <w:bCs/>
          <w:color w:val="auto"/>
          <w:sz w:val="32"/>
          <w:szCs w:val="22"/>
        </w:rPr>
      </w:pPr>
      <w:r>
        <w:rPr>
          <w:rFonts w:hint="eastAsia" w:ascii="宋体" w:hAnsi="宋体" w:eastAsia="宋体" w:cs="宋体"/>
          <w:b/>
          <w:bCs/>
          <w:color w:val="auto"/>
          <w:sz w:val="96"/>
          <w:szCs w:val="96"/>
        </w:rPr>
        <w:t>投标文件</w:t>
      </w:r>
    </w:p>
    <w:p w14:paraId="3483106B">
      <w:pPr>
        <w:pStyle w:val="47"/>
        <w:ind w:firstLine="0" w:firstLineChars="0"/>
        <w:rPr>
          <w:rFonts w:hint="eastAsia" w:ascii="宋体" w:hAnsi="宋体" w:eastAsia="宋体" w:cs="宋体"/>
          <w:color w:val="auto"/>
          <w:sz w:val="36"/>
        </w:rPr>
      </w:pPr>
    </w:p>
    <w:p w14:paraId="72D5671F">
      <w:pPr>
        <w:pStyle w:val="47"/>
        <w:ind w:firstLine="0" w:firstLineChars="0"/>
        <w:rPr>
          <w:rFonts w:hint="eastAsia" w:ascii="宋体" w:hAnsi="宋体" w:eastAsia="宋体" w:cs="宋体"/>
          <w:color w:val="auto"/>
          <w:sz w:val="36"/>
        </w:rPr>
      </w:pPr>
    </w:p>
    <w:p w14:paraId="5C0B02FB">
      <w:pPr>
        <w:pStyle w:val="47"/>
        <w:ind w:firstLine="0" w:firstLineChars="0"/>
        <w:rPr>
          <w:rFonts w:hint="eastAsia" w:ascii="宋体" w:hAnsi="宋体" w:eastAsia="宋体" w:cs="宋体"/>
          <w:color w:val="auto"/>
          <w:sz w:val="36"/>
        </w:rPr>
      </w:pPr>
    </w:p>
    <w:p w14:paraId="06913C7A">
      <w:pPr>
        <w:pStyle w:val="47"/>
        <w:ind w:firstLine="560"/>
        <w:rPr>
          <w:rFonts w:hint="eastAsia" w:ascii="宋体" w:hAnsi="宋体" w:eastAsia="宋体" w:cs="宋体"/>
          <w:color w:val="auto"/>
          <w:sz w:val="28"/>
          <w:szCs w:val="28"/>
        </w:rPr>
      </w:pPr>
    </w:p>
    <w:p w14:paraId="0340675A">
      <w:pPr>
        <w:pStyle w:val="47"/>
        <w:ind w:firstLine="0" w:firstLineChars="0"/>
        <w:rPr>
          <w:rFonts w:hint="eastAsia" w:ascii="宋体" w:hAnsi="宋体" w:eastAsia="宋体" w:cs="宋体"/>
          <w:color w:val="auto"/>
          <w:sz w:val="28"/>
          <w:szCs w:val="28"/>
        </w:rPr>
      </w:pPr>
    </w:p>
    <w:p w14:paraId="5A4CE150">
      <w:pPr>
        <w:pStyle w:val="47"/>
        <w:ind w:firstLine="560"/>
        <w:rPr>
          <w:rFonts w:hint="eastAsia" w:ascii="宋体" w:hAnsi="宋体" w:eastAsia="宋体" w:cs="宋体"/>
          <w:color w:val="auto"/>
          <w:sz w:val="28"/>
          <w:szCs w:val="28"/>
        </w:rPr>
      </w:pPr>
    </w:p>
    <w:p w14:paraId="258A3D8F">
      <w:pPr>
        <w:pStyle w:val="47"/>
        <w:ind w:firstLine="1400" w:firstLineChars="500"/>
        <w:rPr>
          <w:rFonts w:hint="eastAsia" w:ascii="宋体" w:hAnsi="宋体" w:eastAsia="宋体" w:cs="宋体"/>
          <w:color w:val="auto"/>
          <w:sz w:val="28"/>
          <w:szCs w:val="28"/>
        </w:rPr>
      </w:pPr>
      <w:r>
        <w:rPr>
          <w:rFonts w:hint="eastAsia" w:ascii="宋体" w:hAnsi="宋体" w:eastAsia="宋体" w:cs="宋体"/>
          <w:color w:val="auto"/>
          <w:sz w:val="28"/>
          <w:szCs w:val="28"/>
        </w:rPr>
        <w:t>投标人全称：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（盖章）</w:t>
      </w:r>
    </w:p>
    <w:p w14:paraId="7121CC29">
      <w:pPr>
        <w:pStyle w:val="9"/>
        <w:ind w:firstLine="1400" w:firstLineChars="500"/>
        <w:rPr>
          <w:rFonts w:hint="eastAsia" w:ascii="宋体" w:hAnsi="宋体" w:eastAsia="宋体" w:cs="宋体"/>
          <w:color w:val="auto"/>
          <w:sz w:val="28"/>
          <w:szCs w:val="28"/>
        </w:rPr>
      </w:pPr>
      <w:r>
        <w:rPr>
          <w:rFonts w:hint="eastAsia" w:ascii="宋体" w:hAnsi="宋体" w:eastAsia="宋体" w:cs="宋体"/>
          <w:color w:val="auto"/>
          <w:sz w:val="28"/>
          <w:szCs w:val="28"/>
        </w:rPr>
        <w:t>法定代表人或其委托代理人：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（签字）       </w:t>
      </w:r>
    </w:p>
    <w:p w14:paraId="733AB3C4">
      <w:pPr>
        <w:pStyle w:val="9"/>
        <w:ind w:firstLine="1400" w:firstLineChars="500"/>
        <w:rPr>
          <w:rFonts w:hint="eastAsia" w:ascii="宋体" w:hAnsi="宋体" w:eastAsia="宋体" w:cs="宋体"/>
          <w:b/>
          <w:color w:val="auto"/>
          <w:szCs w:val="24"/>
        </w:rPr>
      </w:pPr>
      <w:r>
        <w:rPr>
          <w:rFonts w:hint="eastAsia" w:ascii="宋体" w:hAnsi="宋体" w:eastAsia="宋体" w:cs="宋体"/>
          <w:color w:val="auto"/>
          <w:sz w:val="28"/>
          <w:szCs w:val="28"/>
        </w:rPr>
        <w:t>日    期：     年     月     日</w:t>
      </w:r>
      <w:r>
        <w:rPr>
          <w:rFonts w:hint="eastAsia" w:ascii="宋体" w:hAnsi="宋体" w:eastAsia="宋体" w:cs="宋体"/>
          <w:color w:val="auto"/>
          <w:sz w:val="28"/>
          <w:szCs w:val="28"/>
        </w:rPr>
        <w:br w:type="page"/>
      </w:r>
    </w:p>
    <w:p w14:paraId="07A1115D">
      <w:pPr>
        <w:pStyle w:val="47"/>
        <w:ind w:firstLine="0" w:firstLineChars="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目 录</w:t>
      </w:r>
    </w:p>
    <w:p w14:paraId="5CFE570D">
      <w:pPr>
        <w:jc w:val="center"/>
        <w:rPr>
          <w:rFonts w:hint="eastAsia" w:ascii="宋体" w:hAnsi="宋体" w:eastAsia="宋体" w:cs="宋体"/>
          <w:b/>
          <w:bCs/>
          <w:color w:val="auto"/>
          <w:sz w:val="21"/>
          <w:szCs w:val="21"/>
        </w:rPr>
      </w:pPr>
      <w:r>
        <w:rPr>
          <w:rFonts w:hint="eastAsia" w:hAnsi="宋体" w:cs="宋体"/>
          <w:color w:val="auto"/>
          <w:sz w:val="21"/>
          <w:szCs w:val="21"/>
          <w:lang w:eastAsia="zh-CN"/>
        </w:rPr>
        <w:t>（</w:t>
      </w:r>
      <w:r>
        <w:rPr>
          <w:rFonts w:hint="eastAsia" w:hAnsi="宋体" w:cs="宋体"/>
          <w:color w:val="auto"/>
          <w:sz w:val="21"/>
          <w:szCs w:val="21"/>
          <w:lang w:val="en-US" w:eastAsia="zh-CN"/>
        </w:rPr>
        <w:t>格式自拟</w:t>
      </w:r>
      <w:r>
        <w:rPr>
          <w:rFonts w:hint="eastAsia" w:hAnsi="宋体" w:cs="宋体"/>
          <w:color w:val="auto"/>
          <w:sz w:val="21"/>
          <w:szCs w:val="21"/>
          <w:lang w:eastAsia="zh-CN"/>
        </w:rPr>
        <w:t>）</w:t>
      </w:r>
      <w:r>
        <w:rPr>
          <w:rFonts w:hint="eastAsia" w:ascii="宋体" w:hAnsi="宋体" w:eastAsia="宋体" w:cs="宋体"/>
          <w:color w:val="auto"/>
        </w:rPr>
        <w:br w:type="page"/>
      </w:r>
      <w:bookmarkStart w:id="174" w:name="_Toc29110"/>
      <w:bookmarkStart w:id="175" w:name="_Toc7762"/>
      <w:bookmarkStart w:id="176" w:name="_Toc9369"/>
      <w:bookmarkStart w:id="177" w:name="_Toc17094"/>
      <w:bookmarkStart w:id="178" w:name="_Toc22764"/>
      <w:bookmarkStart w:id="179" w:name="_Toc5071"/>
    </w:p>
    <w:p w14:paraId="1A068F28">
      <w:pPr>
        <w:jc w:val="center"/>
        <w:rPr>
          <w:rFonts w:hint="eastAsia" w:ascii="宋体" w:hAnsi="宋体" w:eastAsia="宋体" w:cs="宋体"/>
          <w:b/>
          <w:bCs/>
          <w:color w:val="auto"/>
          <w:sz w:val="21"/>
          <w:szCs w:val="21"/>
        </w:rPr>
      </w:pPr>
      <w:r>
        <w:rPr>
          <w:rFonts w:hint="eastAsia" w:ascii="宋体" w:hAnsi="宋体" w:eastAsia="宋体" w:cs="宋体"/>
          <w:b/>
          <w:bCs/>
          <w:color w:val="auto"/>
          <w:sz w:val="32"/>
          <w:szCs w:val="32"/>
        </w:rPr>
        <w:t xml:space="preserve">第一部分 </w:t>
      </w:r>
      <w:bookmarkEnd w:id="174"/>
      <w:bookmarkEnd w:id="175"/>
      <w:bookmarkEnd w:id="176"/>
      <w:bookmarkEnd w:id="177"/>
      <w:bookmarkEnd w:id="178"/>
      <w:bookmarkEnd w:id="179"/>
      <w:r>
        <w:rPr>
          <w:rFonts w:hint="eastAsia" w:ascii="宋体" w:hAnsi="宋体" w:eastAsia="宋体" w:cs="宋体"/>
          <w:b/>
          <w:bCs/>
          <w:color w:val="auto"/>
          <w:sz w:val="32"/>
          <w:szCs w:val="32"/>
        </w:rPr>
        <w:t>投标函</w:t>
      </w:r>
      <w:bookmarkStart w:id="180" w:name="_Toc4366"/>
      <w:bookmarkStart w:id="181" w:name="_Toc20063"/>
      <w:bookmarkStart w:id="182" w:name="_Toc48834189"/>
      <w:bookmarkStart w:id="183" w:name="_Toc17687"/>
      <w:bookmarkStart w:id="184" w:name="_Toc48834119"/>
      <w:bookmarkStart w:id="185" w:name="_Toc48834316"/>
      <w:bookmarkStart w:id="186" w:name="_Toc1167"/>
      <w:bookmarkStart w:id="187" w:name="_Toc4834"/>
      <w:bookmarkStart w:id="188" w:name="_Toc23035"/>
    </w:p>
    <w:bookmarkEnd w:id="180"/>
    <w:bookmarkEnd w:id="181"/>
    <w:bookmarkEnd w:id="182"/>
    <w:bookmarkEnd w:id="183"/>
    <w:bookmarkEnd w:id="184"/>
    <w:bookmarkEnd w:id="185"/>
    <w:bookmarkEnd w:id="186"/>
    <w:bookmarkEnd w:id="187"/>
    <w:bookmarkEnd w:id="188"/>
    <w:p w14:paraId="5E8F15B3">
      <w:pPr>
        <w:jc w:val="center"/>
        <w:rPr>
          <w:rFonts w:hint="eastAsia" w:ascii="宋体" w:hAnsi="宋体" w:eastAsia="宋体" w:cs="宋体"/>
          <w:b/>
          <w:bCs/>
          <w:color w:val="auto"/>
          <w:sz w:val="21"/>
          <w:szCs w:val="21"/>
        </w:rPr>
      </w:pPr>
    </w:p>
    <w:p w14:paraId="3779E465">
      <w:pPr>
        <w:pStyle w:val="47"/>
        <w:spacing w:line="500" w:lineRule="exact"/>
        <w:ind w:firstLine="0" w:firstLineChars="0"/>
        <w:rPr>
          <w:rFonts w:hint="eastAsia" w:ascii="宋体" w:hAnsi="宋体" w:eastAsia="宋体" w:cs="宋体"/>
          <w:color w:val="FF0000"/>
          <w:szCs w:val="24"/>
          <w:lang w:val="zh-CN"/>
        </w:rPr>
      </w:pPr>
      <w:r>
        <w:rPr>
          <w:rFonts w:hint="eastAsia" w:hAnsi="宋体" w:cs="宋体"/>
          <w:color w:val="auto"/>
          <w:szCs w:val="24"/>
          <w:lang w:eastAsia="zh-CN"/>
        </w:rPr>
        <w:t>陕西盛誉恒正项目管理有限公司</w:t>
      </w:r>
      <w:r>
        <w:rPr>
          <w:rFonts w:hint="eastAsia" w:ascii="宋体" w:hAnsi="宋体" w:eastAsia="宋体" w:cs="宋体"/>
          <w:color w:val="auto"/>
          <w:szCs w:val="24"/>
          <w:lang w:val="zh-CN"/>
        </w:rPr>
        <w:t>：</w:t>
      </w:r>
    </w:p>
    <w:p w14:paraId="4DBB0E16">
      <w:pPr>
        <w:spacing w:line="500" w:lineRule="exact"/>
        <w:ind w:right="11" w:firstLine="480" w:firstLineChars="200"/>
        <w:rPr>
          <w:rFonts w:hint="eastAsia" w:ascii="宋体" w:hAnsi="宋体" w:eastAsia="宋体" w:cs="宋体"/>
          <w:color w:val="auto"/>
          <w:szCs w:val="24"/>
        </w:rPr>
      </w:pPr>
      <w:r>
        <w:rPr>
          <w:rFonts w:hint="eastAsia" w:ascii="宋体" w:hAnsi="宋体" w:eastAsia="宋体" w:cs="宋体"/>
          <w:color w:val="auto"/>
          <w:szCs w:val="24"/>
        </w:rPr>
        <w:t>我方收到贵公司发布的《项目名称》（项目编号）招标文件，经详细研究，我方决定参加该项目招标活动。为此，我方郑重声明以下诸点，并负法律责任。</w:t>
      </w:r>
    </w:p>
    <w:p w14:paraId="37698B20">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一、我方已详细阅读了招标文件，完全理解并同意招标文件的所有事项及内容。</w:t>
      </w:r>
    </w:p>
    <w:p w14:paraId="395EFB32">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二、我方已悉知并关注了贵方在政府采购信息发布媒体上发布的关于本项目的有关变更公告（包括但不限于对招标文件做出的修改或澄清、答疑纪要，以及项目暂停、重启、延期、终止等）。</w:t>
      </w:r>
    </w:p>
    <w:p w14:paraId="08D90A98">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三、我方同意向贵方提供与本投标有关的任何证明材料，保证所提交的证明材料真实、合法、有效。我方理解</w:t>
      </w:r>
      <w:r>
        <w:rPr>
          <w:rFonts w:hint="eastAsia" w:ascii="宋体" w:hAnsi="宋体" w:eastAsia="宋体" w:cs="宋体"/>
          <w:b/>
          <w:bCs/>
          <w:color w:val="auto"/>
          <w:szCs w:val="24"/>
        </w:rPr>
        <w:t>最低价</w:t>
      </w:r>
      <w:r>
        <w:rPr>
          <w:rFonts w:hint="eastAsia" w:ascii="宋体" w:hAnsi="宋体" w:eastAsia="宋体" w:cs="宋体"/>
          <w:color w:val="auto"/>
          <w:szCs w:val="24"/>
        </w:rPr>
        <w:t>不是中标的唯一条件，并尊重评标委员会的评审结果。</w:t>
      </w:r>
    </w:p>
    <w:p w14:paraId="470EBFE6">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四、我方愿意按照招标文件中的一切要求，完成本项目合同责任和义务。</w:t>
      </w:r>
    </w:p>
    <w:p w14:paraId="430B8825">
      <w:pPr>
        <w:pStyle w:val="19"/>
        <w:spacing w:beforeAutospacing="0" w:afterAutospacing="0" w:line="500" w:lineRule="exact"/>
        <w:ind w:firstLine="480" w:firstLineChars="200"/>
        <w:jc w:val="both"/>
        <w:rPr>
          <w:rFonts w:hint="eastAsia" w:ascii="宋体" w:hAnsi="宋体" w:eastAsia="宋体" w:cs="宋体"/>
          <w:color w:val="auto"/>
          <w:kern w:val="2"/>
          <w:szCs w:val="24"/>
        </w:rPr>
      </w:pPr>
      <w:r>
        <w:rPr>
          <w:rFonts w:hint="eastAsia" w:ascii="宋体" w:hAnsi="宋体" w:eastAsia="宋体" w:cs="宋体"/>
          <w:color w:val="auto"/>
          <w:kern w:val="2"/>
          <w:szCs w:val="24"/>
        </w:rPr>
        <w:t>五、我方上传提交</w:t>
      </w:r>
      <w:r>
        <w:rPr>
          <w:rFonts w:hint="eastAsia" w:ascii="宋体" w:hAnsi="宋体" w:eastAsia="宋体" w:cs="宋体"/>
          <w:b/>
          <w:bCs/>
          <w:color w:val="auto"/>
          <w:kern w:val="2"/>
          <w:szCs w:val="24"/>
        </w:rPr>
        <w:t>电子投标文件壹份</w:t>
      </w:r>
      <w:r>
        <w:rPr>
          <w:rFonts w:hint="eastAsia" w:ascii="宋体" w:hAnsi="宋体" w:eastAsia="宋体" w:cs="宋体"/>
          <w:color w:val="auto"/>
          <w:kern w:val="2"/>
          <w:szCs w:val="24"/>
        </w:rPr>
        <w:t>。</w:t>
      </w:r>
    </w:p>
    <w:p w14:paraId="60E49744">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六、</w:t>
      </w:r>
      <w:r>
        <w:rPr>
          <w:rFonts w:hint="eastAsia" w:ascii="宋体" w:hAnsi="宋体" w:eastAsia="宋体" w:cs="宋体"/>
          <w:color w:val="auto"/>
          <w:szCs w:val="24"/>
          <w:lang w:val="zh-CN"/>
        </w:rPr>
        <w:t>开标后在规定的投标有效期内撤回投标，我们愿接受政府采购的有关处罚决定。</w:t>
      </w:r>
    </w:p>
    <w:p w14:paraId="05670950">
      <w:pPr>
        <w:autoSpaceDE w:val="0"/>
        <w:autoSpaceDN w:val="0"/>
        <w:adjustRightInd w:val="0"/>
        <w:spacing w:line="50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七、</w:t>
      </w:r>
      <w:r>
        <w:rPr>
          <w:rFonts w:hint="eastAsia" w:hAnsi="宋体" w:cs="宋体"/>
          <w:color w:val="auto"/>
          <w:szCs w:val="24"/>
          <w:lang w:val="en-US" w:eastAsia="zh-CN"/>
        </w:rPr>
        <w:t>其他</w:t>
      </w:r>
      <w:r>
        <w:rPr>
          <w:rFonts w:hint="eastAsia" w:ascii="宋体" w:hAnsi="宋体" w:eastAsia="宋体" w:cs="宋体"/>
          <w:color w:val="auto"/>
          <w:szCs w:val="24"/>
        </w:rPr>
        <w:t>。</w:t>
      </w:r>
    </w:p>
    <w:p w14:paraId="74EA032A">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八、所有关于此次招标活动的函电，请按下列地址联系：</w:t>
      </w:r>
    </w:p>
    <w:p w14:paraId="7D41A235">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投标人：</w:t>
      </w:r>
      <w:r>
        <w:rPr>
          <w:rFonts w:hint="eastAsia" w:ascii="宋体" w:hAnsi="宋体" w:eastAsia="宋体" w:cs="宋体"/>
          <w:color w:val="auto"/>
          <w:szCs w:val="24"/>
          <w:u w:val="single"/>
        </w:rPr>
        <w:t>名称</w:t>
      </w:r>
      <w:r>
        <w:rPr>
          <w:rFonts w:hint="eastAsia" w:ascii="宋体" w:hAnsi="宋体" w:eastAsia="宋体" w:cs="宋体"/>
          <w:color w:val="auto"/>
          <w:szCs w:val="24"/>
        </w:rPr>
        <w:t>（加盖公章）</w:t>
      </w:r>
    </w:p>
    <w:p w14:paraId="282BE7B3">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地址：</w:t>
      </w:r>
    </w:p>
    <w:p w14:paraId="2B9F99B8">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开户银行：</w:t>
      </w:r>
    </w:p>
    <w:p w14:paraId="68561DEF">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账号：</w:t>
      </w:r>
    </w:p>
    <w:p w14:paraId="735017A7">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电话：</w:t>
      </w:r>
    </w:p>
    <w:p w14:paraId="30B61F1A">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传真：</w:t>
      </w:r>
    </w:p>
    <w:p w14:paraId="56ECD0D5">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邮编：</w:t>
      </w:r>
    </w:p>
    <w:p w14:paraId="3F12B883">
      <w:pPr>
        <w:pStyle w:val="47"/>
        <w:spacing w:line="500" w:lineRule="exact"/>
        <w:ind w:firstLine="480"/>
        <w:rPr>
          <w:rFonts w:hint="eastAsia" w:ascii="宋体" w:hAnsi="宋体" w:eastAsia="宋体" w:cs="宋体"/>
          <w:color w:val="auto"/>
          <w:szCs w:val="24"/>
        </w:rPr>
      </w:pPr>
      <w:r>
        <w:rPr>
          <w:rFonts w:hint="eastAsia" w:ascii="宋体" w:hAnsi="宋体" w:eastAsia="宋体" w:cs="宋体"/>
          <w:color w:val="auto"/>
          <w:szCs w:val="24"/>
        </w:rPr>
        <w:t xml:space="preserve">电子邮箱：          </w:t>
      </w:r>
      <w:r>
        <w:rPr>
          <w:rFonts w:hint="eastAsia" w:ascii="宋体" w:hAnsi="宋体" w:eastAsia="宋体" w:cs="宋体"/>
          <w:b/>
          <w:bCs/>
          <w:color w:val="auto"/>
          <w:szCs w:val="24"/>
        </w:rPr>
        <w:t>（专用邮箱）</w:t>
      </w:r>
    </w:p>
    <w:p w14:paraId="7CF5DB0F">
      <w:pPr>
        <w:pStyle w:val="47"/>
        <w:spacing w:line="500" w:lineRule="exact"/>
        <w:ind w:firstLine="480"/>
        <w:rPr>
          <w:rFonts w:hint="eastAsia" w:ascii="宋体" w:hAnsi="宋体" w:eastAsia="宋体" w:cs="宋体"/>
          <w:color w:val="auto"/>
          <w:szCs w:val="21"/>
        </w:rPr>
      </w:pPr>
      <w:r>
        <w:rPr>
          <w:rFonts w:hint="eastAsia" w:ascii="宋体" w:hAnsi="宋体" w:eastAsia="宋体" w:cs="宋体"/>
          <w:color w:val="auto"/>
          <w:szCs w:val="24"/>
        </w:rPr>
        <w:t>日期：　　年　月　日</w:t>
      </w:r>
    </w:p>
    <w:p w14:paraId="14840856">
      <w:pPr>
        <w:pStyle w:val="9"/>
        <w:ind w:firstLine="480" w:firstLineChars="200"/>
        <w:rPr>
          <w:rFonts w:hint="eastAsia" w:ascii="宋体" w:hAnsi="宋体" w:eastAsia="宋体" w:cs="宋体"/>
          <w:color w:val="auto"/>
        </w:rPr>
      </w:pPr>
      <w:r>
        <w:rPr>
          <w:rFonts w:hint="eastAsia" w:ascii="宋体" w:hAnsi="宋体" w:eastAsia="宋体" w:cs="宋体"/>
          <w:color w:val="auto"/>
          <w:kern w:val="0"/>
          <w:sz w:val="24"/>
          <w:szCs w:val="24"/>
        </w:rPr>
        <w:t>注：1.除可填报项目外，对本投标函的任何实质性内容修改将被视为非实质性响应，在评审时将视其为无效投标。</w:t>
      </w:r>
      <w:r>
        <w:rPr>
          <w:rFonts w:hint="eastAsia" w:ascii="宋体" w:hAnsi="宋体" w:eastAsia="宋体" w:cs="宋体"/>
          <w:color w:val="auto"/>
          <w:szCs w:val="21"/>
        </w:rPr>
        <w:br w:type="page"/>
      </w:r>
    </w:p>
    <w:p w14:paraId="7C143B83">
      <w:pPr>
        <w:jc w:val="center"/>
        <w:rPr>
          <w:rFonts w:hint="eastAsia" w:ascii="宋体" w:hAnsi="宋体" w:eastAsia="宋体" w:cs="宋体"/>
          <w:b/>
          <w:bCs/>
          <w:color w:val="auto"/>
          <w:sz w:val="21"/>
          <w:szCs w:val="16"/>
        </w:rPr>
      </w:pPr>
      <w:r>
        <w:rPr>
          <w:rFonts w:hint="eastAsia" w:ascii="宋体" w:hAnsi="宋体" w:eastAsia="宋体" w:cs="宋体"/>
          <w:b/>
          <w:bCs/>
          <w:color w:val="auto"/>
          <w:sz w:val="32"/>
          <w:szCs w:val="32"/>
        </w:rPr>
        <w:t>第二部分 开标一览表</w:t>
      </w:r>
    </w:p>
    <w:p w14:paraId="4F0FF6B2">
      <w:pPr>
        <w:spacing w:line="288" w:lineRule="auto"/>
        <w:jc w:val="left"/>
        <w:rPr>
          <w:rFonts w:hint="eastAsia" w:ascii="宋体" w:hAnsi="宋体" w:eastAsia="宋体" w:cs="宋体"/>
          <w:b/>
          <w:color w:val="auto"/>
          <w:szCs w:val="24"/>
        </w:rPr>
      </w:pPr>
      <w:r>
        <w:rPr>
          <w:rFonts w:hint="eastAsia" w:ascii="宋体" w:hAnsi="宋体" w:eastAsia="宋体" w:cs="宋体"/>
          <w:b/>
          <w:color w:val="auto"/>
          <w:sz w:val="28"/>
          <w:szCs w:val="28"/>
        </w:rPr>
        <w:t>一、开标一览表</w:t>
      </w:r>
    </w:p>
    <w:p w14:paraId="55C01CB5">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项目名称：</w:t>
      </w:r>
    </w:p>
    <w:p w14:paraId="68F3D760">
      <w:pPr>
        <w:spacing w:line="288" w:lineRule="auto"/>
        <w:ind w:firstLine="480" w:firstLineChars="200"/>
        <w:rPr>
          <w:rFonts w:hint="eastAsia" w:ascii="宋体" w:hAnsi="宋体" w:eastAsia="宋体" w:cs="宋体"/>
          <w:color w:val="auto"/>
        </w:rPr>
      </w:pPr>
      <w:r>
        <w:rPr>
          <w:rFonts w:hint="eastAsia" w:ascii="宋体" w:hAnsi="宋体" w:eastAsia="宋体" w:cs="宋体"/>
          <w:color w:val="auto"/>
          <w:szCs w:val="24"/>
        </w:rPr>
        <w:t>项目编号：</w:t>
      </w:r>
    </w:p>
    <w:p w14:paraId="19D2BE6B">
      <w:pPr>
        <w:spacing w:line="288"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p>
    <w:tbl>
      <w:tblPr>
        <w:tblStyle w:val="23"/>
        <w:tblW w:w="10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802"/>
        <w:gridCol w:w="3612"/>
        <w:gridCol w:w="1688"/>
        <w:gridCol w:w="1716"/>
        <w:gridCol w:w="1297"/>
      </w:tblGrid>
      <w:tr w14:paraId="65DC0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06" w:hRule="atLeast"/>
          <w:jc w:val="center"/>
        </w:trPr>
        <w:tc>
          <w:tcPr>
            <w:tcW w:w="1802" w:type="dxa"/>
            <w:vMerge w:val="restart"/>
            <w:vAlign w:val="center"/>
          </w:tcPr>
          <w:p w14:paraId="10225D69">
            <w:pPr>
              <w:pStyle w:val="7"/>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投标报价（元）</w:t>
            </w:r>
          </w:p>
        </w:tc>
        <w:tc>
          <w:tcPr>
            <w:tcW w:w="3612" w:type="dxa"/>
            <w:vAlign w:val="center"/>
          </w:tcPr>
          <w:p w14:paraId="503060E4">
            <w:pPr>
              <w:autoSpaceDE w:val="0"/>
              <w:autoSpaceDN w:val="0"/>
              <w:spacing w:line="360" w:lineRule="auto"/>
              <w:jc w:val="center"/>
              <w:rPr>
                <w:rFonts w:hint="eastAsia" w:ascii="宋体" w:hAnsi="宋体" w:eastAsia="宋体" w:cs="宋体"/>
                <w:color w:val="auto"/>
                <w:szCs w:val="24"/>
                <w:lang w:val="zh-CN"/>
              </w:rPr>
            </w:pPr>
            <w:r>
              <w:rPr>
                <w:rFonts w:hint="eastAsia" w:ascii="宋体" w:hAnsi="宋体" w:eastAsia="宋体" w:cs="宋体"/>
                <w:color w:val="auto"/>
                <w:szCs w:val="24"/>
                <w:lang w:val="zh-CN"/>
              </w:rPr>
              <w:t>内容</w:t>
            </w:r>
          </w:p>
        </w:tc>
        <w:tc>
          <w:tcPr>
            <w:tcW w:w="1688" w:type="dxa"/>
            <w:vAlign w:val="center"/>
          </w:tcPr>
          <w:p w14:paraId="4DCAFE41">
            <w:pPr>
              <w:autoSpaceDE w:val="0"/>
              <w:autoSpaceDN w:val="0"/>
              <w:spacing w:line="360" w:lineRule="auto"/>
              <w:jc w:val="center"/>
              <w:rPr>
                <w:rFonts w:hint="eastAsia" w:ascii="宋体" w:hAnsi="宋体" w:eastAsia="宋体" w:cs="宋体"/>
                <w:color w:val="auto"/>
                <w:szCs w:val="24"/>
                <w:lang w:eastAsia="zh-CN"/>
              </w:rPr>
            </w:pPr>
            <w:r>
              <w:rPr>
                <w:rFonts w:hint="eastAsia" w:hAnsi="宋体" w:cs="宋体"/>
                <w:color w:val="auto"/>
                <w:szCs w:val="24"/>
                <w:lang w:eastAsia="zh-CN"/>
              </w:rPr>
              <w:t>供货期</w:t>
            </w:r>
          </w:p>
        </w:tc>
        <w:tc>
          <w:tcPr>
            <w:tcW w:w="1716" w:type="dxa"/>
            <w:vAlign w:val="center"/>
          </w:tcPr>
          <w:p w14:paraId="442FC3E4">
            <w:pPr>
              <w:autoSpaceDE w:val="0"/>
              <w:autoSpaceDN w:val="0"/>
              <w:spacing w:line="360" w:lineRule="auto"/>
              <w:jc w:val="center"/>
              <w:rPr>
                <w:rFonts w:hint="eastAsia" w:ascii="宋体" w:hAnsi="宋体" w:eastAsia="宋体" w:cs="宋体"/>
                <w:color w:val="auto"/>
                <w:szCs w:val="24"/>
                <w:lang w:val="en-US" w:eastAsia="zh-CN"/>
              </w:rPr>
            </w:pPr>
            <w:r>
              <w:rPr>
                <w:rFonts w:hint="eastAsia" w:hAnsi="宋体" w:cs="宋体"/>
                <w:color w:val="auto"/>
                <w:szCs w:val="24"/>
                <w:lang w:val="en-US" w:eastAsia="zh-CN"/>
              </w:rPr>
              <w:t>质保期</w:t>
            </w:r>
          </w:p>
        </w:tc>
        <w:tc>
          <w:tcPr>
            <w:tcW w:w="1297" w:type="dxa"/>
            <w:vAlign w:val="center"/>
          </w:tcPr>
          <w:p w14:paraId="1929FCA3">
            <w:pPr>
              <w:autoSpaceDE w:val="0"/>
              <w:autoSpaceDN w:val="0"/>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备注</w:t>
            </w:r>
          </w:p>
        </w:tc>
      </w:tr>
      <w:tr w14:paraId="29488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09" w:hRule="atLeast"/>
          <w:jc w:val="center"/>
        </w:trPr>
        <w:tc>
          <w:tcPr>
            <w:tcW w:w="1802" w:type="dxa"/>
            <w:vMerge w:val="continue"/>
            <w:vAlign w:val="center"/>
          </w:tcPr>
          <w:p w14:paraId="458D4BF8">
            <w:pPr>
              <w:pStyle w:val="7"/>
              <w:spacing w:line="360" w:lineRule="auto"/>
              <w:ind w:firstLine="0"/>
              <w:jc w:val="center"/>
              <w:rPr>
                <w:rFonts w:hint="eastAsia" w:ascii="宋体" w:hAnsi="宋体" w:eastAsia="宋体" w:cs="宋体"/>
                <w:color w:val="auto"/>
                <w:szCs w:val="24"/>
              </w:rPr>
            </w:pPr>
          </w:p>
        </w:tc>
        <w:tc>
          <w:tcPr>
            <w:tcW w:w="3612" w:type="dxa"/>
            <w:vAlign w:val="center"/>
          </w:tcPr>
          <w:p w14:paraId="5B6CF5E7">
            <w:pPr>
              <w:autoSpaceDE w:val="0"/>
              <w:autoSpaceDN w:val="0"/>
              <w:spacing w:line="360" w:lineRule="auto"/>
              <w:rPr>
                <w:rFonts w:hint="eastAsia" w:ascii="宋体" w:hAnsi="宋体" w:eastAsia="宋体" w:cs="宋体"/>
                <w:color w:val="auto"/>
                <w:szCs w:val="24"/>
                <w:lang w:val="zh-CN"/>
              </w:rPr>
            </w:pPr>
            <w:r>
              <w:rPr>
                <w:rFonts w:hint="eastAsia" w:ascii="宋体" w:hAnsi="宋体" w:eastAsia="宋体" w:cs="宋体"/>
                <w:color w:val="auto"/>
                <w:szCs w:val="24"/>
                <w:lang w:val="zh-CN"/>
              </w:rPr>
              <w:t>小写：</w:t>
            </w:r>
          </w:p>
          <w:p w14:paraId="27013C27">
            <w:pPr>
              <w:autoSpaceDE w:val="0"/>
              <w:autoSpaceDN w:val="0"/>
              <w:spacing w:line="360" w:lineRule="auto"/>
              <w:rPr>
                <w:rFonts w:hint="eastAsia" w:ascii="宋体" w:hAnsi="宋体" w:eastAsia="宋体" w:cs="宋体"/>
                <w:color w:val="auto"/>
                <w:szCs w:val="24"/>
                <w:lang w:val="zh-CN"/>
              </w:rPr>
            </w:pPr>
            <w:r>
              <w:rPr>
                <w:rFonts w:hint="eastAsia" w:ascii="宋体" w:hAnsi="宋体" w:eastAsia="宋体" w:cs="宋体"/>
                <w:color w:val="auto"/>
                <w:szCs w:val="24"/>
                <w:lang w:val="zh-CN"/>
              </w:rPr>
              <w:t>大写：</w:t>
            </w:r>
          </w:p>
          <w:p w14:paraId="73D485EB">
            <w:pPr>
              <w:autoSpaceDE w:val="0"/>
              <w:autoSpaceDN w:val="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              单位：元</w:t>
            </w:r>
          </w:p>
        </w:tc>
        <w:tc>
          <w:tcPr>
            <w:tcW w:w="1688" w:type="dxa"/>
            <w:vAlign w:val="center"/>
          </w:tcPr>
          <w:p w14:paraId="133011F0">
            <w:pPr>
              <w:autoSpaceDE w:val="0"/>
              <w:autoSpaceDN w:val="0"/>
              <w:spacing w:line="360" w:lineRule="auto"/>
              <w:jc w:val="center"/>
              <w:rPr>
                <w:rFonts w:hint="eastAsia" w:ascii="宋体" w:hAnsi="宋体" w:eastAsia="宋体" w:cs="宋体"/>
                <w:color w:val="auto"/>
                <w:szCs w:val="24"/>
              </w:rPr>
            </w:pPr>
          </w:p>
        </w:tc>
        <w:tc>
          <w:tcPr>
            <w:tcW w:w="1716" w:type="dxa"/>
            <w:vAlign w:val="center"/>
          </w:tcPr>
          <w:p w14:paraId="6F8F6C94">
            <w:pPr>
              <w:autoSpaceDE w:val="0"/>
              <w:autoSpaceDN w:val="0"/>
              <w:spacing w:line="360" w:lineRule="auto"/>
              <w:jc w:val="center"/>
              <w:rPr>
                <w:rFonts w:hint="eastAsia" w:ascii="宋体" w:hAnsi="宋体" w:eastAsia="宋体" w:cs="宋体"/>
                <w:color w:val="auto"/>
                <w:szCs w:val="24"/>
              </w:rPr>
            </w:pPr>
          </w:p>
        </w:tc>
        <w:tc>
          <w:tcPr>
            <w:tcW w:w="1297" w:type="dxa"/>
            <w:vAlign w:val="center"/>
          </w:tcPr>
          <w:p w14:paraId="70896367">
            <w:pPr>
              <w:autoSpaceDE w:val="0"/>
              <w:autoSpaceDN w:val="0"/>
              <w:spacing w:line="360" w:lineRule="auto"/>
              <w:ind w:firstLine="960" w:firstLineChars="400"/>
              <w:rPr>
                <w:rFonts w:hint="eastAsia" w:ascii="宋体" w:hAnsi="宋体" w:eastAsia="宋体" w:cs="宋体"/>
                <w:color w:val="auto"/>
                <w:szCs w:val="24"/>
              </w:rPr>
            </w:pPr>
          </w:p>
        </w:tc>
      </w:tr>
    </w:tbl>
    <w:p w14:paraId="0A58253C">
      <w:pPr>
        <w:autoSpaceDE w:val="0"/>
        <w:autoSpaceDN w:val="0"/>
        <w:spacing w:before="163" w:beforeLines="50" w:line="500" w:lineRule="exact"/>
        <w:jc w:val="right"/>
        <w:rPr>
          <w:rFonts w:hint="eastAsia" w:ascii="宋体" w:hAnsi="宋体" w:eastAsia="宋体" w:cs="宋体"/>
          <w:color w:val="auto"/>
          <w:szCs w:val="24"/>
        </w:rPr>
      </w:pPr>
      <w:r>
        <w:rPr>
          <w:rFonts w:hint="eastAsia" w:ascii="宋体" w:hAnsi="宋体" w:eastAsia="宋体" w:cs="宋体"/>
          <w:color w:val="auto"/>
          <w:spacing w:val="-10"/>
          <w:szCs w:val="24"/>
        </w:rPr>
        <w:t xml:space="preserve">  </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10"/>
          <w:szCs w:val="24"/>
          <w:u w:val="none"/>
        </w:rPr>
        <w:t>投标人名称</w:t>
      </w:r>
      <w:r>
        <w:rPr>
          <w:rFonts w:hint="eastAsia" w:ascii="宋体" w:hAnsi="宋体" w:eastAsia="宋体" w:cs="宋体"/>
          <w:color w:val="auto"/>
          <w:spacing w:val="-10"/>
          <w:szCs w:val="24"/>
          <w:u w:val="single"/>
          <w:lang w:eastAsia="zh-CN"/>
        </w:rPr>
        <w:t>：</w:t>
      </w:r>
      <w:r>
        <w:rPr>
          <w:rFonts w:hint="eastAsia" w:ascii="宋体" w:hAnsi="宋体" w:eastAsia="宋体" w:cs="宋体"/>
          <w:color w:val="auto"/>
          <w:spacing w:val="-10"/>
          <w:szCs w:val="24"/>
          <w:u w:val="single"/>
          <w:lang w:val="en-US" w:eastAsia="zh-CN"/>
        </w:rPr>
        <w:t xml:space="preserve">                  </w:t>
      </w:r>
      <w:r>
        <w:rPr>
          <w:rFonts w:hint="eastAsia" w:ascii="宋体" w:hAnsi="宋体" w:eastAsia="宋体" w:cs="宋体"/>
          <w:color w:val="auto"/>
          <w:szCs w:val="24"/>
        </w:rPr>
        <w:t>（加盖公章）</w:t>
      </w:r>
    </w:p>
    <w:p w14:paraId="605EF8C2">
      <w:pPr>
        <w:spacing w:line="500" w:lineRule="exact"/>
        <w:ind w:firstLine="4800" w:firstLineChars="2000"/>
        <w:rPr>
          <w:rFonts w:hint="eastAsia" w:ascii="宋体" w:hAnsi="宋体" w:eastAsia="宋体" w:cs="宋体"/>
          <w:color w:val="auto"/>
          <w:szCs w:val="24"/>
        </w:rPr>
      </w:pPr>
      <w:r>
        <w:rPr>
          <w:rFonts w:hint="eastAsia" w:ascii="宋体" w:hAnsi="宋体" w:eastAsia="宋体" w:cs="宋体"/>
          <w:color w:val="auto"/>
          <w:szCs w:val="24"/>
        </w:rPr>
        <w:t>法定代表人：（签章）</w:t>
      </w:r>
    </w:p>
    <w:p w14:paraId="402070F7">
      <w:pPr>
        <w:spacing w:line="500" w:lineRule="exact"/>
        <w:ind w:firstLine="5280" w:firstLineChars="2200"/>
        <w:rPr>
          <w:rFonts w:hint="eastAsia" w:ascii="宋体" w:hAnsi="宋体" w:eastAsia="宋体" w:cs="宋体"/>
          <w:color w:val="auto"/>
          <w:szCs w:val="24"/>
        </w:rPr>
      </w:pPr>
      <w:r>
        <w:rPr>
          <w:rFonts w:hint="eastAsia" w:ascii="宋体" w:hAnsi="宋体" w:eastAsia="宋体" w:cs="宋体"/>
          <w:color w:val="auto"/>
          <w:szCs w:val="24"/>
        </w:rPr>
        <w:t>年　月　日</w:t>
      </w:r>
    </w:p>
    <w:p w14:paraId="052123CF">
      <w:pPr>
        <w:autoSpaceDE w:val="0"/>
        <w:autoSpaceDN w:val="0"/>
        <w:rPr>
          <w:rFonts w:hint="eastAsia" w:ascii="宋体" w:hAnsi="宋体" w:eastAsia="宋体" w:cs="宋体"/>
          <w:b/>
          <w:bCs/>
          <w:color w:val="auto"/>
          <w:sz w:val="21"/>
          <w:szCs w:val="21"/>
        </w:rPr>
      </w:pPr>
    </w:p>
    <w:p w14:paraId="46E90B24">
      <w:pPr>
        <w:autoSpaceDE w:val="0"/>
        <w:autoSpaceDN w:val="0"/>
        <w:rPr>
          <w:rFonts w:hint="eastAsia" w:ascii="宋体" w:hAnsi="宋体" w:eastAsia="宋体" w:cs="宋体"/>
          <w:b/>
          <w:bCs/>
          <w:color w:val="auto"/>
          <w:sz w:val="21"/>
          <w:szCs w:val="21"/>
        </w:rPr>
      </w:pPr>
    </w:p>
    <w:p w14:paraId="122CBF06">
      <w:pPr>
        <w:autoSpaceDE w:val="0"/>
        <w:autoSpaceDN w:val="0"/>
        <w:rPr>
          <w:rFonts w:hint="eastAsia" w:ascii="宋体" w:hAnsi="宋体" w:eastAsia="宋体" w:cs="宋体"/>
          <w:b/>
          <w:bCs/>
          <w:color w:val="auto"/>
          <w:sz w:val="21"/>
          <w:szCs w:val="21"/>
        </w:rPr>
      </w:pPr>
    </w:p>
    <w:p w14:paraId="331E4B53">
      <w:pPr>
        <w:autoSpaceDE w:val="0"/>
        <w:autoSpaceDN w:val="0"/>
        <w:rPr>
          <w:rFonts w:hint="eastAsia" w:ascii="宋体" w:hAnsi="宋体" w:eastAsia="宋体" w:cs="宋体"/>
          <w:b/>
          <w:bCs/>
          <w:color w:val="auto"/>
          <w:sz w:val="21"/>
          <w:szCs w:val="21"/>
        </w:rPr>
      </w:pPr>
    </w:p>
    <w:p w14:paraId="09A53569">
      <w:pPr>
        <w:autoSpaceDE w:val="0"/>
        <w:autoSpaceDN w:val="0"/>
        <w:rPr>
          <w:rFonts w:hint="eastAsia" w:ascii="宋体" w:hAnsi="宋体" w:eastAsia="宋体" w:cs="宋体"/>
          <w:b/>
          <w:bCs/>
          <w:color w:val="auto"/>
          <w:sz w:val="21"/>
          <w:szCs w:val="21"/>
        </w:rPr>
      </w:pPr>
    </w:p>
    <w:p w14:paraId="5973B1ED">
      <w:pPr>
        <w:autoSpaceDE w:val="0"/>
        <w:autoSpaceDN w:val="0"/>
        <w:rPr>
          <w:rFonts w:hint="eastAsia" w:ascii="宋体" w:hAnsi="宋体" w:eastAsia="宋体" w:cs="宋体"/>
          <w:b/>
          <w:bCs/>
          <w:color w:val="auto"/>
          <w:sz w:val="21"/>
          <w:szCs w:val="21"/>
        </w:rPr>
      </w:pPr>
    </w:p>
    <w:p w14:paraId="6F0606A2">
      <w:pPr>
        <w:autoSpaceDE w:val="0"/>
        <w:autoSpaceDN w:val="0"/>
        <w:rPr>
          <w:rFonts w:hint="eastAsia" w:ascii="宋体" w:hAnsi="宋体" w:eastAsia="宋体" w:cs="宋体"/>
          <w:b/>
          <w:bCs/>
          <w:color w:val="auto"/>
          <w:sz w:val="21"/>
          <w:szCs w:val="21"/>
        </w:rPr>
      </w:pPr>
    </w:p>
    <w:p w14:paraId="51A17C2C">
      <w:pPr>
        <w:autoSpaceDE w:val="0"/>
        <w:autoSpaceDN w:val="0"/>
        <w:rPr>
          <w:rFonts w:hint="eastAsia" w:ascii="宋体" w:hAnsi="宋体" w:eastAsia="宋体" w:cs="宋体"/>
          <w:b/>
          <w:bCs/>
          <w:color w:val="auto"/>
          <w:sz w:val="21"/>
          <w:szCs w:val="21"/>
        </w:rPr>
      </w:pPr>
    </w:p>
    <w:p w14:paraId="5D49622F">
      <w:pPr>
        <w:autoSpaceDE w:val="0"/>
        <w:autoSpaceDN w:val="0"/>
        <w:rPr>
          <w:rFonts w:hint="eastAsia" w:ascii="宋体" w:hAnsi="宋体" w:eastAsia="宋体" w:cs="宋体"/>
          <w:b/>
          <w:bCs/>
          <w:color w:val="auto"/>
          <w:sz w:val="21"/>
          <w:szCs w:val="21"/>
        </w:rPr>
      </w:pPr>
    </w:p>
    <w:p w14:paraId="4F8F26B5">
      <w:pPr>
        <w:autoSpaceDE w:val="0"/>
        <w:autoSpaceDN w:val="0"/>
        <w:rPr>
          <w:rFonts w:hint="eastAsia" w:ascii="宋体" w:hAnsi="宋体" w:eastAsia="宋体" w:cs="宋体"/>
          <w:b/>
          <w:bCs/>
          <w:color w:val="auto"/>
          <w:sz w:val="21"/>
          <w:szCs w:val="21"/>
        </w:rPr>
      </w:pPr>
    </w:p>
    <w:p w14:paraId="3503AB8F">
      <w:pPr>
        <w:autoSpaceDE w:val="0"/>
        <w:autoSpaceDN w:val="0"/>
        <w:rPr>
          <w:rFonts w:hint="eastAsia" w:ascii="宋体" w:hAnsi="宋体" w:eastAsia="宋体" w:cs="宋体"/>
          <w:b/>
          <w:bCs/>
          <w:color w:val="auto"/>
          <w:sz w:val="21"/>
          <w:szCs w:val="21"/>
        </w:rPr>
      </w:pPr>
    </w:p>
    <w:p w14:paraId="4C4D7A7D">
      <w:pPr>
        <w:autoSpaceDE w:val="0"/>
        <w:autoSpaceDN w:val="0"/>
        <w:rPr>
          <w:rFonts w:hint="eastAsia" w:ascii="宋体" w:hAnsi="宋体" w:eastAsia="宋体" w:cs="宋体"/>
          <w:b/>
          <w:bCs/>
          <w:color w:val="auto"/>
          <w:sz w:val="21"/>
          <w:szCs w:val="21"/>
        </w:rPr>
      </w:pPr>
    </w:p>
    <w:p w14:paraId="68574A49">
      <w:pPr>
        <w:autoSpaceDE w:val="0"/>
        <w:autoSpaceDN w:val="0"/>
        <w:rPr>
          <w:rFonts w:hint="eastAsia" w:ascii="宋体" w:hAnsi="宋体" w:eastAsia="宋体" w:cs="宋体"/>
          <w:b/>
          <w:bCs/>
          <w:color w:val="auto"/>
          <w:sz w:val="21"/>
          <w:szCs w:val="21"/>
        </w:rPr>
      </w:pPr>
    </w:p>
    <w:p w14:paraId="348E6B0F">
      <w:pPr>
        <w:autoSpaceDE w:val="0"/>
        <w:autoSpaceDN w:val="0"/>
        <w:rPr>
          <w:rFonts w:hint="eastAsia" w:ascii="宋体" w:hAnsi="宋体" w:eastAsia="宋体" w:cs="宋体"/>
          <w:b/>
          <w:bCs/>
          <w:color w:val="auto"/>
          <w:sz w:val="21"/>
          <w:szCs w:val="21"/>
        </w:rPr>
      </w:pPr>
    </w:p>
    <w:p w14:paraId="420C644C">
      <w:pPr>
        <w:autoSpaceDE w:val="0"/>
        <w:autoSpaceDN w:val="0"/>
        <w:rPr>
          <w:rFonts w:hint="eastAsia" w:ascii="宋体" w:hAnsi="宋体" w:eastAsia="宋体" w:cs="宋体"/>
          <w:b/>
          <w:bCs/>
          <w:color w:val="auto"/>
          <w:sz w:val="21"/>
          <w:szCs w:val="21"/>
        </w:rPr>
      </w:pPr>
    </w:p>
    <w:p w14:paraId="6CCBA215">
      <w:pPr>
        <w:autoSpaceDE w:val="0"/>
        <w:autoSpaceDN w:val="0"/>
        <w:rPr>
          <w:rFonts w:hint="eastAsia" w:ascii="宋体" w:hAnsi="宋体" w:eastAsia="宋体" w:cs="宋体"/>
          <w:color w:val="auto"/>
          <w:sz w:val="21"/>
          <w:szCs w:val="21"/>
          <w:lang w:val="zh-CN"/>
        </w:rPr>
      </w:pPr>
      <w:r>
        <w:rPr>
          <w:rFonts w:hint="eastAsia" w:ascii="宋体" w:hAnsi="宋体" w:eastAsia="宋体" w:cs="宋体"/>
          <w:b/>
          <w:bCs/>
          <w:color w:val="auto"/>
          <w:sz w:val="21"/>
          <w:szCs w:val="21"/>
        </w:rPr>
        <w:t>注</w:t>
      </w:r>
      <w:r>
        <w:rPr>
          <w:rFonts w:hint="eastAsia" w:ascii="宋体" w:hAnsi="宋体" w:eastAsia="宋体" w:cs="宋体"/>
          <w:b/>
          <w:bCs/>
          <w:color w:val="auto"/>
          <w:sz w:val="21"/>
          <w:szCs w:val="21"/>
          <w:lang w:val="zh-CN"/>
        </w:rPr>
        <w:t>：</w:t>
      </w:r>
      <w:r>
        <w:rPr>
          <w:rFonts w:hint="eastAsia" w:ascii="宋体" w:hAnsi="宋体" w:eastAsia="宋体" w:cs="宋体"/>
          <w:color w:val="auto"/>
          <w:sz w:val="21"/>
          <w:szCs w:val="21"/>
        </w:rPr>
        <w:t>1.</w:t>
      </w:r>
      <w:r>
        <w:rPr>
          <w:rFonts w:hint="eastAsia" w:ascii="宋体" w:hAnsi="宋体" w:eastAsia="宋体" w:cs="宋体"/>
          <w:color w:val="auto"/>
          <w:sz w:val="21"/>
          <w:szCs w:val="21"/>
          <w:lang w:val="zh-CN"/>
        </w:rPr>
        <w:t>“投标报价”为投标总价。投标报价必须包括：</w:t>
      </w:r>
      <w:bookmarkStart w:id="189" w:name="_Hlk48720282"/>
      <w:r>
        <w:rPr>
          <w:rFonts w:hint="eastAsia" w:ascii="宋体" w:hAnsi="宋体" w:eastAsia="宋体" w:cs="宋体"/>
          <w:color w:val="auto"/>
          <w:sz w:val="21"/>
          <w:szCs w:val="21"/>
        </w:rPr>
        <w:t>完成采购内容所需的直接费、间接费、利润、税金及其它相关的一切费用</w:t>
      </w:r>
      <w:r>
        <w:rPr>
          <w:rFonts w:hint="eastAsia" w:ascii="宋体" w:hAnsi="宋体" w:eastAsia="宋体" w:cs="宋体"/>
          <w:color w:val="auto"/>
          <w:sz w:val="21"/>
          <w:szCs w:val="21"/>
          <w:lang w:val="zh-CN"/>
        </w:rPr>
        <w:t>，以及合同实施过程中的应预见及不可预见费用等完成合同规定责任和义务、达到合同目的的一切费用</w:t>
      </w:r>
      <w:bookmarkEnd w:id="189"/>
      <w:r>
        <w:rPr>
          <w:rFonts w:hint="eastAsia" w:ascii="宋体" w:hAnsi="宋体" w:eastAsia="宋体" w:cs="宋体"/>
          <w:color w:val="auto"/>
          <w:sz w:val="21"/>
          <w:szCs w:val="21"/>
          <w:lang w:val="zh-CN"/>
        </w:rPr>
        <w:t>。</w:t>
      </w:r>
    </w:p>
    <w:p w14:paraId="2027238C">
      <w:pPr>
        <w:pStyle w:val="9"/>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2.以上费用均为含税。</w:t>
      </w:r>
      <w:r>
        <w:rPr>
          <w:rFonts w:hint="eastAsia" w:ascii="宋体" w:hAnsi="宋体" w:eastAsia="宋体" w:cs="宋体"/>
          <w:color w:val="auto"/>
          <w:szCs w:val="21"/>
        </w:rPr>
        <w:br w:type="page"/>
      </w:r>
    </w:p>
    <w:p w14:paraId="014CCAC6">
      <w:pPr>
        <w:spacing w:line="288" w:lineRule="auto"/>
        <w:jc w:val="lef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二、分项报价表（格式自拟）</w:t>
      </w:r>
    </w:p>
    <w:p w14:paraId="525CAB95">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项目名称：</w:t>
      </w:r>
    </w:p>
    <w:p w14:paraId="16B88D19">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项目编号：</w:t>
      </w:r>
    </w:p>
    <w:p w14:paraId="6A0486F3">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注：1. 供应商须按照</w:t>
      </w:r>
      <w:r>
        <w:rPr>
          <w:rFonts w:hint="eastAsia" w:hAnsi="宋体" w:cs="宋体"/>
          <w:i w:val="0"/>
          <w:iCs w:val="0"/>
          <w:caps w:val="0"/>
          <w:snapToGrid/>
          <w:color w:val="auto"/>
          <w:spacing w:val="0"/>
          <w:kern w:val="0"/>
          <w:sz w:val="24"/>
          <w:szCs w:val="24"/>
          <w:shd w:val="clear" w:color="auto" w:fill="FFFFFF"/>
          <w:lang w:val="en-US" w:eastAsia="zh-CN" w:bidi="ar-SA"/>
        </w:rPr>
        <w:t>招标</w:t>
      </w: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文件“采购内容及技术要求”中涉及的采购清单进行报价。</w:t>
      </w:r>
    </w:p>
    <w:p w14:paraId="16235151">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2. 如果按单价计算的结果与总价不一致，以单价为准修正总价。</w:t>
      </w:r>
    </w:p>
    <w:p w14:paraId="44162F53">
      <w:pPr>
        <w:pageBreakBefore w:val="0"/>
        <w:tabs>
          <w:tab w:val="right" w:pos="9072"/>
        </w:tabs>
        <w:kinsoku/>
        <w:bidi w:val="0"/>
        <w:spacing w:line="360" w:lineRule="auto"/>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3. 上述投标总报价包含了供应商为此项目所支付的一切费用，在整个合同期内不做调整。</w:t>
      </w:r>
    </w:p>
    <w:p w14:paraId="62DD650E">
      <w:pPr>
        <w:pageBreakBefore w:val="0"/>
        <w:tabs>
          <w:tab w:val="right" w:pos="9072"/>
        </w:tabs>
        <w:kinsoku/>
        <w:bidi w:val="0"/>
        <w:spacing w:line="360" w:lineRule="auto"/>
        <w:textAlignment w:val="auto"/>
        <w:rPr>
          <w:rFonts w:hint="default"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4.供应商在本表中必须详细注明所投产品的“品牌”和“规格型号”，自行承担填写错误被视为无效投标文件的风险。</w:t>
      </w:r>
    </w:p>
    <w:p w14:paraId="5508A54F">
      <w:pPr>
        <w:pageBreakBefore w:val="0"/>
        <w:tabs>
          <w:tab w:val="right" w:pos="9072"/>
        </w:tabs>
        <w:kinsoku/>
        <w:bidi w:val="0"/>
        <w:spacing w:line="360" w:lineRule="auto"/>
        <w:ind w:firstLine="960" w:firstLineChars="400"/>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w:t>
      </w:r>
    </w:p>
    <w:p w14:paraId="1F80427E">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34B1BFE5">
      <w:pPr>
        <w:pageBreakBefore w:val="0"/>
        <w:tabs>
          <w:tab w:val="right" w:pos="9072"/>
        </w:tabs>
        <w:kinsoku/>
        <w:bidi w:val="0"/>
        <w:spacing w:line="360" w:lineRule="auto"/>
        <w:jc w:val="center"/>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AA53D40">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5919B7A">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4CCBF8F">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投标人名称 (加盖公章)：</w:t>
      </w:r>
    </w:p>
    <w:p w14:paraId="41230A4E">
      <w:pPr>
        <w:pageBreakBefore w:val="0"/>
        <w:tabs>
          <w:tab w:val="right" w:pos="9072"/>
        </w:tabs>
        <w:kinsoku/>
        <w:bidi w:val="0"/>
        <w:spacing w:line="360" w:lineRule="auto"/>
        <w:jc w:val="right"/>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法定代表人/负责人或被授权代表（签字并盖章）：          </w:t>
      </w:r>
    </w:p>
    <w:p w14:paraId="2620AA9C">
      <w:pPr>
        <w:pageBreakBefore w:val="0"/>
        <w:tabs>
          <w:tab w:val="right" w:pos="9072"/>
        </w:tabs>
        <w:kinsoku/>
        <w:bidi w:val="0"/>
        <w:spacing w:line="360" w:lineRule="auto"/>
        <w:jc w:val="center"/>
        <w:textAlignment w:val="auto"/>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年  月  日</w:t>
      </w:r>
    </w:p>
    <w:p w14:paraId="478855E6">
      <w:pPr>
        <w:pageBreakBefore w:val="0"/>
        <w:tabs>
          <w:tab w:val="right" w:pos="9072"/>
        </w:tabs>
        <w:kinsoku/>
        <w:bidi w:val="0"/>
        <w:spacing w:line="360" w:lineRule="auto"/>
        <w:textAlignment w:val="auto"/>
        <w:rPr>
          <w:rFonts w:hint="eastAsia" w:ascii="宋体" w:hAnsi="宋体" w:eastAsia="宋体" w:cs="宋体"/>
          <w:b/>
          <w:bCs/>
          <w:sz w:val="21"/>
          <w:szCs w:val="21"/>
        </w:rPr>
      </w:pPr>
    </w:p>
    <w:p w14:paraId="7B72FB5A">
      <w:pPr>
        <w:pageBreakBefore w:val="0"/>
        <w:tabs>
          <w:tab w:val="right" w:pos="9072"/>
        </w:tabs>
        <w:kinsoku/>
        <w:bidi w:val="0"/>
        <w:spacing w:line="360" w:lineRule="auto"/>
        <w:textAlignment w:val="auto"/>
        <w:rPr>
          <w:rFonts w:hint="eastAsia" w:ascii="宋体" w:hAnsi="宋体" w:eastAsia="宋体" w:cs="宋体"/>
          <w:b/>
          <w:bCs/>
          <w:sz w:val="21"/>
          <w:szCs w:val="21"/>
        </w:rPr>
      </w:pPr>
    </w:p>
    <w:p w14:paraId="69CB1C97">
      <w:pPr>
        <w:pageBreakBefore w:val="0"/>
        <w:tabs>
          <w:tab w:val="right" w:pos="9072"/>
        </w:tabs>
        <w:kinsoku/>
        <w:bidi w:val="0"/>
        <w:spacing w:line="360" w:lineRule="auto"/>
        <w:textAlignment w:val="auto"/>
        <w:rPr>
          <w:rFonts w:hint="eastAsia" w:ascii="宋体" w:hAnsi="宋体" w:eastAsia="宋体" w:cs="宋体"/>
          <w:b/>
          <w:bCs/>
          <w:sz w:val="21"/>
          <w:szCs w:val="21"/>
        </w:rPr>
      </w:pPr>
    </w:p>
    <w:p w14:paraId="5EA83F21">
      <w:pPr>
        <w:pageBreakBefore w:val="0"/>
        <w:tabs>
          <w:tab w:val="right" w:pos="9072"/>
        </w:tabs>
        <w:kinsoku/>
        <w:bidi w:val="0"/>
        <w:spacing w:line="360" w:lineRule="auto"/>
        <w:textAlignment w:val="auto"/>
        <w:rPr>
          <w:rFonts w:hint="eastAsia" w:ascii="宋体" w:hAnsi="宋体" w:eastAsia="宋体" w:cs="宋体"/>
          <w:b/>
          <w:bCs/>
          <w:sz w:val="21"/>
          <w:szCs w:val="21"/>
        </w:rPr>
      </w:pPr>
    </w:p>
    <w:p w14:paraId="10487CCC">
      <w:pPr>
        <w:pageBreakBefore w:val="0"/>
        <w:tabs>
          <w:tab w:val="right" w:pos="9072"/>
        </w:tabs>
        <w:kinsoku/>
        <w:bidi w:val="0"/>
        <w:spacing w:line="360" w:lineRule="auto"/>
        <w:textAlignment w:val="auto"/>
        <w:rPr>
          <w:rFonts w:hint="eastAsia" w:ascii="宋体" w:hAnsi="宋体" w:eastAsia="宋体" w:cs="宋体"/>
          <w:b/>
          <w:bCs/>
          <w:sz w:val="21"/>
          <w:szCs w:val="21"/>
        </w:rPr>
      </w:pPr>
    </w:p>
    <w:p w14:paraId="51CC4EC3">
      <w:pPr>
        <w:spacing w:line="219" w:lineRule="auto"/>
        <w:rPr>
          <w:rFonts w:ascii="宋体" w:hAnsi="宋体" w:eastAsia="宋体" w:cs="宋体"/>
          <w:sz w:val="24"/>
          <w:szCs w:val="24"/>
        </w:rPr>
        <w:sectPr>
          <w:footerReference r:id="rId6" w:type="default"/>
          <w:pgSz w:w="11906" w:h="16839"/>
          <w:pgMar w:top="1431" w:right="1745" w:bottom="1099" w:left="1785" w:header="0" w:footer="934" w:gutter="0"/>
          <w:pgNumType w:fmt="decimal"/>
          <w:cols w:space="720" w:num="1"/>
        </w:sect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注：本分项报价金额应与“开标一览表”中的“投标报价”一致。</w:t>
      </w:r>
    </w:p>
    <w:p w14:paraId="36F4E772">
      <w:pPr>
        <w:jc w:val="center"/>
        <w:rPr>
          <w:rFonts w:hint="eastAsia" w:ascii="宋体" w:hAnsi="宋体" w:eastAsia="宋体" w:cs="宋体"/>
          <w:color w:val="auto"/>
          <w:sz w:val="21"/>
          <w:szCs w:val="21"/>
        </w:rPr>
      </w:pPr>
      <w:bookmarkStart w:id="190" w:name="_Toc23725"/>
      <w:bookmarkStart w:id="191" w:name="_Toc31186"/>
      <w:bookmarkStart w:id="192" w:name="_Toc23724"/>
      <w:bookmarkStart w:id="193" w:name="_Toc17145"/>
      <w:bookmarkStart w:id="194" w:name="_Toc5992"/>
      <w:r>
        <w:rPr>
          <w:rFonts w:hint="eastAsia" w:ascii="宋体" w:hAnsi="宋体" w:eastAsia="宋体" w:cs="宋体"/>
          <w:b/>
          <w:bCs/>
          <w:color w:val="auto"/>
          <w:sz w:val="32"/>
          <w:szCs w:val="32"/>
        </w:rPr>
        <w:t>第三部分  资格证明文件</w:t>
      </w:r>
      <w:bookmarkEnd w:id="190"/>
      <w:bookmarkEnd w:id="191"/>
      <w:bookmarkEnd w:id="192"/>
      <w:bookmarkEnd w:id="193"/>
      <w:bookmarkEnd w:id="194"/>
    </w:p>
    <w:p w14:paraId="40F065C2">
      <w:pPr>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投标人按“第二章 投标人须知前附表第7条规定”逐一提供全部资料，缺少其中任何一项，其投标文件将被视为</w:t>
      </w:r>
      <w:r>
        <w:rPr>
          <w:rFonts w:hint="eastAsia" w:ascii="宋体" w:hAnsi="宋体" w:eastAsia="宋体" w:cs="宋体"/>
          <w:b/>
          <w:color w:val="auto"/>
          <w:sz w:val="24"/>
          <w:szCs w:val="24"/>
        </w:rPr>
        <w:t>无效文件</w:t>
      </w:r>
      <w:r>
        <w:rPr>
          <w:rFonts w:hint="eastAsia" w:ascii="宋体" w:hAnsi="宋体" w:eastAsia="宋体" w:cs="宋体"/>
          <w:color w:val="auto"/>
          <w:sz w:val="24"/>
          <w:szCs w:val="24"/>
        </w:rPr>
        <w:t>。其中，《法定代表人证明书》、《法定代表人授权委托书》（如有）、《书面声明函》、《榆林市政府采购货物类项目供应商信用承诺书》、《投标信用承诺》、《投标人信用承诺》、《投标人委托代理人员信用承诺书》（如有）应按下文给定格式填写，否则按</w:t>
      </w:r>
      <w:r>
        <w:rPr>
          <w:rFonts w:hint="eastAsia" w:ascii="宋体" w:hAnsi="宋体" w:eastAsia="宋体" w:cs="宋体"/>
          <w:b/>
          <w:color w:val="auto"/>
          <w:sz w:val="24"/>
          <w:szCs w:val="24"/>
        </w:rPr>
        <w:t>无效处理</w:t>
      </w:r>
      <w:r>
        <w:rPr>
          <w:rFonts w:hint="eastAsia" w:ascii="宋体" w:hAnsi="宋体" w:eastAsia="宋体" w:cs="宋体"/>
          <w:color w:val="auto"/>
          <w:sz w:val="24"/>
          <w:szCs w:val="24"/>
        </w:rPr>
        <w:t>。</w:t>
      </w:r>
    </w:p>
    <w:p w14:paraId="7BCEF2E7">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195" w:name="_Toc5982"/>
      <w:bookmarkStart w:id="196" w:name="_Toc5789"/>
      <w:bookmarkStart w:id="197" w:name="_Toc20419"/>
      <w:bookmarkStart w:id="198" w:name="_Toc19809"/>
      <w:bookmarkStart w:id="199" w:name="_Toc24541"/>
      <w:bookmarkStart w:id="200" w:name="_Toc30545"/>
      <w:bookmarkStart w:id="201" w:name="_Toc32424"/>
      <w:bookmarkStart w:id="202" w:name="_Toc14516"/>
      <w:bookmarkStart w:id="203" w:name="_Toc18571"/>
      <w:bookmarkStart w:id="204" w:name="_Toc9321"/>
      <w:bookmarkStart w:id="205" w:name="_Toc528596085"/>
      <w:bookmarkStart w:id="206" w:name="_Toc18338"/>
      <w:bookmarkStart w:id="207" w:name="_Toc16287"/>
      <w:bookmarkStart w:id="208" w:name="_Toc16358"/>
    </w:p>
    <w:p w14:paraId="2B8CF007">
      <w:pPr>
        <w:jc w:val="center"/>
        <w:rPr>
          <w:rFonts w:hint="eastAsia" w:ascii="宋体" w:hAnsi="宋体" w:eastAsia="宋体" w:cs="宋体"/>
          <w:b/>
          <w:bCs/>
          <w:color w:val="auto"/>
          <w:sz w:val="21"/>
          <w:szCs w:val="16"/>
        </w:rPr>
      </w:pPr>
      <w:bookmarkStart w:id="209" w:name="_Toc12113"/>
      <w:r>
        <w:rPr>
          <w:rFonts w:hint="eastAsia" w:ascii="宋体" w:hAnsi="宋体" w:eastAsia="宋体" w:cs="宋体"/>
          <w:b/>
          <w:bCs/>
          <w:color w:val="auto"/>
          <w:sz w:val="28"/>
          <w:szCs w:val="28"/>
        </w:rPr>
        <w:t>法定代表人证明书</w:t>
      </w:r>
      <w:bookmarkEnd w:id="195"/>
      <w:bookmarkEnd w:id="196"/>
      <w:bookmarkEnd w:id="197"/>
      <w:bookmarkEnd w:id="198"/>
      <w:bookmarkEnd w:id="199"/>
      <w:bookmarkEnd w:id="200"/>
      <w:bookmarkEnd w:id="201"/>
      <w:bookmarkEnd w:id="202"/>
      <w:bookmarkEnd w:id="209"/>
    </w:p>
    <w:p w14:paraId="1A34F534">
      <w:pPr>
        <w:rPr>
          <w:rFonts w:hint="eastAsia" w:ascii="宋体" w:hAnsi="宋体" w:eastAsia="宋体" w:cs="宋体"/>
          <w:color w:val="auto"/>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904"/>
        <w:gridCol w:w="2307"/>
        <w:gridCol w:w="178"/>
        <w:gridCol w:w="2104"/>
        <w:gridCol w:w="2109"/>
      </w:tblGrid>
      <w:tr w14:paraId="4576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480" w:type="dxa"/>
            <w:gridSpan w:val="6"/>
            <w:vAlign w:val="center"/>
          </w:tcPr>
          <w:p w14:paraId="17BA476E">
            <w:pPr>
              <w:snapToGrid w:val="0"/>
              <w:jc w:val="left"/>
              <w:rPr>
                <w:rFonts w:hint="default" w:ascii="宋体" w:hAnsi="宋体" w:eastAsia="宋体" w:cs="宋体"/>
                <w:color w:val="auto"/>
                <w:szCs w:val="24"/>
                <w:lang w:val="en-US" w:eastAsia="zh-CN"/>
              </w:rPr>
            </w:pPr>
            <w:r>
              <w:rPr>
                <w:rFonts w:hint="eastAsia" w:ascii="宋体" w:hAnsi="宋体" w:eastAsia="宋体" w:cs="宋体"/>
                <w:color w:val="auto"/>
                <w:szCs w:val="24"/>
              </w:rPr>
              <w:t>致：</w:t>
            </w:r>
            <w:r>
              <w:rPr>
                <w:rFonts w:hint="eastAsia" w:hAnsi="宋体" w:cs="宋体"/>
                <w:color w:val="auto"/>
                <w:szCs w:val="24"/>
                <w:lang w:eastAsia="zh-CN"/>
              </w:rPr>
              <w:t>清涧县林业工作站</w:t>
            </w:r>
          </w:p>
        </w:tc>
      </w:tr>
      <w:tr w14:paraId="5C34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restart"/>
            <w:vAlign w:val="center"/>
          </w:tcPr>
          <w:p w14:paraId="1A1809AE">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企</w:t>
            </w:r>
          </w:p>
          <w:p w14:paraId="61D0C734">
            <w:pPr>
              <w:tabs>
                <w:tab w:val="left" w:pos="210"/>
              </w:tabs>
              <w:spacing w:line="320" w:lineRule="exact"/>
              <w:jc w:val="center"/>
              <w:rPr>
                <w:rFonts w:hint="eastAsia" w:ascii="宋体" w:hAnsi="宋体" w:eastAsia="宋体" w:cs="宋体"/>
                <w:color w:val="auto"/>
                <w:szCs w:val="24"/>
              </w:rPr>
            </w:pPr>
          </w:p>
          <w:p w14:paraId="2B8F8A4B">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业</w:t>
            </w:r>
          </w:p>
          <w:p w14:paraId="45193563">
            <w:pPr>
              <w:tabs>
                <w:tab w:val="left" w:pos="210"/>
              </w:tabs>
              <w:spacing w:line="320" w:lineRule="exact"/>
              <w:jc w:val="center"/>
              <w:rPr>
                <w:rFonts w:hint="eastAsia" w:ascii="宋体" w:hAnsi="宋体" w:eastAsia="宋体" w:cs="宋体"/>
                <w:color w:val="auto"/>
                <w:szCs w:val="24"/>
              </w:rPr>
            </w:pPr>
          </w:p>
          <w:p w14:paraId="420ADB50">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法</w:t>
            </w:r>
          </w:p>
          <w:p w14:paraId="086343EA">
            <w:pPr>
              <w:tabs>
                <w:tab w:val="left" w:pos="210"/>
              </w:tabs>
              <w:spacing w:line="320" w:lineRule="exact"/>
              <w:jc w:val="center"/>
              <w:rPr>
                <w:rFonts w:hint="eastAsia" w:ascii="宋体" w:hAnsi="宋体" w:eastAsia="宋体" w:cs="宋体"/>
                <w:color w:val="auto"/>
                <w:szCs w:val="24"/>
              </w:rPr>
            </w:pPr>
          </w:p>
          <w:p w14:paraId="2AFB424F">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人</w:t>
            </w:r>
          </w:p>
        </w:tc>
        <w:tc>
          <w:tcPr>
            <w:tcW w:w="1904" w:type="dxa"/>
            <w:vAlign w:val="center"/>
          </w:tcPr>
          <w:p w14:paraId="671B103F">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企业名称</w:t>
            </w:r>
          </w:p>
        </w:tc>
        <w:tc>
          <w:tcPr>
            <w:tcW w:w="6698" w:type="dxa"/>
            <w:gridSpan w:val="4"/>
            <w:vAlign w:val="center"/>
          </w:tcPr>
          <w:p w14:paraId="30D6B6AE">
            <w:pPr>
              <w:tabs>
                <w:tab w:val="left" w:pos="210"/>
              </w:tabs>
              <w:spacing w:line="320" w:lineRule="exact"/>
              <w:jc w:val="center"/>
              <w:rPr>
                <w:rFonts w:hint="eastAsia" w:ascii="宋体" w:hAnsi="宋体" w:eastAsia="宋体" w:cs="宋体"/>
                <w:color w:val="auto"/>
                <w:szCs w:val="24"/>
              </w:rPr>
            </w:pPr>
          </w:p>
        </w:tc>
      </w:tr>
      <w:tr w14:paraId="78317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continue"/>
            <w:vAlign w:val="center"/>
          </w:tcPr>
          <w:p w14:paraId="77BFF90A">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3EE3C59B">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法定地址</w:t>
            </w:r>
          </w:p>
        </w:tc>
        <w:tc>
          <w:tcPr>
            <w:tcW w:w="6698" w:type="dxa"/>
            <w:gridSpan w:val="4"/>
            <w:vAlign w:val="center"/>
          </w:tcPr>
          <w:p w14:paraId="08712CE7">
            <w:pPr>
              <w:tabs>
                <w:tab w:val="left" w:pos="210"/>
              </w:tabs>
              <w:spacing w:line="320" w:lineRule="exact"/>
              <w:jc w:val="center"/>
              <w:rPr>
                <w:rFonts w:hint="eastAsia" w:ascii="宋体" w:hAnsi="宋体" w:eastAsia="宋体" w:cs="宋体"/>
                <w:color w:val="auto"/>
                <w:szCs w:val="24"/>
              </w:rPr>
            </w:pPr>
          </w:p>
        </w:tc>
      </w:tr>
      <w:tr w14:paraId="299D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continue"/>
            <w:vAlign w:val="center"/>
          </w:tcPr>
          <w:p w14:paraId="685C87E1">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43AD7F01">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邮政编码</w:t>
            </w:r>
          </w:p>
        </w:tc>
        <w:tc>
          <w:tcPr>
            <w:tcW w:w="6698" w:type="dxa"/>
            <w:gridSpan w:val="4"/>
            <w:vAlign w:val="center"/>
          </w:tcPr>
          <w:p w14:paraId="4729F499">
            <w:pPr>
              <w:tabs>
                <w:tab w:val="left" w:pos="210"/>
              </w:tabs>
              <w:spacing w:line="320" w:lineRule="exact"/>
              <w:jc w:val="center"/>
              <w:rPr>
                <w:rFonts w:hint="eastAsia" w:ascii="宋体" w:hAnsi="宋体" w:eastAsia="宋体" w:cs="宋体"/>
                <w:color w:val="auto"/>
                <w:szCs w:val="24"/>
              </w:rPr>
            </w:pPr>
          </w:p>
        </w:tc>
      </w:tr>
      <w:tr w14:paraId="6BCE7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8" w:type="dxa"/>
            <w:vMerge w:val="continue"/>
            <w:vAlign w:val="center"/>
          </w:tcPr>
          <w:p w14:paraId="78F93F0C">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2FA70708">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工商登记机关</w:t>
            </w:r>
          </w:p>
        </w:tc>
        <w:tc>
          <w:tcPr>
            <w:tcW w:w="6698" w:type="dxa"/>
            <w:gridSpan w:val="4"/>
            <w:vAlign w:val="center"/>
          </w:tcPr>
          <w:p w14:paraId="568BEDF2">
            <w:pPr>
              <w:tabs>
                <w:tab w:val="left" w:pos="210"/>
              </w:tabs>
              <w:spacing w:line="320" w:lineRule="exact"/>
              <w:jc w:val="center"/>
              <w:rPr>
                <w:rFonts w:hint="eastAsia" w:ascii="宋体" w:hAnsi="宋体" w:eastAsia="宋体" w:cs="宋体"/>
                <w:color w:val="auto"/>
                <w:szCs w:val="24"/>
              </w:rPr>
            </w:pPr>
          </w:p>
        </w:tc>
      </w:tr>
      <w:tr w14:paraId="4CC7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78" w:type="dxa"/>
            <w:vMerge w:val="continue"/>
            <w:vAlign w:val="center"/>
          </w:tcPr>
          <w:p w14:paraId="53152624">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3AA666B7">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税务登记机关</w:t>
            </w:r>
          </w:p>
        </w:tc>
        <w:tc>
          <w:tcPr>
            <w:tcW w:w="6698" w:type="dxa"/>
            <w:gridSpan w:val="4"/>
            <w:vAlign w:val="center"/>
          </w:tcPr>
          <w:p w14:paraId="3AEB7655">
            <w:pPr>
              <w:tabs>
                <w:tab w:val="left" w:pos="210"/>
              </w:tabs>
              <w:spacing w:line="320" w:lineRule="exact"/>
              <w:rPr>
                <w:rFonts w:hint="eastAsia" w:ascii="宋体" w:hAnsi="宋体" w:eastAsia="宋体" w:cs="宋体"/>
                <w:color w:val="auto"/>
                <w:szCs w:val="24"/>
              </w:rPr>
            </w:pPr>
          </w:p>
        </w:tc>
      </w:tr>
      <w:tr w14:paraId="1879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8" w:type="dxa"/>
            <w:vMerge w:val="continue"/>
            <w:vAlign w:val="center"/>
          </w:tcPr>
          <w:p w14:paraId="5B296323">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32ACAD6F">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机构代码证号</w:t>
            </w:r>
          </w:p>
        </w:tc>
        <w:tc>
          <w:tcPr>
            <w:tcW w:w="6698" w:type="dxa"/>
            <w:gridSpan w:val="4"/>
            <w:vAlign w:val="center"/>
          </w:tcPr>
          <w:p w14:paraId="66EAC7A5">
            <w:pPr>
              <w:tabs>
                <w:tab w:val="left" w:pos="210"/>
              </w:tabs>
              <w:spacing w:line="320" w:lineRule="exact"/>
              <w:jc w:val="center"/>
              <w:rPr>
                <w:rFonts w:hint="eastAsia" w:ascii="宋体" w:hAnsi="宋体" w:eastAsia="宋体" w:cs="宋体"/>
                <w:color w:val="auto"/>
                <w:szCs w:val="24"/>
              </w:rPr>
            </w:pPr>
          </w:p>
        </w:tc>
      </w:tr>
      <w:tr w14:paraId="16EA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restart"/>
            <w:vAlign w:val="center"/>
          </w:tcPr>
          <w:p w14:paraId="469E65C9">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法定代表人</w:t>
            </w:r>
          </w:p>
        </w:tc>
        <w:tc>
          <w:tcPr>
            <w:tcW w:w="1904" w:type="dxa"/>
            <w:vAlign w:val="center"/>
          </w:tcPr>
          <w:p w14:paraId="706744F4">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姓名</w:t>
            </w:r>
          </w:p>
        </w:tc>
        <w:tc>
          <w:tcPr>
            <w:tcW w:w="2485" w:type="dxa"/>
            <w:gridSpan w:val="2"/>
            <w:vAlign w:val="center"/>
          </w:tcPr>
          <w:p w14:paraId="2AD09325">
            <w:pPr>
              <w:tabs>
                <w:tab w:val="left" w:pos="210"/>
              </w:tabs>
              <w:spacing w:line="320" w:lineRule="exact"/>
              <w:jc w:val="center"/>
              <w:rPr>
                <w:rFonts w:hint="eastAsia" w:ascii="宋体" w:hAnsi="宋体" w:eastAsia="宋体" w:cs="宋体"/>
                <w:color w:val="auto"/>
                <w:szCs w:val="24"/>
              </w:rPr>
            </w:pPr>
          </w:p>
        </w:tc>
        <w:tc>
          <w:tcPr>
            <w:tcW w:w="2104" w:type="dxa"/>
            <w:vAlign w:val="center"/>
          </w:tcPr>
          <w:p w14:paraId="51C5DF0E">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性别</w:t>
            </w:r>
          </w:p>
        </w:tc>
        <w:tc>
          <w:tcPr>
            <w:tcW w:w="2109" w:type="dxa"/>
            <w:vAlign w:val="center"/>
          </w:tcPr>
          <w:p w14:paraId="33305C2C">
            <w:pPr>
              <w:tabs>
                <w:tab w:val="left" w:pos="210"/>
              </w:tabs>
              <w:spacing w:line="320" w:lineRule="exact"/>
              <w:jc w:val="center"/>
              <w:rPr>
                <w:rFonts w:hint="eastAsia" w:ascii="宋体" w:hAnsi="宋体" w:eastAsia="宋体" w:cs="宋体"/>
                <w:color w:val="auto"/>
                <w:szCs w:val="24"/>
              </w:rPr>
            </w:pPr>
          </w:p>
        </w:tc>
      </w:tr>
      <w:tr w14:paraId="3D53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878" w:type="dxa"/>
            <w:vMerge w:val="continue"/>
            <w:vAlign w:val="center"/>
          </w:tcPr>
          <w:p w14:paraId="6309CEE5">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29056F73">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职务</w:t>
            </w:r>
          </w:p>
        </w:tc>
        <w:tc>
          <w:tcPr>
            <w:tcW w:w="2485" w:type="dxa"/>
            <w:gridSpan w:val="2"/>
            <w:vAlign w:val="center"/>
          </w:tcPr>
          <w:p w14:paraId="1A04476E">
            <w:pPr>
              <w:tabs>
                <w:tab w:val="left" w:pos="210"/>
              </w:tabs>
              <w:spacing w:line="320" w:lineRule="exact"/>
              <w:jc w:val="center"/>
              <w:rPr>
                <w:rFonts w:hint="eastAsia" w:ascii="宋体" w:hAnsi="宋体" w:eastAsia="宋体" w:cs="宋体"/>
                <w:color w:val="auto"/>
                <w:szCs w:val="24"/>
              </w:rPr>
            </w:pPr>
          </w:p>
        </w:tc>
        <w:tc>
          <w:tcPr>
            <w:tcW w:w="2104" w:type="dxa"/>
            <w:vAlign w:val="center"/>
          </w:tcPr>
          <w:p w14:paraId="1D82BE78">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联系电话</w:t>
            </w:r>
          </w:p>
        </w:tc>
        <w:tc>
          <w:tcPr>
            <w:tcW w:w="2109" w:type="dxa"/>
            <w:vAlign w:val="center"/>
          </w:tcPr>
          <w:p w14:paraId="1FBB91B4">
            <w:pPr>
              <w:tabs>
                <w:tab w:val="left" w:pos="210"/>
              </w:tabs>
              <w:spacing w:line="320" w:lineRule="exact"/>
              <w:jc w:val="center"/>
              <w:rPr>
                <w:rFonts w:hint="eastAsia" w:ascii="宋体" w:hAnsi="宋体" w:eastAsia="宋体" w:cs="宋体"/>
                <w:color w:val="auto"/>
                <w:szCs w:val="24"/>
              </w:rPr>
            </w:pPr>
          </w:p>
        </w:tc>
      </w:tr>
      <w:tr w14:paraId="4D49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8" w:type="dxa"/>
            <w:vMerge w:val="continue"/>
            <w:vAlign w:val="center"/>
          </w:tcPr>
          <w:p w14:paraId="0C84476D">
            <w:pPr>
              <w:tabs>
                <w:tab w:val="left" w:pos="210"/>
              </w:tabs>
              <w:spacing w:line="320" w:lineRule="exact"/>
              <w:jc w:val="center"/>
              <w:rPr>
                <w:rFonts w:hint="eastAsia" w:ascii="宋体" w:hAnsi="宋体" w:eastAsia="宋体" w:cs="宋体"/>
                <w:color w:val="auto"/>
                <w:szCs w:val="24"/>
              </w:rPr>
            </w:pPr>
          </w:p>
        </w:tc>
        <w:tc>
          <w:tcPr>
            <w:tcW w:w="1904" w:type="dxa"/>
            <w:vAlign w:val="center"/>
          </w:tcPr>
          <w:p w14:paraId="76996901">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传真</w:t>
            </w:r>
          </w:p>
        </w:tc>
        <w:tc>
          <w:tcPr>
            <w:tcW w:w="6698" w:type="dxa"/>
            <w:gridSpan w:val="4"/>
            <w:vAlign w:val="center"/>
          </w:tcPr>
          <w:p w14:paraId="61E3557F">
            <w:pPr>
              <w:tabs>
                <w:tab w:val="left" w:pos="210"/>
              </w:tabs>
              <w:spacing w:line="320" w:lineRule="exact"/>
              <w:jc w:val="center"/>
              <w:rPr>
                <w:rFonts w:hint="eastAsia" w:ascii="宋体" w:hAnsi="宋体" w:eastAsia="宋体" w:cs="宋体"/>
                <w:color w:val="auto"/>
                <w:szCs w:val="24"/>
              </w:rPr>
            </w:pPr>
          </w:p>
        </w:tc>
      </w:tr>
      <w:tr w14:paraId="5A95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9" w:hRule="atLeast"/>
          <w:jc w:val="center"/>
        </w:trPr>
        <w:tc>
          <w:tcPr>
            <w:tcW w:w="878" w:type="dxa"/>
            <w:vMerge w:val="restart"/>
            <w:vAlign w:val="center"/>
          </w:tcPr>
          <w:p w14:paraId="0AEF8C06">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法定代表人身份证复印件</w:t>
            </w:r>
          </w:p>
        </w:tc>
        <w:tc>
          <w:tcPr>
            <w:tcW w:w="4211" w:type="dxa"/>
            <w:gridSpan w:val="2"/>
            <w:vMerge w:val="restart"/>
            <w:vAlign w:val="center"/>
          </w:tcPr>
          <w:p w14:paraId="40211D39">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（粘贴处）</w:t>
            </w:r>
          </w:p>
        </w:tc>
        <w:tc>
          <w:tcPr>
            <w:tcW w:w="4391" w:type="dxa"/>
            <w:gridSpan w:val="3"/>
            <w:vAlign w:val="center"/>
          </w:tcPr>
          <w:p w14:paraId="46F5FC48">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法定代表人（签章）</w:t>
            </w:r>
          </w:p>
        </w:tc>
      </w:tr>
      <w:tr w14:paraId="3FF7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jc w:val="center"/>
        </w:trPr>
        <w:tc>
          <w:tcPr>
            <w:tcW w:w="878" w:type="dxa"/>
            <w:vMerge w:val="continue"/>
            <w:vAlign w:val="center"/>
          </w:tcPr>
          <w:p w14:paraId="0D33321D">
            <w:pPr>
              <w:tabs>
                <w:tab w:val="left" w:pos="210"/>
              </w:tabs>
              <w:spacing w:line="320" w:lineRule="exact"/>
              <w:jc w:val="center"/>
              <w:rPr>
                <w:rFonts w:hint="eastAsia" w:ascii="宋体" w:hAnsi="宋体" w:eastAsia="宋体" w:cs="宋体"/>
                <w:color w:val="auto"/>
                <w:szCs w:val="24"/>
              </w:rPr>
            </w:pPr>
          </w:p>
        </w:tc>
        <w:tc>
          <w:tcPr>
            <w:tcW w:w="4211" w:type="dxa"/>
            <w:gridSpan w:val="2"/>
            <w:vMerge w:val="continue"/>
            <w:vAlign w:val="center"/>
          </w:tcPr>
          <w:p w14:paraId="72AFDD68">
            <w:pPr>
              <w:tabs>
                <w:tab w:val="left" w:pos="210"/>
              </w:tabs>
              <w:spacing w:line="320" w:lineRule="exact"/>
              <w:jc w:val="center"/>
              <w:rPr>
                <w:rFonts w:hint="eastAsia" w:ascii="宋体" w:hAnsi="宋体" w:eastAsia="宋体" w:cs="宋体"/>
                <w:color w:val="auto"/>
                <w:szCs w:val="24"/>
              </w:rPr>
            </w:pPr>
          </w:p>
        </w:tc>
        <w:tc>
          <w:tcPr>
            <w:tcW w:w="4391" w:type="dxa"/>
            <w:gridSpan w:val="3"/>
            <w:vAlign w:val="bottom"/>
          </w:tcPr>
          <w:p w14:paraId="356C10C3">
            <w:pPr>
              <w:tabs>
                <w:tab w:val="left" w:pos="210"/>
              </w:tabs>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（投标人公章）</w:t>
            </w:r>
          </w:p>
          <w:p w14:paraId="6FFF0226">
            <w:pPr>
              <w:tabs>
                <w:tab w:val="left" w:pos="210"/>
              </w:tabs>
              <w:spacing w:line="320" w:lineRule="exact"/>
              <w:jc w:val="center"/>
              <w:rPr>
                <w:rFonts w:hint="eastAsia" w:ascii="宋体" w:hAnsi="宋体" w:eastAsia="宋体" w:cs="宋体"/>
                <w:color w:val="auto"/>
                <w:szCs w:val="24"/>
              </w:rPr>
            </w:pPr>
          </w:p>
          <w:p w14:paraId="6CB2CD2B">
            <w:pPr>
              <w:tabs>
                <w:tab w:val="left" w:pos="210"/>
              </w:tabs>
              <w:spacing w:line="320" w:lineRule="exact"/>
              <w:jc w:val="center"/>
              <w:rPr>
                <w:rFonts w:hint="eastAsia" w:ascii="宋体" w:hAnsi="宋体" w:eastAsia="宋体" w:cs="宋体"/>
                <w:color w:val="auto"/>
                <w:szCs w:val="24"/>
              </w:rPr>
            </w:pPr>
          </w:p>
          <w:p w14:paraId="54D50853">
            <w:pPr>
              <w:tabs>
                <w:tab w:val="left" w:pos="210"/>
              </w:tabs>
              <w:spacing w:line="320" w:lineRule="exact"/>
              <w:jc w:val="center"/>
              <w:rPr>
                <w:rFonts w:hint="eastAsia" w:ascii="宋体" w:hAnsi="宋体" w:eastAsia="宋体" w:cs="宋体"/>
                <w:color w:val="auto"/>
                <w:szCs w:val="24"/>
              </w:rPr>
            </w:pPr>
          </w:p>
          <w:p w14:paraId="590C5243">
            <w:pPr>
              <w:tabs>
                <w:tab w:val="left" w:pos="210"/>
              </w:tabs>
              <w:spacing w:line="320" w:lineRule="exact"/>
              <w:jc w:val="right"/>
              <w:rPr>
                <w:rFonts w:hint="eastAsia" w:ascii="宋体" w:hAnsi="宋体" w:eastAsia="宋体" w:cs="宋体"/>
                <w:color w:val="auto"/>
                <w:szCs w:val="24"/>
              </w:rPr>
            </w:pPr>
            <w:r>
              <w:rPr>
                <w:rFonts w:hint="eastAsia" w:ascii="宋体" w:hAnsi="宋体" w:eastAsia="宋体" w:cs="宋体"/>
                <w:color w:val="auto"/>
                <w:szCs w:val="24"/>
              </w:rPr>
              <w:t xml:space="preserve">年  月  日 </w:t>
            </w:r>
          </w:p>
        </w:tc>
      </w:tr>
    </w:tbl>
    <w:p w14:paraId="5E60E3F1">
      <w:pPr>
        <w:rPr>
          <w:rFonts w:hint="eastAsia" w:ascii="宋体" w:hAnsi="宋体" w:eastAsia="宋体" w:cs="宋体"/>
          <w:b/>
          <w:bCs/>
          <w:color w:val="auto"/>
          <w:sz w:val="22"/>
          <w:szCs w:val="18"/>
        </w:rPr>
      </w:pPr>
      <w:bookmarkStart w:id="210" w:name="_Toc26339"/>
      <w:bookmarkStart w:id="211" w:name="_Toc21733"/>
      <w:bookmarkStart w:id="212" w:name="_Toc8496"/>
      <w:bookmarkStart w:id="213" w:name="_Toc25506"/>
      <w:bookmarkStart w:id="214" w:name="_Toc20051"/>
      <w:bookmarkStart w:id="215" w:name="_Toc22283"/>
      <w:bookmarkStart w:id="216" w:name="_Toc12471"/>
      <w:bookmarkStart w:id="217" w:name="_Toc9702"/>
    </w:p>
    <w:p w14:paraId="2058AB0F">
      <w:pPr>
        <w:rPr>
          <w:rFonts w:hint="eastAsia" w:ascii="宋体" w:hAnsi="宋体" w:eastAsia="宋体" w:cs="宋体"/>
          <w:b/>
          <w:color w:val="auto"/>
          <w:sz w:val="21"/>
          <w:szCs w:val="21"/>
        </w:rPr>
      </w:pPr>
      <w:r>
        <w:rPr>
          <w:rFonts w:hint="eastAsia" w:ascii="宋体" w:hAnsi="宋体" w:eastAsia="宋体" w:cs="宋体"/>
          <w:b/>
          <w:bCs/>
          <w:color w:val="auto"/>
          <w:sz w:val="21"/>
          <w:szCs w:val="16"/>
        </w:rPr>
        <w:t>注：</w:t>
      </w:r>
      <w:bookmarkEnd w:id="210"/>
      <w:bookmarkEnd w:id="211"/>
      <w:bookmarkEnd w:id="212"/>
      <w:bookmarkEnd w:id="213"/>
      <w:bookmarkEnd w:id="214"/>
      <w:bookmarkEnd w:id="215"/>
      <w:bookmarkEnd w:id="216"/>
      <w:bookmarkEnd w:id="217"/>
      <w:r>
        <w:rPr>
          <w:rFonts w:hint="eastAsia" w:ascii="宋体" w:hAnsi="宋体" w:eastAsia="宋体" w:cs="宋体"/>
          <w:color w:val="auto"/>
          <w:sz w:val="21"/>
          <w:szCs w:val="16"/>
        </w:rPr>
        <w:t>投标人须认真填写此表，如填写不属实将被作无效处理。</w:t>
      </w:r>
      <w:r>
        <w:rPr>
          <w:rFonts w:hint="eastAsia" w:ascii="宋体" w:hAnsi="宋体" w:eastAsia="宋体" w:cs="宋体"/>
          <w:color w:val="auto"/>
          <w:szCs w:val="24"/>
        </w:rPr>
        <w:br w:type="page"/>
      </w:r>
    </w:p>
    <w:p w14:paraId="6461741D">
      <w:pPr>
        <w:jc w:val="center"/>
        <w:rPr>
          <w:rFonts w:hint="eastAsia" w:ascii="宋体" w:hAnsi="宋体" w:eastAsia="宋体" w:cs="宋体"/>
          <w:b/>
          <w:bCs/>
          <w:color w:val="auto"/>
          <w:sz w:val="21"/>
          <w:szCs w:val="21"/>
        </w:rPr>
      </w:pPr>
      <w:r>
        <w:rPr>
          <w:rFonts w:hint="eastAsia" w:ascii="宋体" w:hAnsi="宋体" w:eastAsia="宋体" w:cs="宋体"/>
          <w:b/>
          <w:color w:val="auto"/>
          <w:sz w:val="28"/>
          <w:szCs w:val="28"/>
        </w:rPr>
        <w:t>法定代表人授权委托书</w:t>
      </w:r>
      <w:bookmarkEnd w:id="203"/>
      <w:bookmarkEnd w:id="204"/>
      <w:bookmarkEnd w:id="205"/>
      <w:bookmarkEnd w:id="206"/>
      <w:bookmarkEnd w:id="207"/>
      <w:bookmarkEnd w:id="208"/>
    </w:p>
    <w:p w14:paraId="18D44A91">
      <w:pPr>
        <w:snapToGrid w:val="0"/>
        <w:spacing w:after="163" w:afterLines="50" w:line="500" w:lineRule="exact"/>
        <w:rPr>
          <w:rFonts w:hint="eastAsia" w:ascii="宋体" w:hAnsi="宋体" w:eastAsia="宋体" w:cs="宋体"/>
          <w:color w:val="auto"/>
          <w:szCs w:val="24"/>
        </w:rPr>
      </w:pPr>
      <w:r>
        <w:rPr>
          <w:rFonts w:hint="eastAsia" w:hAnsi="宋体" w:cs="宋体"/>
          <w:color w:val="auto"/>
          <w:szCs w:val="24"/>
          <w:lang w:eastAsia="zh-CN"/>
        </w:rPr>
        <w:t>清涧县林业工作站</w:t>
      </w:r>
      <w:r>
        <w:rPr>
          <w:rFonts w:hint="eastAsia" w:ascii="宋体" w:hAnsi="宋体" w:eastAsia="宋体" w:cs="宋体"/>
          <w:color w:val="auto"/>
          <w:szCs w:val="24"/>
        </w:rPr>
        <w:t>：</w:t>
      </w:r>
    </w:p>
    <w:p w14:paraId="5FAC47FB">
      <w:pPr>
        <w:spacing w:line="460" w:lineRule="exact"/>
        <w:ind w:right="11" w:firstLine="480" w:firstLineChars="200"/>
        <w:rPr>
          <w:rFonts w:hint="eastAsia" w:ascii="宋体" w:hAnsi="宋体" w:eastAsia="宋体" w:cs="宋体"/>
          <w:color w:val="auto"/>
          <w:szCs w:val="24"/>
        </w:rPr>
      </w:pPr>
      <w:r>
        <w:rPr>
          <w:rFonts w:hint="eastAsia" w:ascii="宋体" w:hAnsi="宋体" w:eastAsia="宋体" w:cs="宋体"/>
          <w:color w:val="auto"/>
          <w:szCs w:val="24"/>
        </w:rPr>
        <w:t>现委派</w:t>
      </w:r>
      <w:r>
        <w:rPr>
          <w:rFonts w:hint="eastAsia" w:ascii="宋体" w:hAnsi="宋体" w:eastAsia="宋体" w:cs="宋体"/>
          <w:color w:val="auto"/>
          <w:szCs w:val="24"/>
          <w:u w:val="single"/>
        </w:rPr>
        <w:t>（授权代表姓名）</w:t>
      </w:r>
      <w:r>
        <w:rPr>
          <w:rFonts w:hint="eastAsia" w:ascii="宋体" w:hAnsi="宋体" w:eastAsia="宋体" w:cs="宋体"/>
          <w:color w:val="auto"/>
          <w:szCs w:val="24"/>
        </w:rPr>
        <w:t>为本公司的授权代表，参加贵公司组织的</w:t>
      </w:r>
      <w:bookmarkStart w:id="218" w:name="_top"/>
      <w:bookmarkEnd w:id="218"/>
      <w:r>
        <w:rPr>
          <w:rFonts w:hint="eastAsia" w:ascii="宋体" w:hAnsi="宋体" w:eastAsia="宋体" w:cs="宋体"/>
          <w:color w:val="auto"/>
          <w:szCs w:val="24"/>
        </w:rPr>
        <w:t>《</w:t>
      </w:r>
      <w:r>
        <w:rPr>
          <w:rFonts w:hint="eastAsia" w:ascii="宋体" w:hAnsi="宋体" w:eastAsia="宋体" w:cs="宋体"/>
          <w:color w:val="auto"/>
          <w:szCs w:val="24"/>
          <w:u w:val="single"/>
        </w:rPr>
        <w:t>项目名称</w:t>
      </w:r>
      <w:r>
        <w:rPr>
          <w:rFonts w:hint="eastAsia" w:ascii="宋体" w:hAnsi="宋体" w:eastAsia="宋体" w:cs="宋体"/>
          <w:color w:val="auto"/>
          <w:szCs w:val="24"/>
        </w:rPr>
        <w:t>》（项目编号：）政府采购活动，就该项目的投标及合同的执行和完成，以本公司的名义处理一切与之有关的事宜。</w:t>
      </w:r>
    </w:p>
    <w:p w14:paraId="5FBC6A69">
      <w:pPr>
        <w:tabs>
          <w:tab w:val="left" w:pos="5245"/>
        </w:tabs>
        <w:snapToGrid w:val="0"/>
        <w:spacing w:line="50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授权代表姓名（签字）：</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   性别：</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   职务：</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          </w:t>
      </w:r>
    </w:p>
    <w:p w14:paraId="691AF7EA">
      <w:pPr>
        <w:snapToGrid w:val="0"/>
        <w:spacing w:line="50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电话：</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   通讯地址：</w:t>
      </w:r>
      <w:r>
        <w:rPr>
          <w:rFonts w:hint="eastAsia" w:ascii="宋体" w:hAnsi="宋体" w:eastAsia="宋体" w:cs="宋体"/>
          <w:color w:val="auto"/>
          <w:szCs w:val="24"/>
          <w:u w:val="single"/>
        </w:rPr>
        <w:t xml:space="preserve">                   </w:t>
      </w:r>
    </w:p>
    <w:p w14:paraId="31D742CD">
      <w:pPr>
        <w:spacing w:before="1" w:line="449" w:lineRule="auto"/>
        <w:ind w:left="225" w:right="212" w:firstLine="476"/>
        <w:rPr>
          <w:rFonts w:hint="eastAsia" w:ascii="宋体" w:hAnsi="宋体" w:eastAsia="宋体" w:cs="宋体"/>
          <w:color w:val="auto"/>
          <w:szCs w:val="24"/>
        </w:rPr>
      </w:pPr>
      <w:r>
        <w:rPr>
          <w:rFonts w:ascii="宋体" w:hAnsi="宋体" w:eastAsia="宋体" w:cs="宋体"/>
          <w:spacing w:val="-5"/>
          <w:sz w:val="24"/>
          <w:szCs w:val="24"/>
        </w:rPr>
        <w:t xml:space="preserve">本授权书于 </w:t>
      </w:r>
      <w:r>
        <w:rPr>
          <w:rFonts w:ascii="宋体" w:hAnsi="宋体" w:eastAsia="宋体" w:cs="宋体"/>
          <w:spacing w:val="-5"/>
          <w:sz w:val="24"/>
          <w:szCs w:val="24"/>
          <w:u w:val="single" w:color="auto"/>
        </w:rPr>
        <w:t xml:space="preserve">     </w:t>
      </w:r>
      <w:r>
        <w:rPr>
          <w:rFonts w:ascii="宋体" w:hAnsi="宋体" w:eastAsia="宋体" w:cs="宋体"/>
          <w:spacing w:val="-94"/>
          <w:sz w:val="24"/>
          <w:szCs w:val="24"/>
        </w:rPr>
        <w:t xml:space="preserve"> </w:t>
      </w:r>
      <w:r>
        <w:rPr>
          <w:rFonts w:ascii="宋体" w:hAnsi="宋体" w:eastAsia="宋体" w:cs="宋体"/>
          <w:spacing w:val="-5"/>
          <w:sz w:val="24"/>
          <w:szCs w:val="24"/>
        </w:rPr>
        <w:t>年</w:t>
      </w:r>
      <w:r>
        <w:rPr>
          <w:rFonts w:ascii="宋体" w:hAnsi="宋体" w:eastAsia="宋体" w:cs="宋体"/>
          <w:spacing w:val="-5"/>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月</w:t>
      </w:r>
      <w:r>
        <w:rPr>
          <w:rFonts w:ascii="宋体" w:hAnsi="宋体" w:eastAsia="宋体" w:cs="宋体"/>
          <w:spacing w:val="-5"/>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5"/>
          <w:sz w:val="24"/>
          <w:szCs w:val="24"/>
        </w:rPr>
        <w:t>日签字（盖章）生效，有效期自</w:t>
      </w:r>
      <w:r>
        <w:rPr>
          <w:rFonts w:hint="eastAsia" w:ascii="宋体" w:hAnsi="宋体" w:eastAsia="宋体" w:cs="宋体"/>
          <w:spacing w:val="-5"/>
          <w:sz w:val="24"/>
          <w:szCs w:val="24"/>
          <w:lang w:val="en-US" w:eastAsia="zh-CN"/>
        </w:rPr>
        <w:t>招标</w:t>
      </w:r>
      <w:r>
        <w:rPr>
          <w:rFonts w:ascii="宋体" w:hAnsi="宋体" w:eastAsia="宋体" w:cs="宋体"/>
          <w:spacing w:val="-5"/>
          <w:sz w:val="24"/>
          <w:szCs w:val="24"/>
        </w:rPr>
        <w:t>之日起</w:t>
      </w:r>
      <w:r>
        <w:rPr>
          <w:rFonts w:ascii="宋体" w:hAnsi="宋体" w:eastAsia="宋体" w:cs="宋体"/>
          <w:spacing w:val="-2"/>
          <w:sz w:val="24"/>
          <w:szCs w:val="24"/>
        </w:rPr>
        <w:t>天</w:t>
      </w:r>
      <w:r>
        <w:rPr>
          <w:rFonts w:ascii="宋体" w:hAnsi="宋体" w:eastAsia="宋体" w:cs="宋体"/>
          <w:spacing w:val="-53"/>
          <w:sz w:val="24"/>
          <w:szCs w:val="24"/>
        </w:rPr>
        <w:t>，</w:t>
      </w:r>
      <w:r>
        <w:rPr>
          <w:rFonts w:ascii="宋体" w:hAnsi="宋体" w:eastAsia="宋体" w:cs="宋体"/>
          <w:spacing w:val="-2"/>
          <w:sz w:val="24"/>
          <w:szCs w:val="24"/>
        </w:rPr>
        <w:t>特此声明。</w:t>
      </w:r>
    </w:p>
    <w:tbl>
      <w:tblPr>
        <w:tblStyle w:val="23"/>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4"/>
        <w:gridCol w:w="4685"/>
      </w:tblGrid>
      <w:tr w14:paraId="42D9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654" w:type="dxa"/>
            <w:tcBorders>
              <w:top w:val="single" w:color="auto" w:sz="4" w:space="0"/>
              <w:left w:val="single" w:color="auto" w:sz="4" w:space="0"/>
              <w:bottom w:val="single" w:color="auto" w:sz="4" w:space="0"/>
              <w:right w:val="single" w:color="auto" w:sz="4" w:space="0"/>
            </w:tcBorders>
            <w:vAlign w:val="center"/>
          </w:tcPr>
          <w:p w14:paraId="169694F2">
            <w:pPr>
              <w:ind w:firstLine="7" w:firstLineChars="3"/>
              <w:jc w:val="center"/>
              <w:rPr>
                <w:rFonts w:hint="eastAsia" w:ascii="宋体" w:hAnsi="宋体" w:eastAsia="宋体" w:cs="宋体"/>
                <w:color w:val="auto"/>
                <w:szCs w:val="24"/>
              </w:rPr>
            </w:pPr>
            <w:r>
              <w:rPr>
                <w:rFonts w:hint="eastAsia" w:ascii="宋体" w:hAnsi="宋体" w:eastAsia="宋体" w:cs="宋体"/>
                <w:color w:val="auto"/>
                <w:szCs w:val="24"/>
              </w:rPr>
              <w:t>法定代表人身份证复印件</w:t>
            </w:r>
          </w:p>
          <w:p w14:paraId="47FFF37C">
            <w:pPr>
              <w:ind w:firstLine="7" w:firstLineChars="3"/>
              <w:jc w:val="center"/>
              <w:rPr>
                <w:rFonts w:hint="eastAsia" w:ascii="宋体" w:hAnsi="宋体" w:eastAsia="宋体" w:cs="宋体"/>
                <w:color w:val="auto"/>
                <w:szCs w:val="24"/>
              </w:rPr>
            </w:pPr>
            <w:r>
              <w:rPr>
                <w:rFonts w:hint="eastAsia" w:ascii="宋体" w:hAnsi="宋体" w:eastAsia="宋体" w:cs="宋体"/>
                <w:color w:val="auto"/>
                <w:szCs w:val="24"/>
              </w:rPr>
              <w:t>（一面）</w:t>
            </w:r>
          </w:p>
        </w:tc>
        <w:tc>
          <w:tcPr>
            <w:tcW w:w="4685" w:type="dxa"/>
            <w:tcBorders>
              <w:top w:val="single" w:color="auto" w:sz="4" w:space="0"/>
              <w:left w:val="single" w:color="auto" w:sz="4" w:space="0"/>
              <w:bottom w:val="single" w:color="auto" w:sz="4" w:space="0"/>
              <w:right w:val="single" w:color="auto" w:sz="4" w:space="0"/>
            </w:tcBorders>
            <w:vAlign w:val="center"/>
          </w:tcPr>
          <w:p w14:paraId="2F2B0027">
            <w:pPr>
              <w:jc w:val="center"/>
              <w:rPr>
                <w:rFonts w:hint="eastAsia" w:ascii="宋体" w:hAnsi="宋体" w:eastAsia="宋体" w:cs="宋体"/>
                <w:color w:val="auto"/>
                <w:szCs w:val="24"/>
              </w:rPr>
            </w:pPr>
            <w:r>
              <w:rPr>
                <w:rFonts w:hint="eastAsia" w:ascii="宋体" w:hAnsi="宋体" w:eastAsia="宋体" w:cs="宋体"/>
                <w:color w:val="auto"/>
                <w:szCs w:val="24"/>
              </w:rPr>
              <w:t>授权代表身份证复印件</w:t>
            </w:r>
          </w:p>
          <w:p w14:paraId="017A2C3F">
            <w:pPr>
              <w:jc w:val="center"/>
              <w:rPr>
                <w:rFonts w:hint="eastAsia" w:ascii="宋体" w:hAnsi="宋体" w:eastAsia="宋体" w:cs="宋体"/>
                <w:color w:val="auto"/>
                <w:szCs w:val="24"/>
              </w:rPr>
            </w:pPr>
            <w:r>
              <w:rPr>
                <w:rFonts w:hint="eastAsia" w:ascii="宋体" w:hAnsi="宋体" w:eastAsia="宋体" w:cs="宋体"/>
                <w:color w:val="auto"/>
                <w:szCs w:val="24"/>
              </w:rPr>
              <w:t>（一面）</w:t>
            </w:r>
          </w:p>
        </w:tc>
      </w:tr>
      <w:tr w14:paraId="423A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654" w:type="dxa"/>
            <w:vAlign w:val="center"/>
          </w:tcPr>
          <w:p w14:paraId="27F5D5EB">
            <w:pPr>
              <w:jc w:val="center"/>
              <w:rPr>
                <w:rFonts w:hint="eastAsia" w:ascii="宋体" w:hAnsi="宋体" w:eastAsia="宋体" w:cs="宋体"/>
                <w:color w:val="auto"/>
                <w:szCs w:val="24"/>
              </w:rPr>
            </w:pPr>
            <w:r>
              <w:rPr>
                <w:rFonts w:hint="eastAsia" w:ascii="宋体" w:hAnsi="宋体" w:eastAsia="宋体" w:cs="宋体"/>
                <w:color w:val="auto"/>
                <w:szCs w:val="24"/>
              </w:rPr>
              <w:t>法定代表人身份证复印件</w:t>
            </w:r>
          </w:p>
          <w:p w14:paraId="245B7DE1">
            <w:pPr>
              <w:jc w:val="center"/>
              <w:rPr>
                <w:rFonts w:hint="eastAsia" w:ascii="宋体" w:hAnsi="宋体" w:eastAsia="宋体" w:cs="宋体"/>
                <w:color w:val="auto"/>
                <w:szCs w:val="24"/>
              </w:rPr>
            </w:pPr>
            <w:r>
              <w:rPr>
                <w:rFonts w:hint="eastAsia" w:ascii="宋体" w:hAnsi="宋体" w:eastAsia="宋体" w:cs="宋体"/>
                <w:color w:val="auto"/>
                <w:szCs w:val="24"/>
              </w:rPr>
              <w:t>（另一面）</w:t>
            </w:r>
          </w:p>
        </w:tc>
        <w:tc>
          <w:tcPr>
            <w:tcW w:w="4685" w:type="dxa"/>
            <w:vAlign w:val="center"/>
          </w:tcPr>
          <w:p w14:paraId="78293893">
            <w:pPr>
              <w:jc w:val="center"/>
              <w:rPr>
                <w:rFonts w:hint="eastAsia" w:ascii="宋体" w:hAnsi="宋体" w:eastAsia="宋体" w:cs="宋体"/>
                <w:color w:val="auto"/>
                <w:szCs w:val="24"/>
              </w:rPr>
            </w:pPr>
            <w:r>
              <w:rPr>
                <w:rFonts w:hint="eastAsia" w:ascii="宋体" w:hAnsi="宋体" w:eastAsia="宋体" w:cs="宋体"/>
                <w:color w:val="auto"/>
                <w:szCs w:val="24"/>
              </w:rPr>
              <w:t>授权代表身份证复印件</w:t>
            </w:r>
          </w:p>
          <w:p w14:paraId="3A1BBC45">
            <w:pPr>
              <w:jc w:val="center"/>
              <w:rPr>
                <w:rFonts w:hint="eastAsia" w:ascii="宋体" w:hAnsi="宋体" w:eastAsia="宋体" w:cs="宋体"/>
                <w:color w:val="auto"/>
                <w:szCs w:val="24"/>
              </w:rPr>
            </w:pPr>
            <w:r>
              <w:rPr>
                <w:rFonts w:hint="eastAsia" w:ascii="宋体" w:hAnsi="宋体" w:eastAsia="宋体" w:cs="宋体"/>
                <w:color w:val="auto"/>
                <w:szCs w:val="24"/>
              </w:rPr>
              <w:t>（另一面）</w:t>
            </w:r>
          </w:p>
        </w:tc>
      </w:tr>
    </w:tbl>
    <w:p w14:paraId="630FF9BB">
      <w:pPr>
        <w:tabs>
          <w:tab w:val="right" w:pos="8931"/>
        </w:tabs>
        <w:ind w:firstLine="440" w:firstLineChars="200"/>
        <w:rPr>
          <w:rFonts w:hint="eastAsia" w:ascii="宋体" w:hAnsi="宋体" w:eastAsia="宋体" w:cs="宋体"/>
          <w:color w:val="auto"/>
          <w:spacing w:val="-10"/>
          <w:szCs w:val="24"/>
          <w:u w:val="single"/>
        </w:rPr>
      </w:pPr>
    </w:p>
    <w:p w14:paraId="24BAB521">
      <w:pPr>
        <w:tabs>
          <w:tab w:val="right" w:pos="8931"/>
        </w:tabs>
        <w:ind w:firstLine="1320" w:firstLineChars="600"/>
        <w:rPr>
          <w:rFonts w:hint="eastAsia" w:ascii="宋体" w:hAnsi="宋体" w:eastAsia="宋体" w:cs="宋体"/>
          <w:color w:val="auto"/>
          <w:spacing w:val="-10"/>
          <w:szCs w:val="24"/>
          <w:u w:val="single"/>
        </w:rPr>
      </w:pPr>
    </w:p>
    <w:p w14:paraId="23333D76">
      <w:pPr>
        <w:tabs>
          <w:tab w:val="right" w:pos="8931"/>
        </w:tabs>
        <w:rPr>
          <w:rFonts w:hint="eastAsia" w:ascii="宋体" w:hAnsi="宋体" w:eastAsia="宋体" w:cs="宋体"/>
          <w:color w:val="auto"/>
          <w:szCs w:val="24"/>
        </w:rPr>
      </w:pPr>
      <w:r>
        <w:rPr>
          <w:rFonts w:hint="eastAsia" w:ascii="宋体" w:hAnsi="宋体" w:eastAsia="宋体" w:cs="宋体"/>
          <w:color w:val="auto"/>
          <w:spacing w:val="-10"/>
          <w:szCs w:val="24"/>
          <w:u w:val="none"/>
        </w:rPr>
        <w:t>投标人名称</w:t>
      </w:r>
      <w:r>
        <w:rPr>
          <w:rFonts w:hint="eastAsia" w:ascii="宋体" w:hAnsi="宋体" w:eastAsia="宋体" w:cs="宋体"/>
          <w:color w:val="auto"/>
          <w:spacing w:val="-10"/>
          <w:szCs w:val="24"/>
          <w:u w:val="single"/>
          <w:lang w:eastAsia="zh-CN"/>
        </w:rPr>
        <w:t>：</w:t>
      </w:r>
      <w:r>
        <w:rPr>
          <w:rFonts w:hint="eastAsia" w:ascii="宋体" w:hAnsi="宋体" w:eastAsia="宋体" w:cs="宋体"/>
          <w:color w:val="auto"/>
          <w:spacing w:val="-10"/>
          <w:szCs w:val="24"/>
          <w:u w:val="single"/>
          <w:lang w:val="en-US" w:eastAsia="zh-CN"/>
        </w:rPr>
        <w:t xml:space="preserve">                  </w:t>
      </w:r>
      <w:r>
        <w:rPr>
          <w:rFonts w:hint="eastAsia" w:ascii="宋体" w:hAnsi="宋体" w:eastAsia="宋体" w:cs="宋体"/>
          <w:color w:val="auto"/>
          <w:szCs w:val="24"/>
        </w:rPr>
        <w:t>（加盖公章）            法定代表人：（签章）</w:t>
      </w:r>
    </w:p>
    <w:p w14:paraId="05B0E728">
      <w:pPr>
        <w:spacing w:line="440" w:lineRule="exact"/>
        <w:ind w:firstLine="4910" w:firstLineChars="2046"/>
        <w:rPr>
          <w:rFonts w:hint="eastAsia" w:ascii="宋体" w:hAnsi="宋体" w:eastAsia="宋体" w:cs="宋体"/>
          <w:color w:val="auto"/>
          <w:szCs w:val="24"/>
        </w:rPr>
      </w:pPr>
    </w:p>
    <w:p w14:paraId="02A11E87">
      <w:pPr>
        <w:spacing w:line="440" w:lineRule="exact"/>
        <w:ind w:firstLine="6000" w:firstLineChars="2500"/>
        <w:rPr>
          <w:rFonts w:hint="eastAsia" w:ascii="宋体" w:hAnsi="宋体" w:eastAsia="宋体" w:cs="宋体"/>
          <w:color w:val="auto"/>
          <w:szCs w:val="24"/>
        </w:rPr>
      </w:pPr>
      <w:r>
        <w:rPr>
          <w:rFonts w:hint="eastAsia" w:ascii="宋体" w:hAnsi="宋体" w:eastAsia="宋体" w:cs="宋体"/>
          <w:color w:val="auto"/>
          <w:szCs w:val="24"/>
        </w:rPr>
        <w:t>授权代表人：（签字）</w:t>
      </w:r>
    </w:p>
    <w:p w14:paraId="49C0D73A">
      <w:pPr>
        <w:spacing w:line="440" w:lineRule="exact"/>
        <w:ind w:firstLine="6000" w:firstLineChars="2500"/>
        <w:rPr>
          <w:rFonts w:hint="eastAsia" w:ascii="宋体" w:hAnsi="宋体" w:eastAsia="宋体" w:cs="宋体"/>
          <w:color w:val="auto"/>
          <w:sz w:val="21"/>
          <w:szCs w:val="21"/>
        </w:rPr>
      </w:pPr>
      <w:r>
        <w:rPr>
          <w:rFonts w:hint="eastAsia" w:ascii="宋体" w:hAnsi="宋体" w:eastAsia="宋体" w:cs="宋体"/>
          <w:color w:val="auto"/>
          <w:szCs w:val="24"/>
        </w:rPr>
        <w:t>日期：　年　月　日</w:t>
      </w:r>
    </w:p>
    <w:p w14:paraId="049BCDEA">
      <w:pPr>
        <w:pStyle w:val="21"/>
        <w:ind w:firstLine="0" w:firstLineChars="0"/>
        <w:rPr>
          <w:rFonts w:hint="eastAsia" w:ascii="宋体" w:hAnsi="宋体" w:eastAsia="宋体" w:cs="宋体"/>
          <w:color w:val="auto"/>
          <w:sz w:val="21"/>
          <w:szCs w:val="21"/>
        </w:rPr>
      </w:pPr>
    </w:p>
    <w:p w14:paraId="0B4102D4">
      <w:pPr>
        <w:rPr>
          <w:rFonts w:hint="eastAsia" w:ascii="宋体" w:hAnsi="宋体" w:eastAsia="宋体" w:cs="宋体"/>
          <w:b/>
          <w:bCs/>
          <w:color w:val="auto"/>
          <w:sz w:val="21"/>
          <w:szCs w:val="16"/>
        </w:rPr>
      </w:pPr>
      <w:r>
        <w:rPr>
          <w:rFonts w:hint="eastAsia" w:ascii="宋体" w:hAnsi="宋体" w:eastAsia="宋体" w:cs="宋体"/>
          <w:b/>
          <w:bCs/>
          <w:color w:val="auto"/>
          <w:sz w:val="21"/>
          <w:szCs w:val="16"/>
        </w:rPr>
        <w:t>注：</w:t>
      </w:r>
      <w:r>
        <w:rPr>
          <w:rFonts w:hint="eastAsia" w:ascii="宋体" w:hAnsi="宋体" w:eastAsia="宋体" w:cs="宋体"/>
          <w:color w:val="auto"/>
          <w:sz w:val="21"/>
          <w:szCs w:val="16"/>
        </w:rPr>
        <w:t xml:space="preserve">法定代表人亲自参加投标的，无需提供该授权委托书，但须提供法定代表人证明书。此授权委托书有效期不少于90日历天，起始时间为提交投标文件截止之日。 </w:t>
      </w:r>
      <w:r>
        <w:rPr>
          <w:rFonts w:hint="eastAsia" w:ascii="宋体" w:hAnsi="宋体" w:eastAsia="宋体" w:cs="宋体"/>
          <w:b/>
          <w:color w:val="auto"/>
          <w:szCs w:val="24"/>
        </w:rPr>
        <w:br w:type="page"/>
      </w:r>
    </w:p>
    <w:p w14:paraId="3F5D75FF">
      <w:pPr>
        <w:jc w:val="center"/>
        <w:rPr>
          <w:rFonts w:hint="eastAsia" w:ascii="宋体" w:hAnsi="宋体" w:eastAsia="宋体" w:cs="宋体"/>
          <w:b/>
          <w:bCs/>
          <w:color w:val="auto"/>
          <w:sz w:val="21"/>
          <w:szCs w:val="16"/>
        </w:rPr>
      </w:pPr>
      <w:r>
        <w:rPr>
          <w:rFonts w:hint="eastAsia" w:ascii="宋体" w:hAnsi="宋体" w:eastAsia="宋体" w:cs="宋体"/>
          <w:b/>
          <w:bCs/>
          <w:color w:val="auto"/>
          <w:sz w:val="28"/>
          <w:szCs w:val="28"/>
        </w:rPr>
        <w:t>书面声明函</w:t>
      </w:r>
    </w:p>
    <w:p w14:paraId="7532AB4D">
      <w:pPr>
        <w:jc w:val="left"/>
        <w:rPr>
          <w:rFonts w:hint="eastAsia" w:ascii="宋体" w:hAnsi="宋体" w:eastAsia="宋体" w:cs="宋体"/>
          <w:color w:val="auto"/>
          <w:sz w:val="21"/>
          <w:szCs w:val="21"/>
        </w:rPr>
      </w:pPr>
    </w:p>
    <w:p w14:paraId="0E8DA13C">
      <w:pPr>
        <w:spacing w:line="360" w:lineRule="auto"/>
        <w:jc w:val="left"/>
        <w:rPr>
          <w:rFonts w:hint="eastAsia" w:ascii="宋体" w:hAnsi="宋体" w:eastAsia="宋体" w:cs="宋体"/>
          <w:color w:val="auto"/>
          <w:szCs w:val="24"/>
        </w:rPr>
      </w:pPr>
      <w:r>
        <w:rPr>
          <w:rFonts w:hint="eastAsia" w:hAnsi="宋体" w:cs="宋体"/>
          <w:color w:val="auto"/>
          <w:szCs w:val="24"/>
          <w:lang w:eastAsia="zh-CN"/>
        </w:rPr>
        <w:t>清涧县林业工作站</w:t>
      </w:r>
      <w:r>
        <w:rPr>
          <w:rFonts w:hint="eastAsia" w:ascii="宋体" w:hAnsi="宋体" w:eastAsia="宋体" w:cs="宋体"/>
          <w:color w:val="auto"/>
          <w:szCs w:val="24"/>
        </w:rPr>
        <w:t>：</w:t>
      </w:r>
    </w:p>
    <w:p w14:paraId="5E51FDF5">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我方作为项目名称：</w:t>
      </w:r>
      <w:r>
        <w:rPr>
          <w:rFonts w:hint="eastAsia" w:ascii="宋体" w:hAnsi="宋体" w:eastAsia="宋体" w:cs="宋体"/>
          <w:color w:val="auto"/>
          <w:szCs w:val="24"/>
          <w:u w:val="single"/>
        </w:rPr>
        <w:t xml:space="preserve">  </w:t>
      </w:r>
      <w:r>
        <w:rPr>
          <w:rFonts w:hint="eastAsia" w:ascii="宋体" w:hAnsi="宋体" w:eastAsia="宋体" w:cs="宋体"/>
          <w:color w:val="auto"/>
          <w:szCs w:val="24"/>
          <w:u w:val="single"/>
          <w:lang w:val="en-US" w:eastAsia="zh-CN"/>
        </w:rPr>
        <w:t xml:space="preserve">    </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（项目编号：</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）的投标人，在此郑重声明：</w:t>
      </w:r>
    </w:p>
    <w:p w14:paraId="4ECA3DCD">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1.在参加本次政府采购活动前3年内的经营活动中</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（填“没有”或“有”）重大违法记录。（投标人在参加政府采购活动前3年内因违法经营被禁止在一定期限内参加政府采购活动，期限届满的，可以参加政府采购活动，但应提供期限届满的证明材料</w:t>
      </w:r>
      <w:r>
        <w:rPr>
          <w:rFonts w:hint="eastAsia" w:ascii="宋体" w:hAnsi="宋体" w:eastAsia="宋体" w:cs="宋体"/>
          <w:color w:val="auto"/>
          <w:szCs w:val="24"/>
          <w:lang w:eastAsia="zh-CN"/>
        </w:rPr>
        <w:t>）</w:t>
      </w:r>
      <w:r>
        <w:rPr>
          <w:rFonts w:hint="eastAsia" w:ascii="宋体" w:hAnsi="宋体" w:eastAsia="宋体" w:cs="宋体"/>
          <w:color w:val="auto"/>
          <w:szCs w:val="24"/>
        </w:rPr>
        <w:t>。</w:t>
      </w:r>
    </w:p>
    <w:p w14:paraId="0FE04844">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2.我方</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（填“未被列入”或“被列入”）严重失信主体名单。</w:t>
      </w:r>
    </w:p>
    <w:p w14:paraId="23E83E41">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3.我方</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（填“未被列入”或“被列入”）重大税收违法失信主体名单。</w:t>
      </w:r>
    </w:p>
    <w:p w14:paraId="3830E7D6">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4.我方</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（填“未被列入”或“被列入”）政府采购严重违法失信行为记录名单。</w:t>
      </w:r>
    </w:p>
    <w:p w14:paraId="18E46962">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如有不实，我方将无条件地退出本项目的采购活动，并遵照《政府采购法》有关“提供虚假材料的规定”接受处罚。</w:t>
      </w:r>
    </w:p>
    <w:p w14:paraId="4994126B">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特此声明。</w:t>
      </w:r>
    </w:p>
    <w:p w14:paraId="7357B8D2">
      <w:pPr>
        <w:spacing w:line="288" w:lineRule="auto"/>
        <w:ind w:firstLine="480" w:firstLineChars="200"/>
        <w:jc w:val="left"/>
        <w:rPr>
          <w:rFonts w:hint="eastAsia" w:ascii="宋体" w:hAnsi="宋体" w:eastAsia="宋体" w:cs="宋体"/>
          <w:color w:val="auto"/>
          <w:szCs w:val="24"/>
        </w:rPr>
      </w:pPr>
    </w:p>
    <w:p w14:paraId="3C2CF818">
      <w:pPr>
        <w:spacing w:line="288" w:lineRule="auto"/>
        <w:ind w:firstLine="480" w:firstLineChars="200"/>
        <w:jc w:val="left"/>
        <w:rPr>
          <w:rFonts w:hint="eastAsia" w:ascii="宋体" w:hAnsi="宋体" w:eastAsia="宋体" w:cs="宋体"/>
          <w:color w:val="auto"/>
          <w:szCs w:val="24"/>
        </w:rPr>
      </w:pPr>
    </w:p>
    <w:p w14:paraId="22FA6C67">
      <w:pPr>
        <w:spacing w:line="288" w:lineRule="auto"/>
        <w:jc w:val="right"/>
        <w:rPr>
          <w:rFonts w:hint="eastAsia" w:ascii="宋体" w:hAnsi="宋体" w:eastAsia="宋体" w:cs="宋体"/>
          <w:color w:val="auto"/>
          <w:szCs w:val="24"/>
        </w:rPr>
      </w:pPr>
      <w:r>
        <w:rPr>
          <w:rFonts w:hint="eastAsia" w:ascii="宋体" w:hAnsi="宋体" w:eastAsia="宋体" w:cs="宋体"/>
          <w:color w:val="auto"/>
          <w:szCs w:val="24"/>
        </w:rPr>
        <w:t>投标人：</w:t>
      </w:r>
      <w:r>
        <w:rPr>
          <w:rFonts w:hint="eastAsia" w:ascii="宋体" w:hAnsi="宋体" w:eastAsia="宋体" w:cs="宋体"/>
          <w:color w:val="auto"/>
          <w:szCs w:val="24"/>
          <w:u w:val="single"/>
          <w:lang w:val="en-US" w:eastAsia="zh-CN"/>
        </w:rPr>
        <w:t xml:space="preserve">                 </w:t>
      </w:r>
      <w:r>
        <w:rPr>
          <w:rFonts w:hint="eastAsia" w:ascii="宋体" w:hAnsi="宋体" w:eastAsia="宋体" w:cs="宋体"/>
          <w:color w:val="auto"/>
          <w:szCs w:val="24"/>
        </w:rPr>
        <w:t>（盖章）</w:t>
      </w:r>
    </w:p>
    <w:p w14:paraId="31FA16C7">
      <w:pPr>
        <w:spacing w:line="288" w:lineRule="auto"/>
        <w:ind w:firstLine="4800" w:firstLineChars="2000"/>
        <w:jc w:val="left"/>
        <w:rPr>
          <w:rFonts w:hint="eastAsia" w:ascii="宋体" w:hAnsi="宋体" w:eastAsia="宋体" w:cs="宋体"/>
          <w:color w:val="auto"/>
          <w:szCs w:val="24"/>
        </w:rPr>
      </w:pPr>
      <w:r>
        <w:rPr>
          <w:rFonts w:hint="eastAsia" w:ascii="宋体" w:hAnsi="宋体" w:eastAsia="宋体" w:cs="宋体"/>
          <w:color w:val="auto"/>
          <w:szCs w:val="24"/>
        </w:rPr>
        <w:t>法定代表人：（签章）</w:t>
      </w:r>
    </w:p>
    <w:p w14:paraId="3887A2CC">
      <w:pPr>
        <w:spacing w:line="288" w:lineRule="auto"/>
        <w:ind w:firstLine="4800" w:firstLineChars="2000"/>
        <w:jc w:val="left"/>
        <w:rPr>
          <w:rFonts w:hint="eastAsia" w:ascii="宋体" w:hAnsi="宋体" w:eastAsia="宋体" w:cs="宋体"/>
          <w:color w:val="auto"/>
          <w:szCs w:val="24"/>
        </w:rPr>
      </w:pPr>
      <w:r>
        <w:rPr>
          <w:rFonts w:hint="eastAsia" w:ascii="宋体" w:hAnsi="宋体" w:eastAsia="宋体" w:cs="宋体"/>
          <w:color w:val="auto"/>
          <w:szCs w:val="24"/>
        </w:rPr>
        <w:t>日期：　　年　月　日</w:t>
      </w:r>
    </w:p>
    <w:p w14:paraId="354C6BCF">
      <w:pPr>
        <w:rPr>
          <w:rFonts w:hint="eastAsia" w:ascii="宋体" w:hAnsi="宋体" w:eastAsia="宋体" w:cs="宋体"/>
          <w:b/>
          <w:color w:val="auto"/>
          <w:sz w:val="21"/>
          <w:szCs w:val="21"/>
        </w:rPr>
      </w:pPr>
      <w:r>
        <w:rPr>
          <w:rFonts w:hint="eastAsia" w:ascii="宋体" w:hAnsi="宋体" w:eastAsia="宋体" w:cs="宋体"/>
          <w:b/>
          <w:color w:val="auto"/>
          <w:szCs w:val="24"/>
        </w:rPr>
        <w:br w:type="page"/>
      </w:r>
    </w:p>
    <w:p w14:paraId="6DB9230C">
      <w:pPr>
        <w:jc w:val="center"/>
        <w:rPr>
          <w:rFonts w:hint="eastAsia" w:ascii="宋体" w:hAnsi="宋体" w:eastAsia="宋体" w:cs="宋体"/>
          <w:color w:val="auto"/>
          <w:szCs w:val="24"/>
        </w:rPr>
      </w:pPr>
      <w:r>
        <w:rPr>
          <w:rFonts w:hint="eastAsia" w:ascii="宋体" w:hAnsi="宋体" w:eastAsia="宋体" w:cs="宋体"/>
          <w:b/>
          <w:color w:val="auto"/>
          <w:sz w:val="28"/>
          <w:szCs w:val="28"/>
        </w:rPr>
        <w:t>榆林市政府采购货物类项目供应商信用承诺书</w:t>
      </w:r>
    </w:p>
    <w:p w14:paraId="1C746DC2">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市场主体名称：</w:t>
      </w:r>
    </w:p>
    <w:p w14:paraId="4D46ABF7">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证件类型：统一社会信用代码</w:t>
      </w:r>
    </w:p>
    <w:p w14:paraId="05545D46">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证件号码：</w:t>
      </w:r>
    </w:p>
    <w:p w14:paraId="46952F7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法人代表：</w:t>
      </w:r>
    </w:p>
    <w:p w14:paraId="0FB7315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承诺有效期限：    年    月    日—    年    月    日</w:t>
      </w:r>
    </w:p>
    <w:p w14:paraId="6993CDFA">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承诺内容：</w:t>
      </w:r>
    </w:p>
    <w:p w14:paraId="0F6C8CBA">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为维护公开、公平、公正的政府采购市场秩序，树立诚实守信的政府采购供应商形象，本单位自愿做出以下承诺：</w:t>
      </w:r>
    </w:p>
    <w:p w14:paraId="0A35F6BF">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一、承诺本单位严格遵守国家法律、法规和规章，全面履行应尽的责任和义务，全面做到履约守信，具备《政府采购法》第二十二条第一款规定的条件;</w:t>
      </w:r>
    </w:p>
    <w:p w14:paraId="4D034937">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二、承诺本单位提供给注册登记部门、行业管理部门、司法部门、行业组织以及在政府采购活动中提交的所有资料均合法、真实、有效，无任何伪造、修改、虚假成份，并对所提供资料的真实性负责；</w:t>
      </w:r>
    </w:p>
    <w:p w14:paraId="3A5E62B5">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三、承诺本单位严格依法开展生产经营活动，主动接受行业监管，自愿接受依法开展的日常检查；违法失信经营后将自愿接受约束和惩戒，并依法承担相应责任；</w:t>
      </w:r>
    </w:p>
    <w:p w14:paraId="1EC9B148">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四、承诺本单位自觉接受行政管理部门、行业组织、社会公众、新闻舆论的监督；</w:t>
      </w:r>
    </w:p>
    <w:p w14:paraId="1CC1D747">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五、承诺本单位自我约束、自我管理，重合同、守信用，不制假售假、商标侵权、虚假宣传、违约毁约、恶意逃债、偷税漏税、价格欺诈、垄断和不正当竞争，维护经营者、消费者的合法权益；</w:t>
      </w:r>
    </w:p>
    <w:p w14:paraId="5E9BD10B">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六、承诺本单位提出政府采购质疑和投诉坚持依法依规、诚实信用原则，在全国范围12个月内没有三次以上查无实据的政府采购投诉；</w:t>
      </w:r>
    </w:p>
    <w:p w14:paraId="75AFB555">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七、根据政府采购相关法律法规的规定需要作出的其他诺：</w:t>
      </w:r>
      <w:r>
        <w:rPr>
          <w:rFonts w:hint="eastAsia" w:ascii="宋体" w:hAnsi="宋体" w:eastAsia="宋体" w:cs="宋体"/>
          <w:color w:val="auto"/>
          <w:szCs w:val="24"/>
          <w:u w:val="single"/>
        </w:rPr>
        <w:t>         </w:t>
      </w:r>
      <w:r>
        <w:rPr>
          <w:rFonts w:hint="eastAsia" w:ascii="宋体" w:hAnsi="宋体" w:eastAsia="宋体" w:cs="宋体"/>
          <w:color w:val="auto"/>
          <w:szCs w:val="24"/>
        </w:rPr>
        <w:t>。</w:t>
      </w:r>
    </w:p>
    <w:p w14:paraId="033528F5">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48421DDA">
      <w:pPr>
        <w:overflowPunct w:val="0"/>
        <w:topLinePunct/>
        <w:spacing w:line="288" w:lineRule="auto"/>
        <w:ind w:firstLine="480" w:firstLineChars="200"/>
        <w:jc w:val="left"/>
        <w:rPr>
          <w:rFonts w:hint="eastAsia" w:ascii="宋体" w:hAnsi="宋体" w:eastAsia="宋体" w:cs="宋体"/>
          <w:color w:val="auto"/>
          <w:szCs w:val="24"/>
        </w:rPr>
      </w:pPr>
    </w:p>
    <w:p w14:paraId="7292758A">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承诺单位（盖章）：</w:t>
      </w:r>
    </w:p>
    <w:p w14:paraId="7C01D765">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法定代表人（负责人）：</w:t>
      </w:r>
    </w:p>
    <w:p w14:paraId="7FC0D29F">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 xml:space="preserve">              法定代表人（负责人）身份证号：</w:t>
      </w:r>
    </w:p>
    <w:p w14:paraId="637AE40D">
      <w:pPr>
        <w:overflowPunct w:val="0"/>
        <w:topLinePunct/>
        <w:spacing w:line="288" w:lineRule="auto"/>
        <w:ind w:firstLine="480" w:firstLineChars="200"/>
        <w:jc w:val="left"/>
        <w:rPr>
          <w:rFonts w:hint="eastAsia" w:ascii="宋体" w:hAnsi="宋体" w:eastAsia="宋体" w:cs="宋体"/>
          <w:b/>
          <w:bCs/>
          <w:color w:val="auto"/>
          <w:sz w:val="21"/>
          <w:szCs w:val="21"/>
        </w:rPr>
      </w:pPr>
      <w:r>
        <w:rPr>
          <w:rFonts w:hint="eastAsia" w:ascii="宋体" w:hAnsi="宋体" w:eastAsia="宋体" w:cs="宋体"/>
          <w:color w:val="auto"/>
          <w:szCs w:val="24"/>
        </w:rPr>
        <w:t>       承诺日期：</w:t>
      </w:r>
    </w:p>
    <w:p w14:paraId="54D057E8">
      <w:pPr>
        <w:pStyle w:val="47"/>
        <w:ind w:firstLine="0" w:firstLineChars="0"/>
        <w:rPr>
          <w:rFonts w:hint="eastAsia" w:ascii="宋体" w:hAnsi="宋体" w:eastAsia="宋体" w:cs="宋体"/>
          <w:color w:val="auto"/>
          <w:sz w:val="21"/>
          <w:szCs w:val="21"/>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此承诺书除附在投标文件中外还须上传至“信用中国（陕西榆林）”网站投标人自主上报信用承诺书附件。（承诺有效期为1年，承诺起始时间为提交投标文件截止之日，须后附截图。）法定代表人或负责人、主体名称发生变更的应当重新做出承诺。</w:t>
      </w:r>
    </w:p>
    <w:p w14:paraId="12005086">
      <w:pPr>
        <w:spacing w:line="560" w:lineRule="exact"/>
        <w:ind w:right="-2"/>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textWrapping"/>
      </w:r>
    </w:p>
    <w:p w14:paraId="3FB24A27">
      <w:pPr>
        <w:spacing w:line="560" w:lineRule="exact"/>
        <w:ind w:right="-2"/>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p>
    <w:p w14:paraId="40BD24A6">
      <w:pPr>
        <w:spacing w:line="560" w:lineRule="exact"/>
        <w:ind w:right="-2"/>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p>
    <w:p w14:paraId="765C0F73">
      <w:pPr>
        <w:spacing w:line="560" w:lineRule="exact"/>
        <w:ind w:right="-2"/>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p>
    <w:p w14:paraId="231F1488">
      <w:pPr>
        <w:spacing w:line="560" w:lineRule="exact"/>
        <w:ind w:right="-2"/>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textWrapping"/>
      </w:r>
    </w:p>
    <w:p w14:paraId="6888C95A">
      <w:pPr>
        <w:spacing w:line="560" w:lineRule="exact"/>
        <w:ind w:right="-2"/>
        <w:jc w:val="center"/>
        <w:rPr>
          <w:rFonts w:hint="eastAsia" w:ascii="宋体" w:hAnsi="宋体" w:eastAsia="宋体" w:cs="宋体"/>
          <w:color w:val="auto"/>
          <w:sz w:val="21"/>
          <w:szCs w:val="21"/>
        </w:rPr>
      </w:pP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br w:type="textWrapping"/>
      </w:r>
      <w:r>
        <w:rPr>
          <w:rFonts w:hint="eastAsia" w:ascii="宋体" w:hAnsi="宋体" w:eastAsia="宋体" w:cs="宋体"/>
          <w:b/>
          <w:bCs/>
          <w:color w:val="auto"/>
          <w:sz w:val="28"/>
          <w:szCs w:val="28"/>
        </w:rPr>
        <w:t>投标信用承诺</w:t>
      </w:r>
    </w:p>
    <w:p w14:paraId="43C388C9">
      <w:pPr>
        <w:pStyle w:val="63"/>
        <w:tabs>
          <w:tab w:val="left" w:pos="5894"/>
          <w:tab w:val="left" w:pos="9158"/>
          <w:tab w:val="left" w:pos="9163"/>
        </w:tabs>
        <w:spacing w:line="360" w:lineRule="auto"/>
        <w:ind w:firstLine="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项目</w:t>
      </w:r>
      <w:r>
        <w:rPr>
          <w:rFonts w:hint="eastAsia" w:ascii="宋体" w:hAnsi="宋体" w:eastAsia="宋体" w:cs="宋体"/>
          <w:color w:val="auto"/>
          <w:sz w:val="24"/>
          <w:szCs w:val="24"/>
          <w:lang w:eastAsia="zh-CN"/>
        </w:rPr>
        <w:t>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6E3AAACD">
      <w:pPr>
        <w:pStyle w:val="63"/>
        <w:tabs>
          <w:tab w:val="left" w:pos="5894"/>
          <w:tab w:val="left" w:pos="9158"/>
          <w:tab w:val="left" w:pos="9163"/>
        </w:tabs>
        <w:spacing w:line="36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统</w:t>
      </w:r>
      <w:r>
        <w:rPr>
          <w:rFonts w:hint="eastAsia" w:ascii="宋体" w:hAnsi="宋体" w:eastAsia="宋体" w:cs="宋体"/>
          <w:color w:val="auto"/>
          <w:sz w:val="24"/>
          <w:szCs w:val="24"/>
          <w:lang w:eastAsia="zh-CN"/>
        </w:rPr>
        <w:t>一</w:t>
      </w:r>
      <w:r>
        <w:rPr>
          <w:rFonts w:hint="eastAsia" w:ascii="宋体" w:hAnsi="宋体" w:eastAsia="宋体" w:cs="宋体"/>
          <w:color w:val="auto"/>
          <w:sz w:val="24"/>
          <w:szCs w:val="24"/>
        </w:rPr>
        <w:t>社会信用代码：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法定代表人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 xml:space="preserve"> </w:t>
      </w:r>
    </w:p>
    <w:p w14:paraId="41AC99B2">
      <w:pPr>
        <w:pStyle w:val="63"/>
        <w:tabs>
          <w:tab w:val="left" w:pos="5894"/>
          <w:tab w:val="left" w:pos="9158"/>
          <w:tab w:val="left" w:pos="9163"/>
        </w:tabs>
        <w:spacing w:line="36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（项目名称及项目编号）</w:t>
      </w:r>
      <w:r>
        <w:rPr>
          <w:rFonts w:hint="eastAsia" w:ascii="宋体" w:hAnsi="宋体" w:eastAsia="宋体" w:cs="宋体"/>
          <w:color w:val="auto"/>
          <w:sz w:val="24"/>
          <w:szCs w:val="24"/>
        </w:rPr>
        <w:t>招投标活动中，我公司（单位）自愿作出以下投标信用承诺：</w:t>
      </w:r>
    </w:p>
    <w:p w14:paraId="1ED8AD58">
      <w:pPr>
        <w:pStyle w:val="63"/>
        <w:tabs>
          <w:tab w:val="left" w:pos="1238"/>
        </w:tabs>
        <w:spacing w:line="360" w:lineRule="auto"/>
        <w:rPr>
          <w:rFonts w:hint="eastAsia" w:ascii="宋体" w:hAnsi="宋体" w:eastAsia="宋体" w:cs="宋体"/>
          <w:color w:val="auto"/>
          <w:sz w:val="24"/>
          <w:szCs w:val="24"/>
        </w:rPr>
      </w:pPr>
      <w:bookmarkStart w:id="219" w:name="bookmark12"/>
      <w:r>
        <w:rPr>
          <w:rFonts w:hint="eastAsia" w:ascii="宋体" w:hAnsi="宋体" w:eastAsia="宋体" w:cs="宋体"/>
          <w:color w:val="auto"/>
          <w:sz w:val="24"/>
          <w:szCs w:val="24"/>
        </w:rPr>
        <w:t>（</w:t>
      </w:r>
      <w:bookmarkEnd w:id="219"/>
      <w:r>
        <w:rPr>
          <w:rFonts w:hint="eastAsia" w:ascii="宋体" w:hAnsi="宋体" w:eastAsia="宋体" w:cs="宋体"/>
          <w:color w:val="auto"/>
          <w:sz w:val="24"/>
          <w:szCs w:val="24"/>
        </w:rPr>
        <w:t>一）能严格遵守法律法规、职业道德和行业规范。</w:t>
      </w:r>
    </w:p>
    <w:p w14:paraId="01A8F70F">
      <w:pPr>
        <w:pStyle w:val="63"/>
        <w:tabs>
          <w:tab w:val="left" w:pos="1253"/>
        </w:tabs>
        <w:spacing w:line="360" w:lineRule="auto"/>
        <w:rPr>
          <w:rFonts w:hint="eastAsia" w:ascii="宋体" w:hAnsi="宋体" w:eastAsia="宋体" w:cs="宋体"/>
          <w:color w:val="auto"/>
          <w:sz w:val="24"/>
          <w:szCs w:val="24"/>
        </w:rPr>
      </w:pPr>
      <w:bookmarkStart w:id="220" w:name="bookmark13"/>
      <w:r>
        <w:rPr>
          <w:rFonts w:hint="eastAsia" w:ascii="宋体" w:hAnsi="宋体" w:eastAsia="宋体" w:cs="宋体"/>
          <w:color w:val="auto"/>
          <w:sz w:val="24"/>
          <w:szCs w:val="24"/>
        </w:rPr>
        <w:t>（</w:t>
      </w:r>
      <w:bookmarkEnd w:id="220"/>
      <w:r>
        <w:rPr>
          <w:rFonts w:hint="eastAsia" w:ascii="宋体" w:hAnsi="宋体" w:eastAsia="宋体" w:cs="宋体"/>
          <w:color w:val="auto"/>
          <w:sz w:val="24"/>
          <w:szCs w:val="24"/>
        </w:rPr>
        <w:t>二）不得有以下违法违规行为：1.围标串标；以他人名义或者其他方式弄虚作假投标；出让出租资格、资质证书供他人投标；恶意竞标、强揽工程；以暴力、威胁、利诱等 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w:t>
      </w:r>
      <w:r>
        <w:rPr>
          <w:rFonts w:hint="eastAsia" w:ascii="宋体" w:hAnsi="宋体" w:eastAsia="宋体" w:cs="宋体"/>
          <w:color w:val="auto"/>
          <w:sz w:val="24"/>
          <w:szCs w:val="24"/>
          <w:lang w:eastAsia="zh-CN"/>
        </w:rPr>
        <w:t>其他</w:t>
      </w:r>
      <w:r>
        <w:rPr>
          <w:rFonts w:hint="eastAsia" w:ascii="宋体" w:hAnsi="宋体" w:eastAsia="宋体" w:cs="宋体"/>
          <w:color w:val="auto"/>
          <w:sz w:val="24"/>
          <w:szCs w:val="24"/>
        </w:rPr>
        <w:t xml:space="preserve"> 违法违规行为。</w:t>
      </w:r>
    </w:p>
    <w:p w14:paraId="07030AE9">
      <w:pPr>
        <w:pStyle w:val="63"/>
        <w:tabs>
          <w:tab w:val="left" w:pos="1248"/>
        </w:tabs>
        <w:spacing w:after="480" w:line="360" w:lineRule="auto"/>
        <w:rPr>
          <w:rFonts w:hint="eastAsia" w:ascii="宋体" w:hAnsi="宋体" w:eastAsia="宋体" w:cs="宋体"/>
          <w:color w:val="auto"/>
          <w:sz w:val="24"/>
          <w:szCs w:val="24"/>
        </w:rPr>
      </w:pPr>
      <w:bookmarkStart w:id="221" w:name="bookmark14"/>
      <w:r>
        <w:rPr>
          <w:rFonts w:hint="eastAsia" w:ascii="宋体" w:hAnsi="宋体" w:eastAsia="宋体" w:cs="宋体"/>
          <w:color w:val="auto"/>
          <w:sz w:val="24"/>
          <w:szCs w:val="24"/>
        </w:rPr>
        <w:t>（</w:t>
      </w:r>
      <w:bookmarkEnd w:id="221"/>
      <w:r>
        <w:rPr>
          <w:rFonts w:hint="eastAsia" w:ascii="宋体" w:hAnsi="宋体" w:eastAsia="宋体" w:cs="宋体"/>
          <w:color w:val="auto"/>
          <w:sz w:val="24"/>
          <w:szCs w:val="24"/>
        </w:rPr>
        <w:t xml:space="preserve">三）若我公司（单位）及相关参与人员违背以上承诺事项，即被视为失信企业（法 人），依据《关于对公共资源交易领域严重失信主体开展联合惩戒的备忘录》（发改法规 </w:t>
      </w:r>
      <w:r>
        <w:rPr>
          <w:rFonts w:hint="eastAsia" w:ascii="宋体" w:hAnsi="宋体" w:eastAsia="宋体" w:cs="宋体"/>
          <w:color w:val="auto"/>
          <w:sz w:val="24"/>
          <w:szCs w:val="24"/>
          <w:lang w:val="en-US" w:eastAsia="zh-CN" w:bidi="en-US"/>
        </w:rPr>
        <w:t>20181457</w:t>
      </w:r>
      <w:r>
        <w:rPr>
          <w:rFonts w:hint="eastAsia" w:ascii="宋体" w:hAnsi="宋体" w:eastAsia="宋体" w:cs="宋体"/>
          <w:color w:val="auto"/>
          <w:sz w:val="24"/>
          <w:szCs w:val="24"/>
        </w:rPr>
        <w:t>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自愿接受1至3年内限制参与公共资源交易活动。</w:t>
      </w:r>
    </w:p>
    <w:p w14:paraId="6097A72B">
      <w:pPr>
        <w:pStyle w:val="63"/>
        <w:tabs>
          <w:tab w:val="left" w:pos="4377"/>
        </w:tabs>
        <w:spacing w:after="480" w:line="360" w:lineRule="auto"/>
        <w:ind w:firstLine="460"/>
        <w:jc w:val="left"/>
        <w:rPr>
          <w:rFonts w:hint="eastAsia" w:ascii="宋体" w:hAnsi="宋体" w:eastAsia="宋体" w:cs="宋体"/>
          <w:color w:val="auto"/>
          <w:sz w:val="24"/>
          <w:szCs w:val="24"/>
        </w:rPr>
      </w:pPr>
      <w:r>
        <w:rPr>
          <w:rFonts w:hint="eastAsia" w:ascii="宋体" w:hAnsi="宋体" w:eastAsia="宋体" w:cs="宋体"/>
          <w:color w:val="auto"/>
          <w:sz w:val="24"/>
          <w:szCs w:val="24"/>
        </w:rPr>
        <w:t>法定代表人（签</w:t>
      </w:r>
      <w:r>
        <w:rPr>
          <w:rFonts w:hint="eastAsia" w:ascii="宋体" w:hAnsi="宋体" w:eastAsia="宋体" w:cs="宋体"/>
          <w:color w:val="auto"/>
          <w:sz w:val="24"/>
          <w:szCs w:val="24"/>
          <w:lang w:eastAsia="zh-CN"/>
        </w:rPr>
        <w:t>字</w:t>
      </w:r>
      <w:r>
        <w:rPr>
          <w:rFonts w:hint="eastAsia" w:ascii="宋体" w:hAnsi="宋体" w:eastAsia="宋体" w:cs="宋体"/>
          <w:color w:val="auto"/>
          <w:sz w:val="24"/>
          <w:szCs w:val="24"/>
        </w:rPr>
        <w:t>）：</w:t>
      </w:r>
      <w:r>
        <w:rPr>
          <w:rFonts w:hint="eastAsia" w:ascii="宋体" w:hAnsi="宋体" w:eastAsia="宋体" w:cs="宋体"/>
          <w:color w:val="auto"/>
          <w:sz w:val="24"/>
          <w:szCs w:val="24"/>
        </w:rPr>
        <w:tab/>
      </w:r>
      <w:r>
        <w:rPr>
          <w:rFonts w:hint="eastAsia" w:ascii="宋体" w:hAnsi="宋体" w:eastAsia="宋体" w:cs="宋体"/>
          <w:color w:val="auto"/>
          <w:sz w:val="24"/>
          <w:szCs w:val="24"/>
        </w:rPr>
        <w:t>投标人（盖章）：</w:t>
      </w:r>
    </w:p>
    <w:p w14:paraId="0E60868B">
      <w:pPr>
        <w:pStyle w:val="63"/>
        <w:tabs>
          <w:tab w:val="left" w:pos="4377"/>
        </w:tabs>
        <w:spacing w:after="480" w:line="360" w:lineRule="auto"/>
        <w:ind w:firstLine="4288" w:firstLineChars="1787"/>
        <w:jc w:val="left"/>
        <w:rPr>
          <w:rFonts w:hint="eastAsia" w:ascii="宋体" w:hAnsi="宋体" w:eastAsia="宋体" w:cs="宋体"/>
          <w:color w:val="auto"/>
          <w:sz w:val="24"/>
          <w:szCs w:val="24"/>
        </w:rPr>
      </w:pPr>
      <w:r>
        <w:rPr>
          <w:rFonts w:hint="eastAsia" w:ascii="宋体" w:hAnsi="宋体" w:eastAsia="宋体" w:cs="宋体"/>
          <w:color w:val="auto"/>
          <w:sz w:val="24"/>
          <w:szCs w:val="24"/>
        </w:rPr>
        <w:t>承诺时间：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p w14:paraId="1A5E15E5">
      <w:pPr>
        <w:pStyle w:val="47"/>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注：1.本承诺书效力和作用等同投标保证金，其有效期与投标有效期一致。</w:t>
      </w:r>
    </w:p>
    <w:p w14:paraId="409A4E41">
      <w:pPr>
        <w:pStyle w:val="47"/>
        <w:ind w:firstLine="420"/>
        <w:rPr>
          <w:rFonts w:hint="eastAsia" w:ascii="宋体" w:hAnsi="宋体" w:eastAsia="宋体" w:cs="宋体"/>
          <w:color w:val="auto"/>
          <w:sz w:val="21"/>
          <w:szCs w:val="21"/>
        </w:rPr>
      </w:pPr>
      <w:r>
        <w:rPr>
          <w:rFonts w:hint="eastAsia" w:ascii="宋体" w:hAnsi="宋体" w:eastAsia="宋体" w:cs="宋体"/>
          <w:color w:val="auto"/>
          <w:sz w:val="21"/>
          <w:szCs w:val="21"/>
        </w:rPr>
        <w:t>2.此承诺书除附在投标文件中外还须上传至“信用中国（陕西榆林）”网站投标人自主上报信用承诺书附件。（承诺有效期同投标有效期，承诺起始时间为提交投标文件截止之日，须后附截图。）</w:t>
      </w:r>
      <w:r>
        <w:rPr>
          <w:rFonts w:hint="eastAsia" w:ascii="宋体" w:hAnsi="宋体" w:eastAsia="宋体" w:cs="宋体"/>
          <w:color w:val="auto"/>
          <w:szCs w:val="24"/>
        </w:rPr>
        <w:br w:type="page"/>
      </w:r>
    </w:p>
    <w:p w14:paraId="547CB8F5">
      <w:pPr>
        <w:spacing w:line="560" w:lineRule="exact"/>
        <w:ind w:right="-2"/>
        <w:jc w:val="center"/>
        <w:rPr>
          <w:rFonts w:hint="eastAsia" w:ascii="宋体" w:hAnsi="宋体" w:eastAsia="宋体" w:cs="宋体"/>
          <w:color w:val="auto"/>
          <w:sz w:val="21"/>
          <w:szCs w:val="21"/>
        </w:rPr>
      </w:pPr>
      <w:r>
        <w:rPr>
          <w:rFonts w:hint="eastAsia" w:ascii="宋体" w:hAnsi="宋体" w:eastAsia="宋体" w:cs="宋体"/>
          <w:b/>
          <w:bCs/>
          <w:color w:val="auto"/>
          <w:sz w:val="28"/>
          <w:szCs w:val="28"/>
        </w:rPr>
        <w:t>投标人信用承诺</w:t>
      </w:r>
    </w:p>
    <w:p w14:paraId="676CB4F4">
      <w:pPr>
        <w:widowControl/>
        <w:spacing w:line="360" w:lineRule="auto"/>
        <w:jc w:val="left"/>
        <w:rPr>
          <w:rFonts w:hint="eastAsia" w:ascii="宋体" w:hAnsi="宋体" w:eastAsia="宋体" w:cs="宋体"/>
          <w:color w:val="auto"/>
          <w:szCs w:val="24"/>
          <w:u w:val="single"/>
        </w:rPr>
      </w:pPr>
      <w:r>
        <w:rPr>
          <w:rFonts w:hint="eastAsia" w:ascii="宋体" w:hAnsi="宋体" w:eastAsia="宋体" w:cs="宋体"/>
          <w:color w:val="auto"/>
          <w:szCs w:val="24"/>
        </w:rPr>
        <w:t>投标人：</w:t>
      </w:r>
      <w:r>
        <w:rPr>
          <w:rFonts w:hint="eastAsia" w:ascii="宋体" w:hAnsi="宋体" w:eastAsia="宋体" w:cs="宋体"/>
          <w:color w:val="auto"/>
          <w:szCs w:val="24"/>
          <w:u w:val="single"/>
        </w:rPr>
        <w:t xml:space="preserve">                       </w:t>
      </w:r>
    </w:p>
    <w:p w14:paraId="2FD4A438">
      <w:pPr>
        <w:widowControl/>
        <w:spacing w:line="360" w:lineRule="auto"/>
        <w:jc w:val="left"/>
        <w:rPr>
          <w:rFonts w:hint="eastAsia" w:ascii="宋体" w:hAnsi="宋体" w:eastAsia="宋体" w:cs="宋体"/>
          <w:color w:val="auto"/>
          <w:szCs w:val="24"/>
          <w:u w:val="single"/>
        </w:rPr>
      </w:pPr>
      <w:r>
        <w:rPr>
          <w:rFonts w:hint="eastAsia" w:ascii="宋体" w:hAnsi="宋体" w:eastAsia="宋体" w:cs="宋体"/>
          <w:color w:val="auto"/>
          <w:szCs w:val="24"/>
        </w:rPr>
        <w:t>统一社会信用代码：</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法人代表：</w:t>
      </w:r>
      <w:r>
        <w:rPr>
          <w:rFonts w:hint="eastAsia" w:ascii="宋体" w:hAnsi="宋体" w:eastAsia="宋体" w:cs="宋体"/>
          <w:color w:val="auto"/>
          <w:szCs w:val="24"/>
          <w:u w:val="single"/>
        </w:rPr>
        <w:t xml:space="preserve">                  </w:t>
      </w:r>
    </w:p>
    <w:p w14:paraId="5219797C">
      <w:pPr>
        <w:widowControl/>
        <w:spacing w:line="360" w:lineRule="auto"/>
        <w:jc w:val="left"/>
        <w:rPr>
          <w:rFonts w:hint="eastAsia" w:ascii="宋体" w:hAnsi="宋体" w:eastAsia="宋体" w:cs="宋体"/>
          <w:color w:val="auto"/>
          <w:szCs w:val="24"/>
          <w:u w:val="single"/>
        </w:rPr>
      </w:pPr>
      <w:r>
        <w:rPr>
          <w:rFonts w:hint="eastAsia" w:ascii="宋体" w:hAnsi="宋体" w:eastAsia="宋体" w:cs="宋体"/>
          <w:color w:val="auto"/>
          <w:szCs w:val="24"/>
        </w:rPr>
        <w:t>承诺有效期限：</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日</w:t>
      </w:r>
    </w:p>
    <w:p w14:paraId="42E5042D">
      <w:pPr>
        <w:widowControl/>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在</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项目招投标活动中，我公司（单位）郑重作出以下信用承诺：</w:t>
      </w:r>
    </w:p>
    <w:p w14:paraId="6184DEDC">
      <w:pPr>
        <w:widowControl/>
        <w:spacing w:line="360" w:lineRule="auto"/>
        <w:ind w:firstLine="480"/>
        <w:jc w:val="left"/>
        <w:rPr>
          <w:rFonts w:hint="eastAsia" w:ascii="宋体" w:hAnsi="宋体" w:eastAsia="宋体" w:cs="宋体"/>
          <w:color w:val="auto"/>
          <w:szCs w:val="24"/>
        </w:rPr>
      </w:pPr>
      <w:r>
        <w:rPr>
          <w:rFonts w:hint="eastAsia" w:ascii="宋体" w:hAnsi="宋体" w:eastAsia="宋体" w:cs="宋体"/>
          <w:color w:val="auto"/>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C9B09EB">
      <w:pPr>
        <w:widowControl/>
        <w:spacing w:line="360" w:lineRule="auto"/>
        <w:ind w:firstLine="480"/>
        <w:jc w:val="left"/>
        <w:rPr>
          <w:rFonts w:hint="eastAsia" w:ascii="宋体" w:hAnsi="宋体" w:eastAsia="宋体" w:cs="宋体"/>
          <w:color w:val="auto"/>
          <w:szCs w:val="24"/>
        </w:rPr>
      </w:pPr>
      <w:r>
        <w:rPr>
          <w:rFonts w:hint="eastAsia" w:ascii="宋体" w:hAnsi="宋体" w:eastAsia="宋体" w:cs="宋体"/>
          <w:color w:val="auto"/>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D46C00B">
      <w:pPr>
        <w:spacing w:line="360" w:lineRule="auto"/>
        <w:ind w:firstLine="480" w:firstLineChars="200"/>
        <w:rPr>
          <w:rFonts w:hint="eastAsia" w:ascii="宋体" w:hAnsi="宋体" w:eastAsia="宋体" w:cs="宋体"/>
          <w:color w:val="auto"/>
          <w:szCs w:val="24"/>
        </w:rPr>
      </w:pPr>
      <w:bookmarkStart w:id="222" w:name="_Toc14973"/>
      <w:r>
        <w:rPr>
          <w:rFonts w:hint="eastAsia" w:ascii="宋体" w:hAnsi="宋体" w:eastAsia="宋体" w:cs="宋体"/>
          <w:color w:val="auto"/>
          <w:szCs w:val="24"/>
        </w:rPr>
        <w:t>（三）自愿接受招投标监督部门和有关行政监督部门的依法检查。</w:t>
      </w:r>
      <w:bookmarkEnd w:id="222"/>
    </w:p>
    <w:p w14:paraId="21DFC148">
      <w:pPr>
        <w:widowControl/>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（四）同意将此信用承诺纳入陕西省公共信用信息平台和榆林市公共信用信息共享平台，并上网公示，接受社会监督。</w:t>
      </w:r>
    </w:p>
    <w:p w14:paraId="1E41206E">
      <w:pPr>
        <w:widowControl/>
        <w:spacing w:line="360" w:lineRule="auto"/>
        <w:ind w:firstLine="480"/>
        <w:jc w:val="left"/>
        <w:rPr>
          <w:rFonts w:hint="eastAsia" w:ascii="宋体" w:hAnsi="宋体" w:eastAsia="宋体" w:cs="宋体"/>
          <w:color w:val="auto"/>
          <w:szCs w:val="24"/>
        </w:rPr>
      </w:pPr>
      <w:r>
        <w:rPr>
          <w:rFonts w:hint="eastAsia" w:ascii="宋体" w:hAnsi="宋体" w:eastAsia="宋体" w:cs="宋体"/>
          <w:color w:val="auto"/>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53A8F6A6">
      <w:pPr>
        <w:widowControl/>
        <w:tabs>
          <w:tab w:val="left" w:pos="4395"/>
        </w:tabs>
        <w:adjustRightInd w:val="0"/>
        <w:snapToGrid w:val="0"/>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法定代表人（签章）：                    投标人（盖章）：</w:t>
      </w:r>
    </w:p>
    <w:p w14:paraId="53288496">
      <w:pPr>
        <w:adjustRightInd w:val="0"/>
        <w:snapToGrid w:val="0"/>
        <w:spacing w:line="360" w:lineRule="auto"/>
        <w:jc w:val="center"/>
        <w:rPr>
          <w:rFonts w:hint="eastAsia" w:ascii="宋体" w:hAnsi="宋体" w:eastAsia="宋体" w:cs="宋体"/>
          <w:b/>
          <w:bCs/>
          <w:color w:val="auto"/>
          <w:sz w:val="21"/>
          <w:szCs w:val="21"/>
        </w:rPr>
      </w:pPr>
      <w:r>
        <w:rPr>
          <w:rFonts w:hint="eastAsia" w:ascii="宋体" w:hAnsi="宋体" w:eastAsia="宋体" w:cs="宋体"/>
          <w:color w:val="auto"/>
          <w:szCs w:val="24"/>
        </w:rPr>
        <w:t xml:space="preserve">                             承诺时间：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日</w:t>
      </w:r>
    </w:p>
    <w:p w14:paraId="4F35EA6F">
      <w:pPr>
        <w:rPr>
          <w:rFonts w:hint="eastAsia" w:ascii="宋体" w:hAnsi="宋体" w:eastAsia="宋体" w:cs="宋体"/>
          <w:color w:val="auto"/>
          <w:sz w:val="40"/>
          <w:szCs w:val="40"/>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此承诺书除附在投标文件中外还须上传至“信用中国（陕西榆林）”网站投标人自主上报信用承诺书附件。（承诺有效期同投标有效期，承诺起始时间为提交投标文件截止之日，须后附截图。）</w:t>
      </w:r>
      <w:r>
        <w:rPr>
          <w:rFonts w:hint="eastAsia" w:ascii="宋体" w:hAnsi="宋体" w:eastAsia="宋体" w:cs="宋体"/>
          <w:color w:val="auto"/>
          <w:sz w:val="40"/>
          <w:szCs w:val="40"/>
        </w:rPr>
        <w:br w:type="page"/>
      </w:r>
    </w:p>
    <w:p w14:paraId="51809DDA">
      <w:pPr>
        <w:spacing w:line="560" w:lineRule="exact"/>
        <w:ind w:right="-2"/>
        <w:jc w:val="center"/>
        <w:rPr>
          <w:rFonts w:hint="eastAsia" w:ascii="宋体" w:hAnsi="宋体" w:eastAsia="宋体" w:cs="宋体"/>
          <w:b/>
          <w:bCs/>
          <w:color w:val="auto"/>
          <w:sz w:val="21"/>
          <w:szCs w:val="21"/>
        </w:rPr>
      </w:pPr>
      <w:r>
        <w:rPr>
          <w:rFonts w:hint="eastAsia" w:ascii="宋体" w:hAnsi="宋体" w:eastAsia="宋体" w:cs="宋体"/>
          <w:b/>
          <w:bCs/>
          <w:color w:val="auto"/>
          <w:sz w:val="28"/>
          <w:szCs w:val="28"/>
        </w:rPr>
        <w:t>投标人委托代理人员信用承诺书</w:t>
      </w:r>
    </w:p>
    <w:p w14:paraId="1C9A0555">
      <w:pPr>
        <w:widowControl/>
        <w:spacing w:line="540" w:lineRule="exact"/>
        <w:ind w:firstLine="420" w:firstLineChars="200"/>
        <w:jc w:val="left"/>
        <w:rPr>
          <w:rFonts w:hint="eastAsia" w:ascii="宋体" w:hAnsi="宋体" w:eastAsia="宋体" w:cs="宋体"/>
          <w:color w:val="auto"/>
          <w:sz w:val="21"/>
          <w:szCs w:val="21"/>
        </w:rPr>
      </w:pPr>
    </w:p>
    <w:p w14:paraId="361D617C">
      <w:pPr>
        <w:widowControl/>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在</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项目招投标活动中，我个人郑重作出以下信用承诺：</w:t>
      </w:r>
    </w:p>
    <w:p w14:paraId="595BC519">
      <w:pPr>
        <w:widowControl/>
        <w:spacing w:line="360" w:lineRule="auto"/>
        <w:ind w:firstLine="480"/>
        <w:jc w:val="left"/>
        <w:rPr>
          <w:rFonts w:hint="eastAsia" w:ascii="宋体" w:hAnsi="宋体" w:eastAsia="宋体" w:cs="宋体"/>
          <w:color w:val="auto"/>
          <w:szCs w:val="24"/>
        </w:rPr>
      </w:pPr>
      <w:r>
        <w:rPr>
          <w:rFonts w:hint="eastAsia" w:ascii="宋体" w:hAnsi="宋体" w:eastAsia="宋体" w:cs="宋体"/>
          <w:color w:val="auto"/>
          <w:szCs w:val="24"/>
        </w:rPr>
        <w:t>（一）能严格遵守法律法规、职业道德和行业规范，具有独立承担民事责任的能力；无法律法规规定禁止开展从业活动情形。我所递交的文件资料合法、真实、准确、完整、有效，无弄虚作假等情形。</w:t>
      </w:r>
    </w:p>
    <w:p w14:paraId="159A7667">
      <w:pPr>
        <w:widowControl/>
        <w:spacing w:line="360" w:lineRule="auto"/>
        <w:ind w:firstLine="480"/>
        <w:jc w:val="left"/>
        <w:rPr>
          <w:rFonts w:hint="eastAsia" w:ascii="宋体" w:hAnsi="宋体" w:eastAsia="宋体" w:cs="宋体"/>
          <w:color w:val="auto"/>
          <w:szCs w:val="24"/>
        </w:rPr>
      </w:pPr>
      <w:r>
        <w:rPr>
          <w:rFonts w:hint="eastAsia" w:ascii="宋体" w:hAnsi="宋体" w:eastAsia="宋体" w:cs="宋体"/>
          <w:color w:val="auto"/>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036D8696">
      <w:pPr>
        <w:spacing w:line="360" w:lineRule="auto"/>
        <w:ind w:firstLine="480" w:firstLineChars="200"/>
        <w:rPr>
          <w:rFonts w:hint="eastAsia" w:ascii="宋体" w:hAnsi="宋体" w:eastAsia="宋体" w:cs="宋体"/>
          <w:color w:val="auto"/>
          <w:szCs w:val="24"/>
        </w:rPr>
      </w:pPr>
      <w:bookmarkStart w:id="223" w:name="_Toc14892"/>
      <w:r>
        <w:rPr>
          <w:rFonts w:hint="eastAsia" w:ascii="宋体" w:hAnsi="宋体" w:eastAsia="宋体" w:cs="宋体"/>
          <w:color w:val="auto"/>
          <w:szCs w:val="24"/>
        </w:rPr>
        <w:t>（三）自愿接受招投标监督部门和有关行政监督部门的依法检查。</w:t>
      </w:r>
      <w:bookmarkEnd w:id="223"/>
    </w:p>
    <w:p w14:paraId="6DB3263D">
      <w:pPr>
        <w:widowControl/>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（四）同意将此信用承诺纳入陕西省公共信用信息平台和榆林市公共信用信息共享平台，并接受社会监督。</w:t>
      </w:r>
    </w:p>
    <w:p w14:paraId="1FCCE6EA">
      <w:pPr>
        <w:widowControl/>
        <w:spacing w:line="360" w:lineRule="auto"/>
        <w:ind w:firstLine="480"/>
        <w:jc w:val="left"/>
        <w:rPr>
          <w:rFonts w:hint="eastAsia" w:ascii="宋体" w:hAnsi="宋体" w:eastAsia="宋体" w:cs="宋体"/>
          <w:color w:val="auto"/>
          <w:szCs w:val="24"/>
        </w:rPr>
      </w:pPr>
      <w:r>
        <w:rPr>
          <w:rFonts w:hint="eastAsia" w:ascii="宋体" w:hAnsi="宋体" w:eastAsia="宋体" w:cs="宋体"/>
          <w:color w:val="auto"/>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FCC21AB">
      <w:pPr>
        <w:widowControl/>
        <w:spacing w:line="320" w:lineRule="exact"/>
        <w:ind w:firstLine="482"/>
        <w:jc w:val="left"/>
        <w:rPr>
          <w:rFonts w:hint="eastAsia" w:ascii="宋体" w:hAnsi="宋体" w:eastAsia="宋体" w:cs="宋体"/>
          <w:color w:val="auto"/>
          <w:szCs w:val="24"/>
        </w:rPr>
      </w:pPr>
    </w:p>
    <w:p w14:paraId="36C95692">
      <w:pPr>
        <w:widowControl/>
        <w:spacing w:line="480" w:lineRule="auto"/>
        <w:ind w:firstLine="482"/>
        <w:jc w:val="left"/>
        <w:rPr>
          <w:rFonts w:hint="eastAsia" w:ascii="宋体" w:hAnsi="宋体" w:eastAsia="宋体" w:cs="宋体"/>
          <w:color w:val="auto"/>
          <w:szCs w:val="24"/>
          <w:u w:val="single"/>
        </w:rPr>
      </w:pPr>
      <w:r>
        <w:rPr>
          <w:rFonts w:hint="eastAsia" w:ascii="宋体" w:hAnsi="宋体" w:eastAsia="宋体" w:cs="宋体"/>
          <w:color w:val="auto"/>
          <w:szCs w:val="24"/>
        </w:rPr>
        <w:t>承诺有效期限：</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日</w:t>
      </w:r>
    </w:p>
    <w:p w14:paraId="7EC4B007">
      <w:pPr>
        <w:widowControl/>
        <w:spacing w:line="480" w:lineRule="auto"/>
        <w:ind w:firstLine="482"/>
        <w:jc w:val="left"/>
        <w:rPr>
          <w:rFonts w:hint="eastAsia" w:ascii="宋体" w:hAnsi="宋体" w:eastAsia="宋体" w:cs="宋体"/>
          <w:color w:val="auto"/>
          <w:szCs w:val="24"/>
        </w:rPr>
      </w:pPr>
      <w:r>
        <w:rPr>
          <w:rFonts w:hint="eastAsia" w:ascii="宋体" w:hAnsi="宋体" w:eastAsia="宋体" w:cs="宋体"/>
          <w:color w:val="auto"/>
          <w:szCs w:val="24"/>
        </w:rPr>
        <w:t>投标人：</w:t>
      </w:r>
      <w:r>
        <w:rPr>
          <w:rFonts w:hint="eastAsia" w:ascii="宋体" w:hAnsi="宋体" w:eastAsia="宋体" w:cs="宋体"/>
          <w:color w:val="auto"/>
          <w:szCs w:val="24"/>
          <w:u w:val="single"/>
        </w:rPr>
        <w:t xml:space="preserve">                        </w:t>
      </w:r>
    </w:p>
    <w:p w14:paraId="72084B08">
      <w:pPr>
        <w:widowControl/>
        <w:spacing w:line="480" w:lineRule="auto"/>
        <w:ind w:firstLine="482"/>
        <w:jc w:val="left"/>
        <w:rPr>
          <w:rFonts w:hint="eastAsia" w:ascii="宋体" w:hAnsi="宋体" w:eastAsia="宋体" w:cs="宋体"/>
          <w:color w:val="auto"/>
          <w:szCs w:val="24"/>
          <w:u w:val="single"/>
        </w:rPr>
      </w:pPr>
      <w:r>
        <w:rPr>
          <w:rFonts w:hint="eastAsia" w:ascii="宋体" w:hAnsi="宋体" w:eastAsia="宋体" w:cs="宋体"/>
          <w:color w:val="auto"/>
          <w:szCs w:val="24"/>
        </w:rPr>
        <w:t>承诺人（签字）：</w:t>
      </w:r>
      <w:r>
        <w:rPr>
          <w:rFonts w:hint="eastAsia" w:ascii="宋体" w:hAnsi="宋体" w:eastAsia="宋体" w:cs="宋体"/>
          <w:color w:val="auto"/>
          <w:szCs w:val="24"/>
          <w:u w:val="single"/>
        </w:rPr>
        <w:t xml:space="preserve">                 </w:t>
      </w:r>
    </w:p>
    <w:p w14:paraId="6B662FA9">
      <w:pPr>
        <w:widowControl/>
        <w:spacing w:line="480" w:lineRule="auto"/>
        <w:ind w:firstLine="482"/>
        <w:jc w:val="left"/>
        <w:rPr>
          <w:rFonts w:hint="eastAsia" w:ascii="宋体" w:hAnsi="宋体" w:eastAsia="宋体" w:cs="宋体"/>
          <w:b/>
          <w:bCs/>
          <w:color w:val="auto"/>
          <w:sz w:val="21"/>
          <w:szCs w:val="21"/>
        </w:rPr>
      </w:pPr>
      <w:r>
        <w:rPr>
          <w:rFonts w:hint="eastAsia" w:ascii="宋体" w:hAnsi="宋体" w:eastAsia="宋体" w:cs="宋体"/>
          <w:color w:val="auto"/>
          <w:szCs w:val="24"/>
        </w:rPr>
        <w:t>承诺时间：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日</w:t>
      </w:r>
    </w:p>
    <w:p w14:paraId="0C756B2B">
      <w:pPr>
        <w:rPr>
          <w:rFonts w:hint="eastAsia" w:ascii="宋体" w:hAnsi="宋体" w:eastAsia="宋体" w:cs="宋体"/>
          <w:b/>
          <w:bCs/>
          <w:color w:val="auto"/>
          <w:sz w:val="21"/>
          <w:szCs w:val="16"/>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此承诺书除附在投标文件中外还须上传至“信用中国（陕西榆林）”网站授权委托人自主上报信用承诺书附件。（承诺有效期同投标有效期，承诺起始时间为提交投标文件截止之日，须后附截图。）</w:t>
      </w:r>
      <w:r>
        <w:rPr>
          <w:rFonts w:hint="eastAsia" w:ascii="宋体" w:hAnsi="宋体" w:eastAsia="宋体" w:cs="宋体"/>
          <w:color w:val="auto"/>
          <w:sz w:val="21"/>
          <w:szCs w:val="21"/>
        </w:rPr>
        <w:br w:type="page"/>
      </w:r>
      <w:bookmarkStart w:id="224" w:name="_Toc26048"/>
      <w:bookmarkStart w:id="225" w:name="_Toc2419"/>
      <w:bookmarkStart w:id="226" w:name="_Toc15205"/>
      <w:bookmarkStart w:id="227" w:name="_Toc25357"/>
    </w:p>
    <w:p w14:paraId="0CE1C2C3">
      <w:pPr>
        <w:jc w:val="center"/>
        <w:rPr>
          <w:rFonts w:hint="eastAsia" w:ascii="宋体" w:hAnsi="宋体" w:eastAsia="宋体" w:cs="宋体"/>
          <w:b/>
          <w:bCs/>
          <w:color w:val="auto"/>
          <w:sz w:val="21"/>
          <w:szCs w:val="16"/>
        </w:rPr>
      </w:pPr>
      <w:r>
        <w:rPr>
          <w:rFonts w:hint="eastAsia" w:ascii="宋体" w:hAnsi="宋体" w:eastAsia="宋体" w:cs="宋体"/>
          <w:b/>
          <w:bCs/>
          <w:color w:val="auto"/>
          <w:sz w:val="32"/>
          <w:szCs w:val="32"/>
        </w:rPr>
        <w:t>第四部分  投标人基本信息及其概况</w:t>
      </w:r>
      <w:bookmarkEnd w:id="224"/>
      <w:bookmarkEnd w:id="225"/>
      <w:bookmarkEnd w:id="226"/>
      <w:bookmarkEnd w:id="227"/>
    </w:p>
    <w:p w14:paraId="55C70F20">
      <w:pPr>
        <w:spacing w:before="163" w:beforeLines="50" w:after="163" w:afterLines="50" w:line="500" w:lineRule="exact"/>
        <w:jc w:val="center"/>
        <w:rPr>
          <w:rFonts w:hint="eastAsia" w:ascii="宋体" w:hAnsi="宋体" w:eastAsia="宋体" w:cs="宋体"/>
          <w:b/>
          <w:color w:val="auto"/>
          <w:sz w:val="21"/>
          <w:szCs w:val="21"/>
        </w:rPr>
      </w:pPr>
      <w:r>
        <w:rPr>
          <w:rFonts w:hint="eastAsia" w:ascii="宋体" w:hAnsi="宋体" w:eastAsia="宋体" w:cs="宋体"/>
          <w:b/>
          <w:bCs/>
          <w:color w:val="auto"/>
          <w:sz w:val="28"/>
          <w:szCs w:val="28"/>
        </w:rPr>
        <w:t>一、</w:t>
      </w:r>
      <w:r>
        <w:rPr>
          <w:rFonts w:hint="eastAsia" w:ascii="宋体" w:hAnsi="宋体" w:eastAsia="宋体" w:cs="宋体"/>
          <w:b/>
          <w:color w:val="auto"/>
          <w:sz w:val="28"/>
          <w:szCs w:val="28"/>
        </w:rPr>
        <w:t>投标人基本信息</w:t>
      </w:r>
    </w:p>
    <w:tbl>
      <w:tblPr>
        <w:tblStyle w:val="23"/>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3A5E15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3476ED4F">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单位基本情况</w:t>
            </w:r>
          </w:p>
        </w:tc>
      </w:tr>
      <w:tr w14:paraId="1F2C26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4509B60A">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投标人全称</w:t>
            </w:r>
          </w:p>
        </w:tc>
        <w:tc>
          <w:tcPr>
            <w:tcW w:w="7494" w:type="dxa"/>
            <w:gridSpan w:val="5"/>
            <w:tcBorders>
              <w:top w:val="single" w:color="auto" w:sz="6" w:space="0"/>
              <w:bottom w:val="single" w:color="auto" w:sz="6" w:space="0"/>
              <w:right w:val="single" w:color="auto" w:sz="12" w:space="0"/>
            </w:tcBorders>
            <w:vAlign w:val="center"/>
          </w:tcPr>
          <w:p w14:paraId="4A073A10">
            <w:pPr>
              <w:autoSpaceDE w:val="0"/>
              <w:autoSpaceDN w:val="0"/>
              <w:adjustRightInd w:val="0"/>
              <w:spacing w:line="320" w:lineRule="exact"/>
              <w:rPr>
                <w:rFonts w:hint="eastAsia" w:ascii="宋体" w:hAnsi="宋体" w:eastAsia="宋体" w:cs="宋体"/>
                <w:color w:val="auto"/>
                <w:szCs w:val="24"/>
              </w:rPr>
            </w:pPr>
          </w:p>
        </w:tc>
      </w:tr>
      <w:tr w14:paraId="47E8F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12104227">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注册地址</w:t>
            </w:r>
          </w:p>
        </w:tc>
        <w:tc>
          <w:tcPr>
            <w:tcW w:w="3119" w:type="dxa"/>
            <w:gridSpan w:val="2"/>
            <w:tcBorders>
              <w:top w:val="single" w:color="auto" w:sz="6" w:space="0"/>
            </w:tcBorders>
            <w:vAlign w:val="center"/>
          </w:tcPr>
          <w:p w14:paraId="7E569F03">
            <w:pPr>
              <w:autoSpaceDE w:val="0"/>
              <w:autoSpaceDN w:val="0"/>
              <w:adjustRightInd w:val="0"/>
              <w:spacing w:line="320" w:lineRule="exact"/>
              <w:rPr>
                <w:rFonts w:hint="eastAsia" w:ascii="宋体" w:hAnsi="宋体" w:eastAsia="宋体" w:cs="宋体"/>
                <w:color w:val="auto"/>
                <w:szCs w:val="24"/>
              </w:rPr>
            </w:pPr>
          </w:p>
        </w:tc>
        <w:tc>
          <w:tcPr>
            <w:tcW w:w="1417" w:type="dxa"/>
            <w:tcBorders>
              <w:top w:val="single" w:color="auto" w:sz="6" w:space="0"/>
            </w:tcBorders>
            <w:vAlign w:val="center"/>
          </w:tcPr>
          <w:p w14:paraId="0EE0D1F4">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成立时间</w:t>
            </w:r>
          </w:p>
        </w:tc>
        <w:tc>
          <w:tcPr>
            <w:tcW w:w="2958" w:type="dxa"/>
            <w:gridSpan w:val="2"/>
            <w:tcBorders>
              <w:top w:val="single" w:color="auto" w:sz="6" w:space="0"/>
              <w:right w:val="single" w:color="auto" w:sz="12" w:space="0"/>
            </w:tcBorders>
            <w:vAlign w:val="center"/>
          </w:tcPr>
          <w:p w14:paraId="70BE18CC">
            <w:pPr>
              <w:autoSpaceDE w:val="0"/>
              <w:autoSpaceDN w:val="0"/>
              <w:adjustRightInd w:val="0"/>
              <w:spacing w:line="320" w:lineRule="exact"/>
              <w:rPr>
                <w:rFonts w:hint="eastAsia" w:ascii="宋体" w:hAnsi="宋体" w:eastAsia="宋体" w:cs="宋体"/>
                <w:color w:val="auto"/>
                <w:szCs w:val="24"/>
              </w:rPr>
            </w:pPr>
          </w:p>
        </w:tc>
      </w:tr>
      <w:tr w14:paraId="5A202B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4D48DD85">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登记证号</w:t>
            </w:r>
          </w:p>
        </w:tc>
        <w:tc>
          <w:tcPr>
            <w:tcW w:w="3119" w:type="dxa"/>
            <w:gridSpan w:val="2"/>
            <w:vAlign w:val="center"/>
          </w:tcPr>
          <w:p w14:paraId="78204C53">
            <w:pPr>
              <w:autoSpaceDE w:val="0"/>
              <w:autoSpaceDN w:val="0"/>
              <w:adjustRightInd w:val="0"/>
              <w:spacing w:line="320" w:lineRule="exact"/>
              <w:rPr>
                <w:rFonts w:hint="eastAsia" w:ascii="宋体" w:hAnsi="宋体" w:eastAsia="宋体" w:cs="宋体"/>
                <w:color w:val="auto"/>
                <w:szCs w:val="24"/>
              </w:rPr>
            </w:pPr>
          </w:p>
        </w:tc>
        <w:tc>
          <w:tcPr>
            <w:tcW w:w="1417" w:type="dxa"/>
            <w:vAlign w:val="center"/>
          </w:tcPr>
          <w:p w14:paraId="2D71C7C4">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单位性质</w:t>
            </w:r>
          </w:p>
        </w:tc>
        <w:tc>
          <w:tcPr>
            <w:tcW w:w="2958" w:type="dxa"/>
            <w:gridSpan w:val="2"/>
            <w:tcBorders>
              <w:right w:val="single" w:color="auto" w:sz="12" w:space="0"/>
            </w:tcBorders>
            <w:vAlign w:val="center"/>
          </w:tcPr>
          <w:p w14:paraId="75DC21CC">
            <w:pPr>
              <w:autoSpaceDE w:val="0"/>
              <w:autoSpaceDN w:val="0"/>
              <w:adjustRightInd w:val="0"/>
              <w:spacing w:line="320" w:lineRule="exact"/>
              <w:rPr>
                <w:rFonts w:hint="eastAsia" w:ascii="宋体" w:hAnsi="宋体" w:eastAsia="宋体" w:cs="宋体"/>
                <w:color w:val="auto"/>
                <w:szCs w:val="24"/>
              </w:rPr>
            </w:pPr>
          </w:p>
        </w:tc>
      </w:tr>
      <w:tr w14:paraId="424AA6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23D9FC3C">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法定代表人</w:t>
            </w:r>
          </w:p>
          <w:p w14:paraId="490A7DA4">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(主要负责人)</w:t>
            </w:r>
          </w:p>
        </w:tc>
        <w:tc>
          <w:tcPr>
            <w:tcW w:w="3119" w:type="dxa"/>
            <w:gridSpan w:val="2"/>
            <w:vAlign w:val="center"/>
          </w:tcPr>
          <w:p w14:paraId="2F68FC95">
            <w:pPr>
              <w:autoSpaceDE w:val="0"/>
              <w:autoSpaceDN w:val="0"/>
              <w:adjustRightInd w:val="0"/>
              <w:spacing w:line="320" w:lineRule="exact"/>
              <w:rPr>
                <w:rFonts w:hint="eastAsia" w:ascii="宋体" w:hAnsi="宋体" w:eastAsia="宋体" w:cs="宋体"/>
                <w:color w:val="auto"/>
                <w:szCs w:val="24"/>
              </w:rPr>
            </w:pPr>
          </w:p>
        </w:tc>
        <w:tc>
          <w:tcPr>
            <w:tcW w:w="1417" w:type="dxa"/>
            <w:vAlign w:val="center"/>
          </w:tcPr>
          <w:p w14:paraId="30182080">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所属行业</w:t>
            </w:r>
          </w:p>
        </w:tc>
        <w:tc>
          <w:tcPr>
            <w:tcW w:w="2958" w:type="dxa"/>
            <w:gridSpan w:val="2"/>
            <w:tcBorders>
              <w:right w:val="single" w:color="auto" w:sz="12" w:space="0"/>
            </w:tcBorders>
            <w:vAlign w:val="center"/>
          </w:tcPr>
          <w:p w14:paraId="5F79B0A0">
            <w:pPr>
              <w:autoSpaceDE w:val="0"/>
              <w:autoSpaceDN w:val="0"/>
              <w:adjustRightInd w:val="0"/>
              <w:spacing w:line="320" w:lineRule="exact"/>
              <w:rPr>
                <w:rFonts w:hint="eastAsia" w:ascii="宋体" w:hAnsi="宋体" w:eastAsia="宋体" w:cs="宋体"/>
                <w:color w:val="auto"/>
                <w:szCs w:val="24"/>
              </w:rPr>
            </w:pPr>
          </w:p>
        </w:tc>
      </w:tr>
      <w:tr w14:paraId="09EC6F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45BFE824">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上年度</w:t>
            </w:r>
          </w:p>
          <w:p w14:paraId="66A7CA7A">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营业收入</w:t>
            </w:r>
          </w:p>
        </w:tc>
        <w:tc>
          <w:tcPr>
            <w:tcW w:w="3119" w:type="dxa"/>
            <w:gridSpan w:val="2"/>
            <w:vAlign w:val="center"/>
          </w:tcPr>
          <w:p w14:paraId="2D2430D4">
            <w:pPr>
              <w:autoSpaceDE w:val="0"/>
              <w:autoSpaceDN w:val="0"/>
              <w:adjustRightInd w:val="0"/>
              <w:spacing w:line="320" w:lineRule="exact"/>
              <w:rPr>
                <w:rFonts w:hint="eastAsia" w:ascii="宋体" w:hAnsi="宋体" w:eastAsia="宋体" w:cs="宋体"/>
                <w:color w:val="auto"/>
                <w:szCs w:val="24"/>
              </w:rPr>
            </w:pPr>
          </w:p>
        </w:tc>
        <w:tc>
          <w:tcPr>
            <w:tcW w:w="1417" w:type="dxa"/>
            <w:vAlign w:val="center"/>
          </w:tcPr>
          <w:p w14:paraId="50E72FAE">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资产总额</w:t>
            </w:r>
          </w:p>
        </w:tc>
        <w:tc>
          <w:tcPr>
            <w:tcW w:w="2958" w:type="dxa"/>
            <w:gridSpan w:val="2"/>
            <w:tcBorders>
              <w:right w:val="single" w:color="auto" w:sz="12" w:space="0"/>
            </w:tcBorders>
            <w:vAlign w:val="center"/>
          </w:tcPr>
          <w:p w14:paraId="67048578">
            <w:pPr>
              <w:autoSpaceDE w:val="0"/>
              <w:autoSpaceDN w:val="0"/>
              <w:adjustRightInd w:val="0"/>
              <w:spacing w:line="320" w:lineRule="exact"/>
              <w:rPr>
                <w:rFonts w:hint="eastAsia" w:ascii="宋体" w:hAnsi="宋体" w:eastAsia="宋体" w:cs="宋体"/>
                <w:color w:val="auto"/>
                <w:szCs w:val="24"/>
              </w:rPr>
            </w:pPr>
          </w:p>
        </w:tc>
      </w:tr>
      <w:tr w14:paraId="2278CD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9" w:hRule="atLeast"/>
          <w:jc w:val="center"/>
        </w:trPr>
        <w:tc>
          <w:tcPr>
            <w:tcW w:w="1686" w:type="dxa"/>
            <w:tcBorders>
              <w:left w:val="single" w:color="auto" w:sz="12" w:space="0"/>
            </w:tcBorders>
            <w:vAlign w:val="center"/>
          </w:tcPr>
          <w:p w14:paraId="67E990F0">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所获得资质及等级(国家行政部门颁发)</w:t>
            </w:r>
          </w:p>
        </w:tc>
        <w:tc>
          <w:tcPr>
            <w:tcW w:w="7494" w:type="dxa"/>
            <w:gridSpan w:val="5"/>
            <w:tcBorders>
              <w:right w:val="single" w:color="auto" w:sz="12" w:space="0"/>
            </w:tcBorders>
            <w:vAlign w:val="center"/>
          </w:tcPr>
          <w:p w14:paraId="486129AA">
            <w:pPr>
              <w:autoSpaceDE w:val="0"/>
              <w:autoSpaceDN w:val="0"/>
              <w:adjustRightInd w:val="0"/>
              <w:spacing w:line="320" w:lineRule="exact"/>
              <w:rPr>
                <w:rFonts w:hint="eastAsia" w:ascii="宋体" w:hAnsi="宋体" w:eastAsia="宋体" w:cs="宋体"/>
                <w:color w:val="auto"/>
                <w:szCs w:val="24"/>
              </w:rPr>
            </w:pPr>
          </w:p>
          <w:p w14:paraId="30FB9F60">
            <w:pPr>
              <w:autoSpaceDE w:val="0"/>
              <w:autoSpaceDN w:val="0"/>
              <w:adjustRightInd w:val="0"/>
              <w:spacing w:line="320" w:lineRule="exact"/>
              <w:rPr>
                <w:rFonts w:hint="eastAsia" w:ascii="宋体" w:hAnsi="宋体" w:eastAsia="宋体" w:cs="宋体"/>
                <w:color w:val="auto"/>
                <w:szCs w:val="24"/>
              </w:rPr>
            </w:pPr>
          </w:p>
        </w:tc>
      </w:tr>
      <w:tr w14:paraId="35C18B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58" w:hRule="atLeast"/>
          <w:jc w:val="center"/>
        </w:trPr>
        <w:tc>
          <w:tcPr>
            <w:tcW w:w="1686" w:type="dxa"/>
            <w:tcBorders>
              <w:left w:val="single" w:color="auto" w:sz="12" w:space="0"/>
            </w:tcBorders>
            <w:vAlign w:val="center"/>
          </w:tcPr>
          <w:p w14:paraId="6709F8E8">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经营范围</w:t>
            </w:r>
          </w:p>
        </w:tc>
        <w:tc>
          <w:tcPr>
            <w:tcW w:w="7494" w:type="dxa"/>
            <w:gridSpan w:val="5"/>
            <w:tcBorders>
              <w:right w:val="single" w:color="auto" w:sz="12" w:space="0"/>
            </w:tcBorders>
            <w:vAlign w:val="center"/>
          </w:tcPr>
          <w:p w14:paraId="32EFD26A">
            <w:pPr>
              <w:autoSpaceDE w:val="0"/>
              <w:autoSpaceDN w:val="0"/>
              <w:adjustRightInd w:val="0"/>
              <w:spacing w:line="320" w:lineRule="exact"/>
              <w:rPr>
                <w:rFonts w:hint="eastAsia" w:ascii="宋体" w:hAnsi="宋体" w:eastAsia="宋体" w:cs="宋体"/>
                <w:color w:val="auto"/>
                <w:szCs w:val="24"/>
              </w:rPr>
            </w:pPr>
          </w:p>
        </w:tc>
      </w:tr>
      <w:tr w14:paraId="3A0F1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4A04380D">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人员情况</w:t>
            </w:r>
          </w:p>
        </w:tc>
      </w:tr>
      <w:tr w14:paraId="35F2E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061B8798">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从业人员总数</w:t>
            </w:r>
          </w:p>
        </w:tc>
        <w:tc>
          <w:tcPr>
            <w:tcW w:w="1586" w:type="dxa"/>
            <w:vMerge w:val="restart"/>
            <w:vAlign w:val="center"/>
          </w:tcPr>
          <w:p w14:paraId="60DFB560">
            <w:pPr>
              <w:autoSpaceDE w:val="0"/>
              <w:autoSpaceDN w:val="0"/>
              <w:adjustRightInd w:val="0"/>
              <w:spacing w:line="320" w:lineRule="exact"/>
              <w:rPr>
                <w:rFonts w:hint="eastAsia" w:ascii="宋体" w:hAnsi="宋体" w:eastAsia="宋体" w:cs="宋体"/>
                <w:color w:val="auto"/>
                <w:szCs w:val="24"/>
              </w:rPr>
            </w:pPr>
          </w:p>
        </w:tc>
        <w:tc>
          <w:tcPr>
            <w:tcW w:w="1533" w:type="dxa"/>
            <w:vAlign w:val="center"/>
          </w:tcPr>
          <w:p w14:paraId="6A03CA06">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管理人员</w:t>
            </w:r>
          </w:p>
          <w:p w14:paraId="09254901">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数量</w:t>
            </w:r>
          </w:p>
        </w:tc>
        <w:tc>
          <w:tcPr>
            <w:tcW w:w="1417" w:type="dxa"/>
            <w:vAlign w:val="center"/>
          </w:tcPr>
          <w:p w14:paraId="51FC2B3D">
            <w:pPr>
              <w:autoSpaceDE w:val="0"/>
              <w:autoSpaceDN w:val="0"/>
              <w:adjustRightInd w:val="0"/>
              <w:spacing w:line="320" w:lineRule="exact"/>
              <w:jc w:val="center"/>
              <w:rPr>
                <w:rFonts w:hint="eastAsia" w:ascii="宋体" w:hAnsi="宋体" w:eastAsia="宋体" w:cs="宋体"/>
                <w:color w:val="auto"/>
                <w:szCs w:val="24"/>
              </w:rPr>
            </w:pPr>
          </w:p>
        </w:tc>
        <w:tc>
          <w:tcPr>
            <w:tcW w:w="1560" w:type="dxa"/>
            <w:vAlign w:val="center"/>
          </w:tcPr>
          <w:p w14:paraId="33788ACA">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专业技术人员数量</w:t>
            </w:r>
          </w:p>
        </w:tc>
        <w:tc>
          <w:tcPr>
            <w:tcW w:w="1398" w:type="dxa"/>
            <w:tcBorders>
              <w:right w:val="single" w:color="auto" w:sz="12" w:space="0"/>
            </w:tcBorders>
            <w:vAlign w:val="center"/>
          </w:tcPr>
          <w:p w14:paraId="68BEB178">
            <w:pPr>
              <w:autoSpaceDE w:val="0"/>
              <w:autoSpaceDN w:val="0"/>
              <w:adjustRightInd w:val="0"/>
              <w:spacing w:line="320" w:lineRule="exact"/>
              <w:rPr>
                <w:rFonts w:hint="eastAsia" w:ascii="宋体" w:hAnsi="宋体" w:eastAsia="宋体" w:cs="宋体"/>
                <w:bCs/>
                <w:color w:val="auto"/>
                <w:szCs w:val="24"/>
              </w:rPr>
            </w:pPr>
          </w:p>
        </w:tc>
      </w:tr>
      <w:tr w14:paraId="467619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7CA59A59">
            <w:pPr>
              <w:autoSpaceDE w:val="0"/>
              <w:autoSpaceDN w:val="0"/>
              <w:adjustRightInd w:val="0"/>
              <w:spacing w:line="320" w:lineRule="exact"/>
              <w:rPr>
                <w:rFonts w:hint="eastAsia" w:ascii="宋体" w:hAnsi="宋体" w:eastAsia="宋体" w:cs="宋体"/>
                <w:color w:val="auto"/>
                <w:szCs w:val="24"/>
              </w:rPr>
            </w:pPr>
          </w:p>
        </w:tc>
        <w:tc>
          <w:tcPr>
            <w:tcW w:w="1586" w:type="dxa"/>
            <w:vMerge w:val="continue"/>
            <w:tcBorders>
              <w:bottom w:val="single" w:color="auto" w:sz="4" w:space="0"/>
            </w:tcBorders>
            <w:vAlign w:val="center"/>
          </w:tcPr>
          <w:p w14:paraId="18D7A562">
            <w:pPr>
              <w:autoSpaceDE w:val="0"/>
              <w:autoSpaceDN w:val="0"/>
              <w:adjustRightInd w:val="0"/>
              <w:spacing w:line="320" w:lineRule="exact"/>
              <w:rPr>
                <w:rFonts w:hint="eastAsia" w:ascii="宋体" w:hAnsi="宋体" w:eastAsia="宋体" w:cs="宋体"/>
                <w:color w:val="auto"/>
                <w:szCs w:val="24"/>
              </w:rPr>
            </w:pPr>
          </w:p>
        </w:tc>
        <w:tc>
          <w:tcPr>
            <w:tcW w:w="1533" w:type="dxa"/>
            <w:tcBorders>
              <w:bottom w:val="single" w:color="auto" w:sz="4" w:space="0"/>
            </w:tcBorders>
            <w:vAlign w:val="center"/>
          </w:tcPr>
          <w:p w14:paraId="64C39861">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残疾人人数</w:t>
            </w:r>
          </w:p>
        </w:tc>
        <w:tc>
          <w:tcPr>
            <w:tcW w:w="1417" w:type="dxa"/>
            <w:tcBorders>
              <w:bottom w:val="single" w:color="auto" w:sz="4" w:space="0"/>
            </w:tcBorders>
            <w:vAlign w:val="center"/>
          </w:tcPr>
          <w:p w14:paraId="3B326F28">
            <w:pPr>
              <w:autoSpaceDE w:val="0"/>
              <w:autoSpaceDN w:val="0"/>
              <w:adjustRightInd w:val="0"/>
              <w:spacing w:line="320" w:lineRule="exact"/>
              <w:jc w:val="center"/>
              <w:rPr>
                <w:rFonts w:hint="eastAsia" w:ascii="宋体" w:hAnsi="宋体" w:eastAsia="宋体" w:cs="宋体"/>
                <w:color w:val="auto"/>
                <w:szCs w:val="24"/>
              </w:rPr>
            </w:pPr>
          </w:p>
        </w:tc>
        <w:tc>
          <w:tcPr>
            <w:tcW w:w="1560" w:type="dxa"/>
            <w:tcBorders>
              <w:bottom w:val="single" w:color="auto" w:sz="4" w:space="0"/>
            </w:tcBorders>
            <w:vAlign w:val="center"/>
          </w:tcPr>
          <w:p w14:paraId="17A71D2F">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少数民族</w:t>
            </w:r>
          </w:p>
          <w:p w14:paraId="3A193A84">
            <w:pPr>
              <w:autoSpaceDE w:val="0"/>
              <w:autoSpaceDN w:val="0"/>
              <w:adjustRightInd w:val="0"/>
              <w:spacing w:line="320" w:lineRule="exact"/>
              <w:jc w:val="center"/>
              <w:rPr>
                <w:rFonts w:hint="eastAsia" w:ascii="宋体" w:hAnsi="宋体" w:eastAsia="宋体" w:cs="宋体"/>
                <w:color w:val="auto"/>
                <w:szCs w:val="24"/>
              </w:rPr>
            </w:pPr>
            <w:r>
              <w:rPr>
                <w:rFonts w:hint="eastAsia" w:ascii="宋体" w:hAnsi="宋体" w:eastAsia="宋体" w:cs="宋体"/>
                <w:color w:val="auto"/>
                <w:szCs w:val="24"/>
              </w:rPr>
              <w:t>人数</w:t>
            </w:r>
          </w:p>
        </w:tc>
        <w:tc>
          <w:tcPr>
            <w:tcW w:w="1398" w:type="dxa"/>
            <w:tcBorders>
              <w:bottom w:val="single" w:color="auto" w:sz="4" w:space="0"/>
              <w:right w:val="single" w:color="auto" w:sz="12" w:space="0"/>
            </w:tcBorders>
            <w:vAlign w:val="center"/>
          </w:tcPr>
          <w:p w14:paraId="1EC096A0">
            <w:pPr>
              <w:autoSpaceDE w:val="0"/>
              <w:autoSpaceDN w:val="0"/>
              <w:adjustRightInd w:val="0"/>
              <w:spacing w:line="320" w:lineRule="exact"/>
              <w:rPr>
                <w:rFonts w:hint="eastAsia" w:ascii="宋体" w:hAnsi="宋体" w:eastAsia="宋体" w:cs="宋体"/>
                <w:bCs/>
                <w:color w:val="auto"/>
                <w:szCs w:val="24"/>
              </w:rPr>
            </w:pPr>
          </w:p>
        </w:tc>
      </w:tr>
      <w:tr w14:paraId="5C4E4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51" w:hRule="atLeast"/>
          <w:jc w:val="center"/>
        </w:trPr>
        <w:tc>
          <w:tcPr>
            <w:tcW w:w="1686" w:type="dxa"/>
            <w:tcBorders>
              <w:left w:val="single" w:color="auto" w:sz="12" w:space="0"/>
              <w:bottom w:val="single" w:color="auto" w:sz="12" w:space="0"/>
            </w:tcBorders>
            <w:vAlign w:val="center"/>
          </w:tcPr>
          <w:p w14:paraId="481FC05C">
            <w:pPr>
              <w:autoSpaceDE w:val="0"/>
              <w:autoSpaceDN w:val="0"/>
              <w:adjustRightInd w:val="0"/>
              <w:spacing w:line="320" w:lineRule="exact"/>
              <w:rPr>
                <w:rFonts w:hint="eastAsia" w:ascii="宋体" w:hAnsi="宋体" w:eastAsia="宋体" w:cs="宋体"/>
                <w:color w:val="auto"/>
                <w:szCs w:val="24"/>
              </w:rPr>
            </w:pPr>
            <w:r>
              <w:rPr>
                <w:rFonts w:hint="eastAsia" w:ascii="宋体" w:hAnsi="宋体" w:eastAsia="宋体" w:cs="宋体"/>
                <w:color w:val="auto"/>
                <w:szCs w:val="24"/>
              </w:rPr>
              <w:t>说明</w:t>
            </w:r>
          </w:p>
        </w:tc>
        <w:tc>
          <w:tcPr>
            <w:tcW w:w="7494" w:type="dxa"/>
            <w:gridSpan w:val="5"/>
            <w:tcBorders>
              <w:bottom w:val="single" w:color="auto" w:sz="12" w:space="0"/>
              <w:right w:val="single" w:color="auto" w:sz="12" w:space="0"/>
            </w:tcBorders>
            <w:vAlign w:val="center"/>
          </w:tcPr>
          <w:p w14:paraId="6937E22A">
            <w:pPr>
              <w:spacing w:line="320" w:lineRule="exact"/>
              <w:ind w:left="360" w:hanging="360"/>
              <w:rPr>
                <w:rFonts w:hint="eastAsia" w:ascii="宋体" w:hAnsi="宋体" w:eastAsia="宋体" w:cs="宋体"/>
                <w:color w:val="auto"/>
                <w:szCs w:val="24"/>
              </w:rPr>
            </w:pPr>
            <w:r>
              <w:rPr>
                <w:rFonts w:hint="eastAsia" w:ascii="宋体" w:hAnsi="宋体" w:eastAsia="宋体" w:cs="宋体"/>
                <w:color w:val="auto"/>
                <w:szCs w:val="24"/>
              </w:rPr>
              <w:t>1、登记证号指营业执照/事业单位法人证书/专业服务机构执业许可证/民办非企业单位登记证书中的登记号。</w:t>
            </w:r>
          </w:p>
          <w:p w14:paraId="3374CD36">
            <w:pPr>
              <w:spacing w:line="320" w:lineRule="exact"/>
              <w:ind w:left="360" w:hanging="360"/>
              <w:rPr>
                <w:rFonts w:hint="eastAsia" w:ascii="宋体" w:hAnsi="宋体" w:eastAsia="宋体" w:cs="宋体"/>
                <w:color w:val="auto"/>
                <w:szCs w:val="24"/>
              </w:rPr>
            </w:pPr>
            <w:r>
              <w:rPr>
                <w:rFonts w:hint="eastAsia" w:ascii="宋体" w:hAnsi="宋体" w:eastAsia="宋体" w:cs="宋体"/>
                <w:color w:val="auto"/>
                <w:szCs w:val="24"/>
              </w:rPr>
              <w:t>2、成立时间至提交投标文件截止时间不足一年的可不提供“上年度营业收入”。</w:t>
            </w:r>
          </w:p>
          <w:p w14:paraId="344EDA78">
            <w:pPr>
              <w:spacing w:line="320" w:lineRule="exact"/>
              <w:ind w:left="360" w:hanging="360"/>
              <w:rPr>
                <w:rFonts w:hint="eastAsia" w:ascii="宋体" w:hAnsi="宋体" w:eastAsia="宋体" w:cs="宋体"/>
                <w:color w:val="auto"/>
                <w:szCs w:val="24"/>
              </w:rPr>
            </w:pPr>
            <w:r>
              <w:rPr>
                <w:rFonts w:hint="eastAsia" w:ascii="宋体" w:hAnsi="宋体" w:eastAsia="宋体" w:cs="宋体"/>
                <w:color w:val="auto"/>
                <w:szCs w:val="24"/>
              </w:rPr>
              <w:t>3、投标人应如实填写上述信息。</w:t>
            </w:r>
            <w:bookmarkStart w:id="228" w:name="■AcceptUnion_CH5_A■"/>
            <w:r>
              <w:rPr>
                <w:rFonts w:hint="eastAsia" w:ascii="宋体" w:hAnsi="宋体" w:eastAsia="宋体" w:cs="宋体"/>
                <w:color w:val="auto"/>
                <w:szCs w:val="24"/>
              </w:rPr>
              <w:t>招标文件允许联合体投标的，联合体各方均应提供。</w:t>
            </w:r>
            <w:bookmarkEnd w:id="228"/>
          </w:p>
        </w:tc>
      </w:tr>
    </w:tbl>
    <w:p w14:paraId="4C5676FF">
      <w:pPr>
        <w:rPr>
          <w:rFonts w:hint="eastAsia" w:ascii="宋体" w:hAnsi="宋体" w:eastAsia="宋体" w:cs="宋体"/>
          <w:b/>
          <w:color w:val="auto"/>
          <w:sz w:val="21"/>
          <w:szCs w:val="21"/>
        </w:rPr>
      </w:pPr>
    </w:p>
    <w:p w14:paraId="4679B65F">
      <w:pPr>
        <w:pStyle w:val="9"/>
        <w:rPr>
          <w:rFonts w:hint="eastAsia" w:ascii="宋体" w:hAnsi="宋体" w:eastAsia="宋体" w:cs="宋体"/>
          <w:color w:val="auto"/>
        </w:rPr>
      </w:pPr>
    </w:p>
    <w:p w14:paraId="5CA2EC3E">
      <w:pPr>
        <w:jc w:val="center"/>
        <w:rPr>
          <w:rFonts w:hint="eastAsia" w:ascii="宋体" w:hAnsi="宋体" w:eastAsia="宋体" w:cs="宋体"/>
          <w:b/>
          <w:color w:val="auto"/>
          <w:sz w:val="21"/>
          <w:szCs w:val="21"/>
        </w:rPr>
      </w:pPr>
      <w:r>
        <w:rPr>
          <w:rFonts w:hint="eastAsia" w:ascii="宋体" w:hAnsi="宋体" w:eastAsia="宋体" w:cs="宋体"/>
          <w:b/>
          <w:color w:val="auto"/>
          <w:sz w:val="28"/>
          <w:szCs w:val="28"/>
        </w:rPr>
        <w:t>二、</w:t>
      </w:r>
      <w:r>
        <w:rPr>
          <w:rFonts w:hint="eastAsia" w:ascii="宋体" w:hAnsi="宋体" w:eastAsia="宋体" w:cs="宋体"/>
          <w:b/>
          <w:color w:val="auto"/>
          <w:sz w:val="28"/>
          <w:szCs w:val="28"/>
          <w:lang w:val="zh-CN"/>
        </w:rPr>
        <w:t>企业控股关联关系</w:t>
      </w:r>
      <w:r>
        <w:rPr>
          <w:rFonts w:hint="eastAsia" w:ascii="宋体" w:hAnsi="宋体" w:eastAsia="宋体" w:cs="宋体"/>
          <w:b/>
          <w:color w:val="auto"/>
          <w:sz w:val="28"/>
          <w:szCs w:val="28"/>
        </w:rPr>
        <w:t>说明</w:t>
      </w:r>
    </w:p>
    <w:p w14:paraId="07847F9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1.投标人在本项目投标活动中，不存在与其它参与投标的投标人负责人为同一人，有控股、管理等关联关系承诺：</w:t>
      </w:r>
    </w:p>
    <w:p w14:paraId="512E1628">
      <w:pPr>
        <w:spacing w:line="360" w:lineRule="auto"/>
        <w:ind w:firstLine="480" w:firstLineChars="200"/>
        <w:rPr>
          <w:rFonts w:hint="eastAsia" w:ascii="宋体" w:hAnsi="宋体" w:eastAsia="宋体" w:cs="宋体"/>
          <w:color w:val="auto"/>
          <w:szCs w:val="24"/>
        </w:rPr>
      </w:pPr>
      <w:bookmarkStart w:id="229" w:name="_Toc16856"/>
      <w:r>
        <w:rPr>
          <w:rFonts w:hint="eastAsia" w:ascii="宋体" w:hAnsi="宋体" w:eastAsia="宋体" w:cs="宋体"/>
          <w:color w:val="auto"/>
          <w:szCs w:val="24"/>
        </w:rPr>
        <w:t>1.1管理关系说明：</w:t>
      </w:r>
      <w:bookmarkEnd w:id="229"/>
    </w:p>
    <w:p w14:paraId="5A7A9913">
      <w:pPr>
        <w:spacing w:line="360" w:lineRule="auto"/>
        <w:ind w:firstLine="960" w:firstLineChars="400"/>
        <w:rPr>
          <w:rFonts w:hint="eastAsia" w:ascii="宋体" w:hAnsi="宋体" w:eastAsia="宋体" w:cs="宋体"/>
          <w:color w:val="auto"/>
          <w:szCs w:val="24"/>
        </w:rPr>
      </w:pPr>
      <w:r>
        <w:rPr>
          <w:rFonts w:hint="eastAsia" w:ascii="宋体" w:hAnsi="宋体" w:eastAsia="宋体" w:cs="宋体"/>
          <w:color w:val="auto"/>
          <w:szCs w:val="24"/>
        </w:rPr>
        <w:t>我单位管理的具有独立法人的下属单位有：</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w:t>
      </w:r>
    </w:p>
    <w:p w14:paraId="69CA7327">
      <w:pPr>
        <w:spacing w:line="360" w:lineRule="auto"/>
        <w:ind w:firstLine="960" w:firstLineChars="400"/>
        <w:rPr>
          <w:rFonts w:hint="eastAsia" w:ascii="宋体" w:hAnsi="宋体" w:eastAsia="宋体" w:cs="宋体"/>
          <w:color w:val="auto"/>
          <w:szCs w:val="24"/>
        </w:rPr>
      </w:pPr>
      <w:r>
        <w:rPr>
          <w:rFonts w:hint="eastAsia" w:ascii="宋体" w:hAnsi="宋体" w:eastAsia="宋体" w:cs="宋体"/>
          <w:color w:val="auto"/>
          <w:szCs w:val="24"/>
        </w:rPr>
        <w:t>我单位的上级管理单位有</w:t>
      </w:r>
      <w:r>
        <w:rPr>
          <w:rFonts w:hint="eastAsia" w:ascii="宋体" w:hAnsi="宋体" w:eastAsia="宋体" w:cs="宋体"/>
          <w:color w:val="auto"/>
          <w:szCs w:val="24"/>
          <w:u w:val="single"/>
        </w:rPr>
        <w:t xml:space="preserve">    </w:t>
      </w:r>
      <w:r>
        <w:rPr>
          <w:rFonts w:hint="eastAsia" w:ascii="宋体" w:hAnsi="宋体" w:eastAsia="宋体" w:cs="宋体"/>
          <w:color w:val="auto"/>
          <w:szCs w:val="24"/>
          <w:u w:val="single"/>
          <w:lang w:val="en-US" w:eastAsia="zh-CN"/>
        </w:rPr>
        <w:t xml:space="preserve">     </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w:t>
      </w:r>
    </w:p>
    <w:p w14:paraId="5A50BD2E">
      <w:pPr>
        <w:spacing w:line="360" w:lineRule="auto"/>
        <w:ind w:firstLine="480" w:firstLineChars="200"/>
        <w:rPr>
          <w:rFonts w:hint="eastAsia" w:ascii="宋体" w:hAnsi="宋体" w:eastAsia="宋体" w:cs="宋体"/>
          <w:color w:val="auto"/>
          <w:szCs w:val="24"/>
        </w:rPr>
      </w:pPr>
      <w:bookmarkStart w:id="230" w:name="_Toc12117"/>
      <w:r>
        <w:rPr>
          <w:rFonts w:hint="eastAsia" w:ascii="宋体" w:hAnsi="宋体" w:eastAsia="宋体" w:cs="宋体"/>
          <w:color w:val="auto"/>
          <w:szCs w:val="24"/>
        </w:rPr>
        <w:t>1.2股权关系说明：</w:t>
      </w:r>
      <w:bookmarkEnd w:id="230"/>
    </w:p>
    <w:p w14:paraId="498254C0">
      <w:pPr>
        <w:spacing w:line="360" w:lineRule="auto"/>
        <w:ind w:firstLine="960" w:firstLineChars="400"/>
        <w:rPr>
          <w:rFonts w:hint="eastAsia" w:ascii="宋体" w:hAnsi="宋体" w:eastAsia="宋体" w:cs="宋体"/>
          <w:color w:val="auto"/>
          <w:szCs w:val="24"/>
        </w:rPr>
      </w:pPr>
      <w:r>
        <w:rPr>
          <w:rFonts w:hint="eastAsia" w:ascii="宋体" w:hAnsi="宋体" w:eastAsia="宋体" w:cs="宋体"/>
          <w:color w:val="auto"/>
          <w:szCs w:val="24"/>
        </w:rPr>
        <w:t>我单位控股的单位有</w:t>
      </w:r>
      <w:r>
        <w:rPr>
          <w:rFonts w:hint="eastAsia" w:ascii="宋体" w:hAnsi="宋体" w:eastAsia="宋体" w:cs="宋体"/>
          <w:color w:val="auto"/>
          <w:szCs w:val="24"/>
          <w:u w:val="single"/>
        </w:rPr>
        <w:t xml:space="preserve">      </w:t>
      </w:r>
      <w:r>
        <w:rPr>
          <w:rFonts w:hint="eastAsia" w:ascii="宋体" w:hAnsi="宋体" w:eastAsia="宋体" w:cs="宋体"/>
          <w:color w:val="auto"/>
          <w:szCs w:val="24"/>
          <w:u w:val="single"/>
          <w:lang w:val="en-US" w:eastAsia="zh-CN"/>
        </w:rPr>
        <w:t xml:space="preserve">     </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w:t>
      </w:r>
    </w:p>
    <w:p w14:paraId="6E4B3593">
      <w:pPr>
        <w:spacing w:line="360" w:lineRule="auto"/>
        <w:ind w:firstLine="960" w:firstLineChars="400"/>
        <w:rPr>
          <w:rFonts w:hint="eastAsia" w:ascii="宋体" w:hAnsi="宋体" w:eastAsia="宋体" w:cs="宋体"/>
          <w:color w:val="auto"/>
          <w:szCs w:val="24"/>
        </w:rPr>
      </w:pPr>
      <w:r>
        <w:rPr>
          <w:rFonts w:hint="eastAsia" w:ascii="宋体" w:hAnsi="宋体" w:eastAsia="宋体" w:cs="宋体"/>
          <w:color w:val="auto"/>
          <w:szCs w:val="24"/>
        </w:rPr>
        <w:t>我单位被</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单位控股。</w:t>
      </w:r>
    </w:p>
    <w:p w14:paraId="1F3D6138">
      <w:pPr>
        <w:spacing w:line="360" w:lineRule="auto"/>
        <w:ind w:firstLine="480" w:firstLineChars="200"/>
        <w:rPr>
          <w:rFonts w:hint="eastAsia" w:ascii="宋体" w:hAnsi="宋体" w:eastAsia="宋体" w:cs="宋体"/>
          <w:color w:val="auto"/>
          <w:szCs w:val="24"/>
        </w:rPr>
      </w:pPr>
      <w:bookmarkStart w:id="231" w:name="_Toc18126"/>
      <w:r>
        <w:rPr>
          <w:rFonts w:hint="eastAsia" w:ascii="宋体" w:hAnsi="宋体" w:eastAsia="宋体" w:cs="宋体"/>
          <w:color w:val="auto"/>
          <w:szCs w:val="24"/>
        </w:rPr>
        <w:t>1.3单位负责人：</w:t>
      </w:r>
      <w:bookmarkEnd w:id="231"/>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  </w:t>
      </w:r>
    </w:p>
    <w:p w14:paraId="54BB745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（填写是或否）为本采购项目提供前期整体设计、规范编制或者项目管理、监理、检测等服务的投标人。</w:t>
      </w:r>
    </w:p>
    <w:p w14:paraId="43BE1D3F">
      <w:pPr>
        <w:spacing w:line="360" w:lineRule="auto"/>
        <w:ind w:firstLine="480" w:firstLineChars="200"/>
        <w:rPr>
          <w:rFonts w:hint="eastAsia" w:ascii="宋体" w:hAnsi="宋体" w:eastAsia="宋体" w:cs="宋体"/>
          <w:color w:val="auto"/>
          <w:szCs w:val="24"/>
          <w:u w:val="single"/>
        </w:rPr>
      </w:pPr>
      <w:r>
        <w:rPr>
          <w:rFonts w:hint="eastAsia" w:ascii="宋体" w:hAnsi="宋体" w:eastAsia="宋体" w:cs="宋体"/>
          <w:color w:val="auto"/>
          <w:szCs w:val="24"/>
        </w:rPr>
        <w:t>3.其他与本项目有关的利害关系说明：</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w:t>
      </w:r>
    </w:p>
    <w:p w14:paraId="2D5DA0F5">
      <w:pPr>
        <w:pStyle w:val="9"/>
        <w:spacing w:line="360" w:lineRule="auto"/>
        <w:rPr>
          <w:rFonts w:hint="eastAsia" w:ascii="宋体" w:hAnsi="宋体" w:eastAsia="宋体" w:cs="宋体"/>
          <w:color w:val="auto"/>
          <w:sz w:val="24"/>
          <w:szCs w:val="24"/>
        </w:rPr>
      </w:pPr>
    </w:p>
    <w:p w14:paraId="0BF5F224">
      <w:pPr>
        <w:spacing w:line="360"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rPr>
        <w:t>我单位承诺以上说明真实有效，无虚假内容或隐瞒。</w:t>
      </w:r>
    </w:p>
    <w:p w14:paraId="4937AC49">
      <w:pPr>
        <w:spacing w:line="500" w:lineRule="exact"/>
        <w:ind w:firstLine="240" w:firstLineChars="100"/>
        <w:rPr>
          <w:rFonts w:hint="eastAsia" w:ascii="宋体" w:hAnsi="宋体" w:eastAsia="宋体" w:cs="宋体"/>
          <w:color w:val="auto"/>
          <w:szCs w:val="24"/>
        </w:rPr>
      </w:pPr>
    </w:p>
    <w:p w14:paraId="2458FF76">
      <w:pPr>
        <w:pStyle w:val="9"/>
        <w:rPr>
          <w:rFonts w:hint="eastAsia" w:ascii="宋体" w:hAnsi="宋体" w:eastAsia="宋体" w:cs="宋体"/>
          <w:color w:val="auto"/>
          <w:sz w:val="24"/>
          <w:szCs w:val="24"/>
        </w:rPr>
      </w:pPr>
    </w:p>
    <w:p w14:paraId="745869AB">
      <w:pPr>
        <w:spacing w:line="500" w:lineRule="exact"/>
        <w:ind w:firstLine="2420" w:firstLineChars="1100"/>
        <w:rPr>
          <w:rFonts w:hint="eastAsia" w:ascii="宋体" w:hAnsi="宋体" w:eastAsia="宋体" w:cs="宋体"/>
          <w:color w:val="auto"/>
          <w:szCs w:val="24"/>
        </w:rPr>
      </w:pPr>
      <w:r>
        <w:rPr>
          <w:rFonts w:hint="eastAsia" w:ascii="宋体" w:hAnsi="宋体" w:eastAsia="宋体" w:cs="宋体"/>
          <w:color w:val="auto"/>
          <w:spacing w:val="-10"/>
          <w:szCs w:val="24"/>
          <w:u w:val="none"/>
        </w:rPr>
        <w:t>投标人名称</w:t>
      </w:r>
      <w:r>
        <w:rPr>
          <w:rFonts w:hint="eastAsia" w:ascii="宋体" w:hAnsi="宋体" w:eastAsia="宋体" w:cs="宋体"/>
          <w:color w:val="auto"/>
          <w:spacing w:val="-10"/>
          <w:szCs w:val="24"/>
          <w:u w:val="none"/>
          <w:lang w:eastAsia="zh-CN"/>
        </w:rPr>
        <w:t>：</w:t>
      </w:r>
      <w:r>
        <w:rPr>
          <w:rFonts w:hint="eastAsia" w:ascii="宋体" w:hAnsi="宋体" w:eastAsia="宋体" w:cs="宋体"/>
          <w:color w:val="auto"/>
          <w:spacing w:val="-10"/>
          <w:szCs w:val="24"/>
          <w:u w:val="single"/>
          <w:lang w:val="en-US" w:eastAsia="zh-CN"/>
        </w:rPr>
        <w:t xml:space="preserve">                            </w:t>
      </w:r>
      <w:r>
        <w:rPr>
          <w:rFonts w:hint="eastAsia" w:ascii="宋体" w:hAnsi="宋体" w:eastAsia="宋体" w:cs="宋体"/>
          <w:color w:val="auto"/>
          <w:szCs w:val="24"/>
        </w:rPr>
        <w:t>（加盖公章）</w:t>
      </w:r>
    </w:p>
    <w:p w14:paraId="12A6A90A">
      <w:pPr>
        <w:spacing w:line="500" w:lineRule="exact"/>
        <w:ind w:firstLine="240" w:firstLineChars="100"/>
        <w:rPr>
          <w:rFonts w:hint="eastAsia" w:ascii="宋体" w:hAnsi="宋体" w:eastAsia="宋体" w:cs="宋体"/>
          <w:color w:val="auto"/>
          <w:szCs w:val="24"/>
        </w:rPr>
      </w:pPr>
    </w:p>
    <w:p w14:paraId="654E8EF9">
      <w:pPr>
        <w:spacing w:line="500" w:lineRule="exact"/>
        <w:ind w:firstLine="2400" w:firstLineChars="1000"/>
        <w:rPr>
          <w:rFonts w:hint="eastAsia" w:ascii="宋体" w:hAnsi="宋体" w:eastAsia="宋体" w:cs="宋体"/>
          <w:color w:val="auto"/>
          <w:szCs w:val="24"/>
        </w:rPr>
      </w:pPr>
      <w:r>
        <w:rPr>
          <w:rFonts w:hint="eastAsia" w:ascii="宋体" w:hAnsi="宋体" w:eastAsia="宋体" w:cs="宋体"/>
          <w:color w:val="auto"/>
          <w:szCs w:val="24"/>
        </w:rPr>
        <w:t>法定代表人或被授权人：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（签字或盖章）</w:t>
      </w:r>
    </w:p>
    <w:p w14:paraId="1BA1BAFD">
      <w:pPr>
        <w:spacing w:line="500" w:lineRule="exact"/>
        <w:ind w:firstLine="240" w:firstLineChars="100"/>
        <w:rPr>
          <w:rFonts w:hint="eastAsia" w:ascii="宋体" w:hAnsi="宋体" w:eastAsia="宋体" w:cs="宋体"/>
          <w:color w:val="auto"/>
          <w:szCs w:val="24"/>
        </w:rPr>
      </w:pPr>
      <w:r>
        <w:rPr>
          <w:rFonts w:hint="eastAsia" w:ascii="宋体" w:hAnsi="宋体" w:eastAsia="宋体" w:cs="宋体"/>
          <w:color w:val="auto"/>
          <w:szCs w:val="24"/>
        </w:rPr>
        <w:t xml:space="preserve">      </w:t>
      </w:r>
    </w:p>
    <w:p w14:paraId="77B39964">
      <w:pPr>
        <w:spacing w:line="500" w:lineRule="exact"/>
        <w:ind w:firstLine="2400" w:firstLineChars="1000"/>
        <w:rPr>
          <w:rFonts w:hint="eastAsia" w:ascii="宋体" w:hAnsi="宋体" w:eastAsia="宋体" w:cs="宋体"/>
          <w:color w:val="auto"/>
          <w:sz w:val="21"/>
          <w:szCs w:val="21"/>
        </w:rPr>
      </w:pPr>
      <w:r>
        <w:rPr>
          <w:rFonts w:hint="eastAsia" w:ascii="宋体" w:hAnsi="宋体" w:eastAsia="宋体" w:cs="宋体"/>
          <w:color w:val="auto"/>
          <w:szCs w:val="24"/>
        </w:rPr>
        <w:t>日期：     年   月   日</w:t>
      </w:r>
    </w:p>
    <w:p w14:paraId="08D2B122">
      <w:pPr>
        <w:rPr>
          <w:rFonts w:hint="eastAsia" w:ascii="宋体" w:hAnsi="宋体" w:eastAsia="宋体" w:cs="宋体"/>
          <w:b/>
          <w:bCs/>
          <w:color w:val="auto"/>
          <w:sz w:val="21"/>
          <w:szCs w:val="21"/>
        </w:rPr>
      </w:pPr>
    </w:p>
    <w:p w14:paraId="43235174">
      <w:pPr>
        <w:rPr>
          <w:rFonts w:hint="eastAsia" w:ascii="宋体" w:hAnsi="宋体" w:eastAsia="宋体" w:cs="宋体"/>
          <w:b/>
          <w:bCs/>
          <w:color w:val="auto"/>
          <w:sz w:val="21"/>
          <w:szCs w:val="21"/>
        </w:rPr>
      </w:pPr>
    </w:p>
    <w:p w14:paraId="0600F876">
      <w:pPr>
        <w:rPr>
          <w:rFonts w:hint="eastAsia" w:ascii="宋体" w:hAnsi="宋体" w:eastAsia="宋体" w:cs="宋体"/>
          <w:b/>
          <w:bCs/>
          <w:color w:val="auto"/>
          <w:sz w:val="21"/>
          <w:szCs w:val="21"/>
        </w:rPr>
      </w:pPr>
    </w:p>
    <w:p w14:paraId="5513F64F">
      <w:pPr>
        <w:rPr>
          <w:rFonts w:hint="eastAsia" w:ascii="宋体" w:hAnsi="宋体" w:eastAsia="宋体" w:cs="宋体"/>
          <w:b/>
          <w:bCs/>
          <w:color w:val="auto"/>
          <w:sz w:val="21"/>
          <w:szCs w:val="21"/>
        </w:rPr>
      </w:pPr>
    </w:p>
    <w:p w14:paraId="5130D7E6">
      <w:pPr>
        <w:rPr>
          <w:rFonts w:hint="eastAsia" w:ascii="宋体" w:hAnsi="宋体" w:eastAsia="宋体" w:cs="宋体"/>
          <w:color w:val="auto"/>
          <w:sz w:val="21"/>
          <w:szCs w:val="21"/>
          <w:lang w:val="zh-CN"/>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请详细填写</w:t>
      </w:r>
      <w:r>
        <w:rPr>
          <w:rFonts w:hint="eastAsia" w:ascii="宋体" w:hAnsi="宋体" w:eastAsia="宋体" w:cs="宋体"/>
          <w:color w:val="auto"/>
          <w:sz w:val="21"/>
          <w:szCs w:val="21"/>
          <w:lang w:val="zh-CN"/>
        </w:rPr>
        <w:t>企业关系关联说明，未如实填写将否决</w:t>
      </w:r>
      <w:r>
        <w:rPr>
          <w:rFonts w:hint="eastAsia" w:ascii="宋体" w:hAnsi="宋体" w:eastAsia="宋体" w:cs="宋体"/>
          <w:color w:val="auto"/>
          <w:sz w:val="21"/>
          <w:szCs w:val="21"/>
        </w:rPr>
        <w:t>投标</w:t>
      </w:r>
      <w:r>
        <w:rPr>
          <w:rFonts w:hint="eastAsia" w:ascii="宋体" w:hAnsi="宋体" w:eastAsia="宋体" w:cs="宋体"/>
          <w:color w:val="auto"/>
          <w:sz w:val="21"/>
          <w:szCs w:val="21"/>
          <w:lang w:val="zh-CN"/>
        </w:rPr>
        <w:t>。</w:t>
      </w:r>
    </w:p>
    <w:p w14:paraId="4BDF018D">
      <w:pPr>
        <w:rPr>
          <w:rFonts w:hint="eastAsia" w:ascii="宋体" w:hAnsi="宋体" w:eastAsia="宋体" w:cs="宋体"/>
          <w:color w:val="auto"/>
        </w:rPr>
      </w:pPr>
      <w:r>
        <w:rPr>
          <w:rFonts w:hint="eastAsia" w:ascii="宋体" w:hAnsi="宋体" w:eastAsia="宋体" w:cs="宋体"/>
          <w:color w:val="auto"/>
          <w:sz w:val="21"/>
          <w:szCs w:val="21"/>
          <w:lang w:val="zh-CN"/>
        </w:rPr>
        <w:br w:type="page"/>
      </w:r>
    </w:p>
    <w:p w14:paraId="367246CB">
      <w:pPr>
        <w:jc w:val="center"/>
        <w:rPr>
          <w:rFonts w:hint="eastAsia" w:ascii="宋体" w:hAnsi="宋体" w:eastAsia="宋体" w:cs="宋体"/>
          <w:b/>
          <w:color w:val="auto"/>
          <w:sz w:val="21"/>
          <w:szCs w:val="21"/>
        </w:rPr>
      </w:pPr>
      <w:r>
        <w:rPr>
          <w:rFonts w:hint="eastAsia" w:ascii="宋体" w:hAnsi="宋体" w:eastAsia="宋体" w:cs="宋体"/>
          <w:b/>
          <w:color w:val="auto"/>
          <w:sz w:val="28"/>
          <w:szCs w:val="28"/>
        </w:rPr>
        <w:t>三、投标人性质</w:t>
      </w:r>
    </w:p>
    <w:p w14:paraId="6A265A18">
      <w:pPr>
        <w:pStyle w:val="9"/>
        <w:ind w:firstLine="420" w:firstLineChars="200"/>
        <w:rPr>
          <w:rFonts w:hint="eastAsia" w:ascii="宋体" w:hAnsi="宋体" w:eastAsia="宋体" w:cs="宋体"/>
          <w:color w:val="auto"/>
        </w:rPr>
      </w:pPr>
    </w:p>
    <w:p w14:paraId="21C0ACD1">
      <w:pPr>
        <w:pStyle w:val="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中/小/微型企业、残疾人福利性单位投标时，应提供声明函（按下文给定格式）。未提供或未按给定格式提供声明函或声明函填写错误的，将视同为大型企业。</w:t>
      </w:r>
    </w:p>
    <w:p w14:paraId="3A1FD23F">
      <w:pPr>
        <w:pStyle w:val="9"/>
        <w:spacing w:line="360" w:lineRule="auto"/>
        <w:ind w:firstLine="480" w:firstLineChars="200"/>
        <w:rPr>
          <w:rFonts w:hint="eastAsia" w:ascii="宋体" w:hAnsi="宋体" w:eastAsia="宋体" w:cs="宋体"/>
          <w:b/>
          <w:color w:val="auto"/>
          <w:szCs w:val="21"/>
        </w:rPr>
      </w:pPr>
      <w:r>
        <w:rPr>
          <w:rFonts w:hint="eastAsia" w:ascii="宋体" w:hAnsi="宋体" w:eastAsia="宋体" w:cs="宋体"/>
          <w:color w:val="auto"/>
          <w:sz w:val="24"/>
          <w:szCs w:val="24"/>
        </w:rPr>
        <w:t>监狱企业投标时，应当提供由省级以上监狱管理局、戒毒管理局（含新疆生产建设兵团）出具的属于监狱企业的证明文件（格式不做要求）。</w:t>
      </w:r>
      <w:r>
        <w:rPr>
          <w:rFonts w:hint="eastAsia" w:ascii="宋体" w:hAnsi="宋体" w:eastAsia="宋体" w:cs="宋体"/>
          <w:color w:val="auto"/>
        </w:rPr>
        <w:br w:type="page"/>
      </w:r>
    </w:p>
    <w:p w14:paraId="1E4A36EC">
      <w:pPr>
        <w:pageBreakBefore w:val="0"/>
        <w:kinsoku/>
        <w:bidi w:val="0"/>
        <w:spacing w:line="36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8"/>
          <w:szCs w:val="28"/>
        </w:rPr>
        <w:t>中小企业声明函（货物）</w:t>
      </w:r>
    </w:p>
    <w:p w14:paraId="05900690">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本公司郑重声明，根据《政府采购促进中小企业发展管理办法》（财库﹝2020﹞46 号）的规定，本公司参加</w:t>
      </w:r>
      <w:r>
        <w:rPr>
          <w:rFonts w:hint="eastAsia" w:ascii="宋体" w:hAnsi="宋体" w:eastAsia="宋体" w:cs="宋体"/>
          <w:color w:val="auto"/>
          <w:sz w:val="24"/>
          <w:szCs w:val="24"/>
          <w:u w:val="single"/>
        </w:rPr>
        <w:t>（采购人名称）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采购活动，提供的货物全部由符合政策要求的中小企业制造。具体情况如下：</w:t>
      </w:r>
    </w:p>
    <w:p w14:paraId="520E1DE6">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万元，属于（中型企业/小型企业/微型企业）。</w:t>
      </w:r>
    </w:p>
    <w:p w14:paraId="6D320D57">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万元，属于（中型企业/小型企业/微型企业）。</w:t>
      </w:r>
    </w:p>
    <w:p w14:paraId="3282D7CF">
      <w:pPr>
        <w:pageBreakBefore w:val="0"/>
        <w:kinsoku/>
        <w:bidi w:val="0"/>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32D6BC1D">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w:t>
      </w:r>
    </w:p>
    <w:p w14:paraId="044EDD44">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本企业对上述声明内容的真实性负责。如有虚假，将依法承担相应责任。</w:t>
      </w:r>
    </w:p>
    <w:p w14:paraId="5297B31C">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910769D">
      <w:pPr>
        <w:pageBreakBefore w:val="0"/>
        <w:kinsoku/>
        <w:bidi w:val="0"/>
        <w:spacing w:line="360" w:lineRule="auto"/>
        <w:ind w:firstLine="5040" w:firstLineChars="2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65F14B16">
      <w:pPr>
        <w:pageBreakBefore w:val="0"/>
        <w:kinsoku/>
        <w:bidi w:val="0"/>
        <w:spacing w:line="360" w:lineRule="auto"/>
        <w:ind w:firstLine="48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4"/>
          <w:szCs w:val="24"/>
        </w:rPr>
        <w:t xml:space="preserve">                                      日期：</w:t>
      </w:r>
    </w:p>
    <w:p w14:paraId="43E55D2F">
      <w:pPr>
        <w:pStyle w:val="9"/>
        <w:rPr>
          <w:rFonts w:hint="eastAsia" w:ascii="宋体" w:hAnsi="宋体" w:eastAsia="宋体" w:cs="宋体"/>
          <w:color w:val="auto"/>
          <w:sz w:val="24"/>
          <w:szCs w:val="24"/>
        </w:rPr>
      </w:pPr>
    </w:p>
    <w:p w14:paraId="1C1A9BDD">
      <w:pPr>
        <w:rPr>
          <w:rFonts w:hint="eastAsia" w:ascii="宋体" w:hAnsi="宋体" w:eastAsia="宋体" w:cs="宋体"/>
          <w:color w:val="auto"/>
          <w:sz w:val="24"/>
          <w:szCs w:val="24"/>
        </w:rPr>
      </w:pPr>
    </w:p>
    <w:p w14:paraId="62FDD345">
      <w:pPr>
        <w:pStyle w:val="17"/>
        <w:rPr>
          <w:rFonts w:hint="eastAsia" w:ascii="宋体" w:hAnsi="宋体" w:eastAsia="宋体" w:cs="宋体"/>
          <w:color w:val="auto"/>
          <w:sz w:val="24"/>
          <w:szCs w:val="24"/>
        </w:rPr>
      </w:pPr>
    </w:p>
    <w:p w14:paraId="31E70B14">
      <w:pPr>
        <w:rPr>
          <w:rFonts w:hint="eastAsia" w:ascii="宋体" w:hAnsi="宋体" w:eastAsia="宋体" w:cs="宋体"/>
          <w:color w:val="auto"/>
          <w:sz w:val="24"/>
          <w:szCs w:val="24"/>
        </w:rPr>
      </w:pPr>
    </w:p>
    <w:p w14:paraId="468881EF">
      <w:pPr>
        <w:pStyle w:val="17"/>
        <w:rPr>
          <w:rFonts w:hint="eastAsia" w:ascii="宋体" w:hAnsi="宋体" w:eastAsia="宋体" w:cs="宋体"/>
          <w:color w:val="auto"/>
          <w:sz w:val="24"/>
          <w:szCs w:val="24"/>
        </w:rPr>
      </w:pPr>
    </w:p>
    <w:p w14:paraId="366C0FAA">
      <w:pPr>
        <w:rPr>
          <w:rFonts w:hint="eastAsia" w:ascii="宋体" w:hAnsi="宋体" w:eastAsia="宋体" w:cs="宋体"/>
          <w:color w:val="auto"/>
          <w:sz w:val="24"/>
          <w:szCs w:val="24"/>
        </w:rPr>
      </w:pPr>
    </w:p>
    <w:p w14:paraId="1E1CD28C">
      <w:pPr>
        <w:pStyle w:val="17"/>
        <w:rPr>
          <w:rFonts w:hint="eastAsia" w:ascii="宋体" w:hAnsi="宋体" w:eastAsia="宋体" w:cs="宋体"/>
          <w:color w:val="auto"/>
          <w:sz w:val="24"/>
          <w:szCs w:val="24"/>
        </w:rPr>
      </w:pPr>
    </w:p>
    <w:p w14:paraId="47CF0A4C">
      <w:pPr>
        <w:rPr>
          <w:rFonts w:hint="eastAsia" w:ascii="宋体" w:hAnsi="宋体" w:eastAsia="宋体" w:cs="宋体"/>
          <w:color w:val="auto"/>
          <w:sz w:val="24"/>
          <w:szCs w:val="24"/>
        </w:rPr>
      </w:pPr>
    </w:p>
    <w:p w14:paraId="0F5F4741">
      <w:pPr>
        <w:pStyle w:val="17"/>
        <w:rPr>
          <w:rFonts w:hint="eastAsia" w:ascii="宋体" w:hAnsi="宋体" w:eastAsia="宋体" w:cs="宋体"/>
          <w:color w:val="auto"/>
          <w:sz w:val="24"/>
          <w:szCs w:val="24"/>
        </w:rPr>
      </w:pPr>
    </w:p>
    <w:p w14:paraId="74687928">
      <w:pPr>
        <w:rPr>
          <w:rFonts w:hint="eastAsia" w:ascii="宋体" w:hAnsi="宋体" w:eastAsia="宋体" w:cs="宋体"/>
          <w:color w:val="auto"/>
          <w:sz w:val="24"/>
          <w:szCs w:val="24"/>
        </w:rPr>
      </w:pPr>
    </w:p>
    <w:p w14:paraId="3D70E6BC">
      <w:pPr>
        <w:pStyle w:val="17"/>
        <w:rPr>
          <w:rFonts w:hint="eastAsia" w:ascii="宋体" w:hAnsi="宋体" w:eastAsia="宋体" w:cs="宋体"/>
          <w:color w:val="auto"/>
          <w:sz w:val="24"/>
          <w:szCs w:val="24"/>
        </w:rPr>
      </w:pPr>
    </w:p>
    <w:p w14:paraId="0D49E525">
      <w:pPr>
        <w:rPr>
          <w:rFonts w:hint="eastAsia" w:ascii="宋体" w:hAnsi="宋体" w:eastAsia="宋体" w:cs="宋体"/>
          <w:color w:val="auto"/>
          <w:sz w:val="24"/>
          <w:szCs w:val="24"/>
        </w:rPr>
      </w:pPr>
    </w:p>
    <w:p w14:paraId="0EA38710">
      <w:pPr>
        <w:pStyle w:val="17"/>
        <w:rPr>
          <w:rFonts w:hint="eastAsia" w:ascii="宋体" w:hAnsi="宋体" w:eastAsia="宋体" w:cs="宋体"/>
          <w:color w:val="auto"/>
          <w:sz w:val="24"/>
          <w:szCs w:val="24"/>
        </w:rPr>
      </w:pPr>
    </w:p>
    <w:p w14:paraId="22AADC5F">
      <w:pPr>
        <w:rPr>
          <w:rFonts w:hint="eastAsia" w:ascii="宋体" w:hAnsi="宋体" w:eastAsia="宋体" w:cs="宋体"/>
          <w:color w:val="auto"/>
          <w:sz w:val="24"/>
          <w:szCs w:val="24"/>
        </w:rPr>
      </w:pPr>
    </w:p>
    <w:p w14:paraId="1A49018E">
      <w:pPr>
        <w:pStyle w:val="17"/>
        <w:rPr>
          <w:rFonts w:hint="eastAsia" w:ascii="宋体" w:hAnsi="宋体" w:eastAsia="宋体" w:cs="宋体"/>
          <w:color w:val="auto"/>
          <w:sz w:val="24"/>
          <w:szCs w:val="24"/>
        </w:rPr>
      </w:pPr>
    </w:p>
    <w:p w14:paraId="264BBEEF">
      <w:pPr>
        <w:rPr>
          <w:rFonts w:hint="eastAsia" w:ascii="宋体" w:hAnsi="宋体" w:eastAsia="宋体" w:cs="宋体"/>
          <w:color w:val="auto"/>
        </w:rPr>
      </w:pPr>
    </w:p>
    <w:p w14:paraId="2C0B79FB">
      <w:pPr>
        <w:pageBreakBefore w:val="0"/>
        <w:kinsoku/>
        <w:bidi w:val="0"/>
        <w:spacing w:line="36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8"/>
          <w:szCs w:val="28"/>
          <w:lang w:eastAsia="zh-CN"/>
        </w:rPr>
        <w:t>小微</w:t>
      </w:r>
      <w:r>
        <w:rPr>
          <w:rFonts w:hint="eastAsia" w:ascii="宋体" w:hAnsi="宋体" w:eastAsia="宋体" w:cs="宋体"/>
          <w:b/>
          <w:color w:val="auto"/>
          <w:sz w:val="28"/>
          <w:szCs w:val="28"/>
        </w:rPr>
        <w:t>企业声明函（货物）</w:t>
      </w:r>
    </w:p>
    <w:p w14:paraId="175E8F75">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本公司郑重声明，根据《政府采购促进中小企业发展管理办法》（财库﹝2020﹞46 号）的规定，本公司参加</w:t>
      </w:r>
      <w:r>
        <w:rPr>
          <w:rFonts w:hint="eastAsia" w:ascii="宋体" w:hAnsi="宋体" w:eastAsia="宋体" w:cs="宋体"/>
          <w:color w:val="auto"/>
          <w:sz w:val="24"/>
          <w:szCs w:val="24"/>
          <w:u w:val="single"/>
        </w:rPr>
        <w:t>（采购人名称）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采购活动，提供的货物全部由符合政策要求的中小企业制造。具体情况如下：</w:t>
      </w:r>
    </w:p>
    <w:p w14:paraId="10370BE7">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万元，属于（中型企业/小型企业/微型企业）。</w:t>
      </w:r>
    </w:p>
    <w:p w14:paraId="70904A5F">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万元，属于（中型企业/小型企业/微型企业）。</w:t>
      </w:r>
    </w:p>
    <w:p w14:paraId="7108D31F">
      <w:pPr>
        <w:pageBreakBefore w:val="0"/>
        <w:kinsoku/>
        <w:bidi w:val="0"/>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3B196EF">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w:t>
      </w:r>
    </w:p>
    <w:p w14:paraId="62EF622B">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本企业对上述声明内容的真实性负责。如有虚假，将依法承担相应责任。</w:t>
      </w:r>
    </w:p>
    <w:p w14:paraId="47DD3A19">
      <w:pPr>
        <w:pageBreakBefore w:val="0"/>
        <w:kinsoku/>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FDA0862">
      <w:pPr>
        <w:pageBreakBefore w:val="0"/>
        <w:kinsoku/>
        <w:bidi w:val="0"/>
        <w:spacing w:line="360" w:lineRule="auto"/>
        <w:ind w:firstLine="5040" w:firstLineChars="2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72CB8D25">
      <w:pPr>
        <w:pageBreakBefore w:val="0"/>
        <w:kinsoku/>
        <w:bidi w:val="0"/>
        <w:spacing w:line="360" w:lineRule="auto"/>
        <w:ind w:firstLine="48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4"/>
          <w:szCs w:val="24"/>
        </w:rPr>
        <w:t xml:space="preserve">                                      日期：</w:t>
      </w:r>
    </w:p>
    <w:p w14:paraId="5150CBD4">
      <w:pPr>
        <w:rPr>
          <w:rFonts w:hint="eastAsia" w:ascii="宋体" w:hAnsi="宋体" w:eastAsia="宋体" w:cs="宋体"/>
          <w:b/>
          <w:bCs/>
          <w:color w:val="auto"/>
        </w:rPr>
      </w:pPr>
    </w:p>
    <w:p w14:paraId="79634C18">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备注：1、从业人员、营业收入、资产总额填报上一年度数据，无上一年度数据的新成立企业可不填报。</w:t>
      </w:r>
    </w:p>
    <w:p w14:paraId="51322D4D">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2、项目不分标段的，第___标段空白处填写“/”。</w:t>
      </w:r>
    </w:p>
    <w:p w14:paraId="2B33037C">
      <w:pPr>
        <w:pageBreakBefore w:val="0"/>
        <w:tabs>
          <w:tab w:val="left" w:pos="5670"/>
        </w:tabs>
        <w:kinsoku/>
        <w:bidi w:val="0"/>
        <w:spacing w:line="36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非小微企业不填写此表。</w:t>
      </w:r>
    </w:p>
    <w:p w14:paraId="60E036AD">
      <w:pPr>
        <w:pStyle w:val="78"/>
        <w:pageBreakBefore w:val="0"/>
        <w:kinsoku/>
        <w:bidi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663C2B50">
      <w:pPr>
        <w:tabs>
          <w:tab w:val="left" w:pos="5670"/>
        </w:tabs>
        <w:spacing w:line="288"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br w:type="page"/>
      </w:r>
      <w:bookmarkStart w:id="232" w:name="_Toc48834336"/>
    </w:p>
    <w:p w14:paraId="090A31FE">
      <w:pPr>
        <w:spacing w:line="288" w:lineRule="auto"/>
        <w:jc w:val="center"/>
        <w:rPr>
          <w:rFonts w:hint="eastAsia" w:ascii="宋体" w:hAnsi="宋体" w:eastAsia="宋体" w:cs="宋体"/>
          <w:b/>
          <w:color w:val="auto"/>
          <w:sz w:val="21"/>
          <w:szCs w:val="21"/>
        </w:rPr>
      </w:pPr>
      <w:r>
        <w:rPr>
          <w:rFonts w:hint="eastAsia" w:ascii="宋体" w:hAnsi="宋体" w:eastAsia="宋体" w:cs="宋体"/>
          <w:b/>
          <w:bCs/>
          <w:color w:val="auto"/>
          <w:sz w:val="28"/>
          <w:szCs w:val="28"/>
        </w:rPr>
        <w:t>残疾人福利性单位声明函</w:t>
      </w:r>
      <w:bookmarkEnd w:id="232"/>
    </w:p>
    <w:p w14:paraId="42F68D43">
      <w:pPr>
        <w:spacing w:line="288" w:lineRule="auto"/>
        <w:ind w:firstLine="420" w:firstLineChars="200"/>
        <w:rPr>
          <w:rFonts w:hint="eastAsia" w:ascii="宋体" w:hAnsi="宋体" w:eastAsia="宋体" w:cs="宋体"/>
          <w:color w:val="auto"/>
          <w:sz w:val="21"/>
          <w:szCs w:val="21"/>
        </w:rPr>
      </w:pPr>
    </w:p>
    <w:p w14:paraId="03F93090">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u w:val="single"/>
        </w:rPr>
        <w:t xml:space="preserve"> 项目名称</w:t>
      </w:r>
      <w:r>
        <w:rPr>
          <w:rFonts w:hint="eastAsia" w:hAnsi="宋体" w:cs="宋体"/>
          <w:color w:val="auto"/>
          <w:szCs w:val="24"/>
          <w:u w:val="single"/>
          <w:lang w:val="en-US" w:eastAsia="zh-CN"/>
        </w:rPr>
        <w:t xml:space="preserve">     </w:t>
      </w:r>
      <w:r>
        <w:rPr>
          <w:rFonts w:hint="eastAsia" w:ascii="宋体" w:hAnsi="宋体" w:eastAsia="宋体" w:cs="宋体"/>
          <w:color w:val="auto"/>
          <w:szCs w:val="24"/>
        </w:rPr>
        <w:t>（项目编号：）采购活动由本单位提供服务，或者提供其他残疾人福利性单位提供的服务。</w:t>
      </w:r>
    </w:p>
    <w:p w14:paraId="42E2173D">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本单位对上述声明的真实性负责。如有虚假，将依法承担相应责任。</w:t>
      </w:r>
    </w:p>
    <w:p w14:paraId="069707E9">
      <w:pPr>
        <w:spacing w:line="288" w:lineRule="auto"/>
        <w:ind w:firstLine="480" w:firstLineChars="200"/>
        <w:rPr>
          <w:rFonts w:hint="eastAsia" w:ascii="宋体" w:hAnsi="宋体" w:eastAsia="宋体" w:cs="宋体"/>
          <w:color w:val="auto"/>
          <w:szCs w:val="24"/>
        </w:rPr>
      </w:pPr>
    </w:p>
    <w:p w14:paraId="78E79270">
      <w:pPr>
        <w:tabs>
          <w:tab w:val="left" w:pos="5670"/>
        </w:tabs>
        <w:spacing w:line="288" w:lineRule="auto"/>
        <w:ind w:firstLine="4560" w:firstLineChars="1900"/>
        <w:rPr>
          <w:rFonts w:hint="eastAsia" w:ascii="宋体" w:hAnsi="宋体" w:eastAsia="宋体" w:cs="宋体"/>
          <w:color w:val="auto"/>
          <w:szCs w:val="24"/>
        </w:rPr>
      </w:pPr>
      <w:r>
        <w:rPr>
          <w:rFonts w:hint="eastAsia" w:ascii="宋体" w:hAnsi="宋体" w:eastAsia="宋体" w:cs="宋体"/>
          <w:color w:val="auto"/>
          <w:szCs w:val="24"/>
          <w:u w:val="none"/>
        </w:rPr>
        <w:t>投标人名称</w:t>
      </w:r>
      <w:r>
        <w:rPr>
          <w:rFonts w:hint="eastAsia" w:ascii="宋体" w:hAnsi="宋体" w:eastAsia="宋体" w:cs="宋体"/>
          <w:color w:val="auto"/>
          <w:szCs w:val="24"/>
          <w:u w:val="single"/>
          <w:lang w:eastAsia="zh-CN"/>
        </w:rPr>
        <w:t>：</w:t>
      </w:r>
      <w:r>
        <w:rPr>
          <w:rFonts w:hint="eastAsia" w:ascii="宋体" w:hAnsi="宋体" w:eastAsia="宋体" w:cs="宋体"/>
          <w:color w:val="auto"/>
          <w:szCs w:val="24"/>
          <w:u w:val="single"/>
          <w:lang w:val="en-US" w:eastAsia="zh-CN"/>
        </w:rPr>
        <w:t xml:space="preserve">                </w:t>
      </w:r>
      <w:r>
        <w:rPr>
          <w:rFonts w:hint="eastAsia" w:ascii="宋体" w:hAnsi="宋体" w:eastAsia="宋体" w:cs="宋体"/>
          <w:color w:val="auto"/>
          <w:szCs w:val="24"/>
        </w:rPr>
        <w:t>（盖章）</w:t>
      </w:r>
    </w:p>
    <w:p w14:paraId="47090A1A">
      <w:pPr>
        <w:tabs>
          <w:tab w:val="left" w:pos="5670"/>
        </w:tabs>
        <w:spacing w:line="288" w:lineRule="auto"/>
        <w:rPr>
          <w:rFonts w:hint="eastAsia" w:ascii="宋体" w:hAnsi="宋体" w:eastAsia="宋体" w:cs="宋体"/>
          <w:color w:val="auto"/>
          <w:sz w:val="21"/>
          <w:szCs w:val="21"/>
        </w:rPr>
      </w:pPr>
      <w:r>
        <w:rPr>
          <w:rFonts w:hint="eastAsia" w:ascii="宋体" w:hAnsi="宋体" w:eastAsia="宋体" w:cs="宋体"/>
          <w:color w:val="auto"/>
          <w:szCs w:val="24"/>
        </w:rPr>
        <w:t xml:space="preserve">                                    　　          </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 xml:space="preserve">  年　月　日</w:t>
      </w:r>
    </w:p>
    <w:p w14:paraId="2921FC6E">
      <w:pPr>
        <w:tabs>
          <w:tab w:val="left" w:pos="5670"/>
        </w:tabs>
        <w:spacing w:line="288" w:lineRule="auto"/>
        <w:ind w:firstLine="420" w:firstLineChars="200"/>
        <w:rPr>
          <w:rFonts w:hint="eastAsia" w:ascii="宋体" w:hAnsi="宋体" w:eastAsia="宋体" w:cs="宋体"/>
          <w:color w:val="auto"/>
          <w:sz w:val="21"/>
          <w:szCs w:val="21"/>
        </w:rPr>
      </w:pPr>
    </w:p>
    <w:p w14:paraId="1943DF4A">
      <w:pPr>
        <w:tabs>
          <w:tab w:val="left" w:pos="5670"/>
        </w:tabs>
        <w:spacing w:line="288" w:lineRule="auto"/>
        <w:rPr>
          <w:rFonts w:hint="eastAsia" w:ascii="宋体" w:hAnsi="宋体" w:eastAsia="宋体" w:cs="宋体"/>
          <w:b/>
          <w:bCs/>
          <w:color w:val="auto"/>
          <w:sz w:val="21"/>
          <w:szCs w:val="21"/>
        </w:rPr>
      </w:pPr>
    </w:p>
    <w:p w14:paraId="7CDE7ADB">
      <w:pPr>
        <w:tabs>
          <w:tab w:val="left" w:pos="5670"/>
        </w:tabs>
        <w:spacing w:line="288" w:lineRule="auto"/>
        <w:rPr>
          <w:rFonts w:hint="eastAsia" w:ascii="宋体" w:hAnsi="宋体" w:eastAsia="宋体" w:cs="宋体"/>
          <w:b/>
          <w:bCs/>
          <w:color w:val="auto"/>
          <w:sz w:val="21"/>
          <w:szCs w:val="21"/>
        </w:rPr>
      </w:pPr>
    </w:p>
    <w:p w14:paraId="0FF90AF7">
      <w:pPr>
        <w:tabs>
          <w:tab w:val="left" w:pos="5670"/>
        </w:tabs>
        <w:spacing w:line="288" w:lineRule="auto"/>
        <w:rPr>
          <w:rFonts w:hint="eastAsia" w:ascii="宋体" w:hAnsi="宋体" w:eastAsia="宋体" w:cs="宋体"/>
          <w:b/>
          <w:bCs/>
          <w:color w:val="auto"/>
          <w:sz w:val="21"/>
          <w:szCs w:val="21"/>
        </w:rPr>
      </w:pPr>
    </w:p>
    <w:p w14:paraId="42D8F5EF">
      <w:pPr>
        <w:tabs>
          <w:tab w:val="left" w:pos="5670"/>
        </w:tabs>
        <w:spacing w:line="288" w:lineRule="auto"/>
        <w:rPr>
          <w:rFonts w:hint="eastAsia" w:ascii="宋体" w:hAnsi="宋体" w:eastAsia="宋体" w:cs="宋体"/>
          <w:b/>
          <w:bCs/>
          <w:color w:val="auto"/>
          <w:sz w:val="21"/>
          <w:szCs w:val="21"/>
        </w:rPr>
      </w:pPr>
    </w:p>
    <w:p w14:paraId="330BA804">
      <w:pPr>
        <w:tabs>
          <w:tab w:val="left" w:pos="5670"/>
        </w:tabs>
        <w:spacing w:line="288"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根据《财政部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民政部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中国残疾人联合会关于促进残疾人就业政府采购政策的通知》（财库〔2017〕141号）的规定：</w:t>
      </w:r>
    </w:p>
    <w:p w14:paraId="52DD9302">
      <w:pPr>
        <w:tabs>
          <w:tab w:val="left" w:pos="5670"/>
        </w:tabs>
        <w:spacing w:line="288"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一、享受政府采购支持政策的残疾人福利性单位应当同时满足以下条件：</w:t>
      </w:r>
    </w:p>
    <w:p w14:paraId="649B9B52">
      <w:pPr>
        <w:tabs>
          <w:tab w:val="left" w:pos="5670"/>
        </w:tabs>
        <w:spacing w:line="288" w:lineRule="auto"/>
        <w:ind w:firstLine="566"/>
        <w:rPr>
          <w:rFonts w:hint="eastAsia" w:ascii="宋体" w:hAnsi="宋体" w:eastAsia="宋体" w:cs="宋体"/>
          <w:color w:val="auto"/>
          <w:sz w:val="21"/>
          <w:szCs w:val="21"/>
        </w:rPr>
      </w:pPr>
      <w:r>
        <w:rPr>
          <w:rFonts w:hint="eastAsia" w:ascii="宋体" w:hAnsi="宋体" w:eastAsia="宋体" w:cs="宋体"/>
          <w:color w:val="auto"/>
          <w:sz w:val="21"/>
          <w:szCs w:val="21"/>
        </w:rPr>
        <w:t>（一）安置的残疾人占本单位在职职工人数的比例不低于25%（含25%），并且安置的残疾人人数不少于10人（含10人）；</w:t>
      </w:r>
    </w:p>
    <w:p w14:paraId="6EBDF50A">
      <w:pPr>
        <w:tabs>
          <w:tab w:val="left" w:pos="5670"/>
        </w:tabs>
        <w:spacing w:line="288" w:lineRule="auto"/>
        <w:ind w:firstLine="566"/>
        <w:rPr>
          <w:rFonts w:hint="eastAsia" w:ascii="宋体" w:hAnsi="宋体" w:eastAsia="宋体" w:cs="宋体"/>
          <w:color w:val="auto"/>
          <w:sz w:val="21"/>
          <w:szCs w:val="21"/>
        </w:rPr>
      </w:pPr>
      <w:r>
        <w:rPr>
          <w:rFonts w:hint="eastAsia" w:ascii="宋体" w:hAnsi="宋体" w:eastAsia="宋体" w:cs="宋体"/>
          <w:color w:val="auto"/>
          <w:sz w:val="21"/>
          <w:szCs w:val="21"/>
        </w:rPr>
        <w:t>（二）依法与安置的每位残疾人签订了一年以上（含一年）的劳动合同或服务协议；</w:t>
      </w:r>
    </w:p>
    <w:p w14:paraId="777FE9B1">
      <w:pPr>
        <w:tabs>
          <w:tab w:val="left" w:pos="5670"/>
        </w:tabs>
        <w:spacing w:line="288" w:lineRule="auto"/>
        <w:ind w:firstLine="566"/>
        <w:rPr>
          <w:rFonts w:hint="eastAsia" w:ascii="宋体" w:hAnsi="宋体" w:eastAsia="宋体" w:cs="宋体"/>
          <w:color w:val="auto"/>
          <w:sz w:val="21"/>
          <w:szCs w:val="21"/>
        </w:rPr>
      </w:pPr>
      <w:r>
        <w:rPr>
          <w:rFonts w:hint="eastAsia" w:ascii="宋体" w:hAnsi="宋体" w:eastAsia="宋体" w:cs="宋体"/>
          <w:color w:val="auto"/>
          <w:sz w:val="21"/>
          <w:szCs w:val="21"/>
        </w:rPr>
        <w:t>（三）为安置的每位残疾人按月足额缴纳了基本养老保险、基本医疗保险、失业保险、工伤保险和生育保险等社会保险费；</w:t>
      </w:r>
    </w:p>
    <w:p w14:paraId="7659DBF4">
      <w:pPr>
        <w:tabs>
          <w:tab w:val="left" w:pos="5670"/>
        </w:tabs>
        <w:spacing w:line="288" w:lineRule="auto"/>
        <w:ind w:firstLine="566"/>
        <w:rPr>
          <w:rFonts w:hint="eastAsia" w:ascii="宋体" w:hAnsi="宋体" w:eastAsia="宋体" w:cs="宋体"/>
          <w:color w:val="auto"/>
          <w:sz w:val="21"/>
          <w:szCs w:val="21"/>
        </w:rPr>
      </w:pPr>
      <w:r>
        <w:rPr>
          <w:rFonts w:hint="eastAsia" w:ascii="宋体" w:hAnsi="宋体" w:eastAsia="宋体" w:cs="宋体"/>
          <w:color w:val="auto"/>
          <w:sz w:val="21"/>
          <w:szCs w:val="21"/>
        </w:rPr>
        <w:t>（四）通过银行等金融机构向安置的每位残疾人，按月支付了不低于单位所在区县适用的经省级人民政府批准的月最低工资标准的工资；</w:t>
      </w:r>
    </w:p>
    <w:p w14:paraId="59432D4A">
      <w:pPr>
        <w:tabs>
          <w:tab w:val="left" w:pos="5670"/>
        </w:tabs>
        <w:spacing w:line="288" w:lineRule="auto"/>
        <w:ind w:firstLine="566"/>
        <w:rPr>
          <w:rFonts w:hint="eastAsia" w:ascii="宋体" w:hAnsi="宋体" w:eastAsia="宋体" w:cs="宋体"/>
          <w:color w:val="auto"/>
          <w:sz w:val="21"/>
          <w:szCs w:val="21"/>
        </w:rPr>
      </w:pPr>
      <w:r>
        <w:rPr>
          <w:rFonts w:hint="eastAsia" w:ascii="宋体" w:hAnsi="宋体" w:eastAsia="宋体" w:cs="宋体"/>
          <w:color w:val="auto"/>
          <w:sz w:val="21"/>
          <w:szCs w:val="21"/>
        </w:rPr>
        <w:t>（五）提供本单位承担的服务（以下简称产品），或者提供其他残疾人福利性单位提供的服。</w:t>
      </w:r>
    </w:p>
    <w:p w14:paraId="5E1F1E6A">
      <w:pPr>
        <w:tabs>
          <w:tab w:val="left" w:pos="5670"/>
        </w:tabs>
        <w:spacing w:line="288" w:lineRule="auto"/>
        <w:ind w:firstLine="566"/>
        <w:rPr>
          <w:rFonts w:hint="eastAsia" w:ascii="宋体" w:hAnsi="宋体" w:eastAsia="宋体" w:cs="宋体"/>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86DF367">
      <w:pPr>
        <w:tabs>
          <w:tab w:val="left" w:pos="5670"/>
        </w:tabs>
        <w:spacing w:line="288" w:lineRule="auto"/>
        <w:ind w:firstLine="420" w:firstLineChars="200"/>
        <w:jc w:val="center"/>
        <w:rPr>
          <w:rFonts w:hint="eastAsia" w:ascii="宋体" w:hAnsi="宋体" w:eastAsia="宋体" w:cs="宋体"/>
          <w:b/>
          <w:bCs/>
          <w:color w:val="auto"/>
          <w:sz w:val="21"/>
          <w:szCs w:val="21"/>
        </w:rPr>
      </w:pPr>
      <w:r>
        <w:rPr>
          <w:rFonts w:hint="eastAsia" w:ascii="宋体" w:hAnsi="宋体" w:eastAsia="宋体" w:cs="宋体"/>
          <w:color w:val="auto"/>
          <w:sz w:val="21"/>
          <w:szCs w:val="21"/>
        </w:rPr>
        <w:t>二、中标、成交投标人为残疾人福利性单位的，采购人或者其委托的采购代理机构应当随中标、成交结果同时公告其《残疾人福利性单位声明函》，接受社会监督。</w:t>
      </w:r>
      <w:bookmarkStart w:id="233" w:name="_Toc48834337"/>
      <w:r>
        <w:rPr>
          <w:rFonts w:hint="eastAsia" w:ascii="宋体" w:hAnsi="宋体" w:eastAsia="宋体" w:cs="宋体"/>
          <w:b/>
          <w:bCs/>
          <w:color w:val="auto"/>
          <w:sz w:val="21"/>
          <w:szCs w:val="21"/>
        </w:rPr>
        <w:br w:type="page"/>
      </w:r>
      <w:r>
        <w:rPr>
          <w:rFonts w:hint="eastAsia" w:ascii="宋体" w:hAnsi="宋体" w:eastAsia="宋体" w:cs="宋体"/>
          <w:b/>
          <w:bCs/>
          <w:color w:val="auto"/>
          <w:sz w:val="28"/>
          <w:szCs w:val="28"/>
        </w:rPr>
        <w:t>监狱企业证明函</w:t>
      </w:r>
      <w:bookmarkEnd w:id="233"/>
    </w:p>
    <w:p w14:paraId="6FE0C596">
      <w:pPr>
        <w:spacing w:line="288" w:lineRule="auto"/>
        <w:ind w:firstLine="420" w:firstLineChars="200"/>
        <w:rPr>
          <w:rFonts w:hint="eastAsia" w:ascii="宋体" w:hAnsi="宋体" w:eastAsia="宋体" w:cs="宋体"/>
          <w:color w:val="auto"/>
          <w:sz w:val="21"/>
          <w:szCs w:val="21"/>
        </w:rPr>
      </w:pPr>
    </w:p>
    <w:p w14:paraId="7FA59D6F">
      <w:pPr>
        <w:spacing w:line="288" w:lineRule="auto"/>
        <w:ind w:firstLine="480" w:firstLineChars="200"/>
        <w:rPr>
          <w:rFonts w:hint="eastAsia" w:ascii="宋体" w:hAnsi="宋体" w:eastAsia="宋体" w:cs="宋体"/>
          <w:color w:val="auto"/>
          <w:sz w:val="21"/>
          <w:szCs w:val="21"/>
        </w:rPr>
      </w:pPr>
      <w:r>
        <w:rPr>
          <w:rFonts w:hint="eastAsia" w:ascii="宋体" w:hAnsi="宋体" w:eastAsia="宋体" w:cs="宋体"/>
          <w:color w:val="auto"/>
          <w:szCs w:val="24"/>
        </w:rPr>
        <w:t>监狱企业参加政府采购活动，要求享受相关优惠政策的，应当提供由省级以上监狱管理局、戒毒管理局（含新疆生产建设兵团）出具的属于监狱企业的证明文件。</w:t>
      </w:r>
    </w:p>
    <w:p w14:paraId="6F06477B">
      <w:pPr>
        <w:spacing w:line="288" w:lineRule="auto"/>
        <w:rPr>
          <w:rFonts w:hint="eastAsia" w:ascii="宋体" w:hAnsi="宋体" w:eastAsia="宋体" w:cs="宋体"/>
          <w:color w:val="auto"/>
          <w:sz w:val="21"/>
          <w:szCs w:val="21"/>
        </w:rPr>
      </w:pPr>
    </w:p>
    <w:p w14:paraId="05CD77F4">
      <w:pPr>
        <w:spacing w:line="288" w:lineRule="auto"/>
        <w:rPr>
          <w:rFonts w:hint="eastAsia" w:ascii="宋体" w:hAnsi="宋体" w:eastAsia="宋体" w:cs="宋体"/>
          <w:b/>
          <w:bCs/>
          <w:color w:val="auto"/>
          <w:sz w:val="21"/>
          <w:szCs w:val="21"/>
        </w:rPr>
      </w:pPr>
    </w:p>
    <w:p w14:paraId="48F4BE18">
      <w:pPr>
        <w:spacing w:line="288" w:lineRule="auto"/>
        <w:rPr>
          <w:rFonts w:hint="eastAsia" w:ascii="宋体" w:hAnsi="宋体" w:eastAsia="宋体" w:cs="宋体"/>
          <w:b/>
          <w:bCs/>
          <w:color w:val="auto"/>
          <w:sz w:val="21"/>
          <w:szCs w:val="21"/>
        </w:rPr>
      </w:pPr>
    </w:p>
    <w:p w14:paraId="44832DDF">
      <w:pPr>
        <w:spacing w:line="288" w:lineRule="auto"/>
        <w:rPr>
          <w:rFonts w:hint="eastAsia" w:ascii="宋体" w:hAnsi="宋体" w:eastAsia="宋体" w:cs="宋体"/>
          <w:b/>
          <w:bCs/>
          <w:color w:val="auto"/>
          <w:sz w:val="21"/>
          <w:szCs w:val="21"/>
        </w:rPr>
      </w:pPr>
    </w:p>
    <w:p w14:paraId="15E9B858">
      <w:pPr>
        <w:spacing w:line="288" w:lineRule="auto"/>
        <w:rPr>
          <w:rFonts w:hint="eastAsia" w:ascii="宋体" w:hAnsi="宋体" w:eastAsia="宋体" w:cs="宋体"/>
          <w:b/>
          <w:bCs/>
          <w:color w:val="auto"/>
          <w:sz w:val="21"/>
          <w:szCs w:val="21"/>
        </w:rPr>
      </w:pPr>
    </w:p>
    <w:p w14:paraId="6F95C763">
      <w:pPr>
        <w:spacing w:line="288" w:lineRule="auto"/>
        <w:rPr>
          <w:rFonts w:hint="eastAsia" w:ascii="宋体" w:hAnsi="宋体" w:eastAsia="宋体" w:cs="宋体"/>
          <w:b/>
          <w:bCs/>
          <w:color w:val="auto"/>
          <w:sz w:val="21"/>
          <w:szCs w:val="21"/>
        </w:rPr>
      </w:pPr>
    </w:p>
    <w:p w14:paraId="132294A9">
      <w:pPr>
        <w:spacing w:line="288" w:lineRule="auto"/>
        <w:rPr>
          <w:rFonts w:hint="eastAsia" w:ascii="宋体" w:hAnsi="宋体" w:eastAsia="宋体" w:cs="宋体"/>
          <w:b/>
          <w:bCs/>
          <w:color w:val="auto"/>
          <w:sz w:val="21"/>
          <w:szCs w:val="21"/>
        </w:rPr>
      </w:pPr>
    </w:p>
    <w:p w14:paraId="03487A0A">
      <w:pPr>
        <w:spacing w:line="288" w:lineRule="auto"/>
        <w:rPr>
          <w:rFonts w:hint="eastAsia" w:ascii="宋体" w:hAnsi="宋体" w:eastAsia="宋体" w:cs="宋体"/>
          <w:b/>
          <w:bCs/>
          <w:color w:val="auto"/>
          <w:sz w:val="21"/>
          <w:szCs w:val="21"/>
        </w:rPr>
      </w:pPr>
    </w:p>
    <w:p w14:paraId="4983FA18">
      <w:pPr>
        <w:spacing w:line="288" w:lineRule="auto"/>
        <w:rPr>
          <w:rFonts w:hint="eastAsia" w:ascii="宋体" w:hAnsi="宋体" w:eastAsia="宋体" w:cs="宋体"/>
          <w:b/>
          <w:bCs/>
          <w:color w:val="auto"/>
          <w:sz w:val="21"/>
          <w:szCs w:val="21"/>
        </w:rPr>
      </w:pPr>
    </w:p>
    <w:p w14:paraId="2DB9FC65">
      <w:pPr>
        <w:spacing w:line="288" w:lineRule="auto"/>
        <w:rPr>
          <w:rFonts w:hint="eastAsia" w:ascii="宋体" w:hAnsi="宋体" w:eastAsia="宋体" w:cs="宋体"/>
          <w:b/>
          <w:bCs/>
          <w:color w:val="auto"/>
          <w:sz w:val="21"/>
          <w:szCs w:val="21"/>
        </w:rPr>
      </w:pPr>
    </w:p>
    <w:p w14:paraId="68652961">
      <w:pPr>
        <w:spacing w:line="288" w:lineRule="auto"/>
        <w:rPr>
          <w:rFonts w:hint="eastAsia" w:ascii="宋体" w:hAnsi="宋体" w:eastAsia="宋体" w:cs="宋体"/>
          <w:b/>
          <w:bCs/>
          <w:color w:val="auto"/>
          <w:sz w:val="21"/>
          <w:szCs w:val="21"/>
        </w:rPr>
      </w:pPr>
    </w:p>
    <w:p w14:paraId="11A2AFC4">
      <w:pPr>
        <w:spacing w:line="288" w:lineRule="auto"/>
        <w:rPr>
          <w:rFonts w:hint="eastAsia" w:ascii="宋体" w:hAnsi="宋体" w:eastAsia="宋体" w:cs="宋体"/>
          <w:b/>
          <w:bCs/>
          <w:color w:val="auto"/>
          <w:sz w:val="21"/>
          <w:szCs w:val="21"/>
        </w:rPr>
      </w:pPr>
    </w:p>
    <w:p w14:paraId="39EDCCE0">
      <w:pPr>
        <w:spacing w:line="288" w:lineRule="auto"/>
        <w:rPr>
          <w:rFonts w:hint="eastAsia" w:ascii="宋体" w:hAnsi="宋体" w:eastAsia="宋体" w:cs="宋体"/>
          <w:b/>
          <w:bCs/>
          <w:color w:val="auto"/>
          <w:sz w:val="21"/>
          <w:szCs w:val="21"/>
        </w:rPr>
      </w:pPr>
    </w:p>
    <w:p w14:paraId="47E37CE8">
      <w:pPr>
        <w:spacing w:line="288" w:lineRule="auto"/>
        <w:rPr>
          <w:rFonts w:hint="eastAsia" w:ascii="宋体" w:hAnsi="宋体" w:eastAsia="宋体" w:cs="宋体"/>
          <w:b/>
          <w:bCs/>
          <w:color w:val="auto"/>
          <w:sz w:val="21"/>
          <w:szCs w:val="21"/>
        </w:rPr>
      </w:pPr>
    </w:p>
    <w:p w14:paraId="53FD544B">
      <w:pPr>
        <w:spacing w:line="288" w:lineRule="auto"/>
        <w:rPr>
          <w:rFonts w:hint="eastAsia" w:ascii="宋体" w:hAnsi="宋体" w:eastAsia="宋体" w:cs="宋体"/>
          <w:b/>
          <w:bCs/>
          <w:color w:val="auto"/>
          <w:sz w:val="21"/>
          <w:szCs w:val="21"/>
        </w:rPr>
      </w:pPr>
    </w:p>
    <w:p w14:paraId="4C7F049B">
      <w:pPr>
        <w:spacing w:line="288" w:lineRule="auto"/>
        <w:rPr>
          <w:rFonts w:hint="eastAsia" w:ascii="宋体" w:hAnsi="宋体" w:eastAsia="宋体" w:cs="宋体"/>
          <w:b/>
          <w:bCs/>
          <w:color w:val="auto"/>
          <w:sz w:val="21"/>
          <w:szCs w:val="21"/>
        </w:rPr>
      </w:pPr>
    </w:p>
    <w:p w14:paraId="27DA6A13">
      <w:pPr>
        <w:spacing w:line="288" w:lineRule="auto"/>
        <w:rPr>
          <w:rFonts w:hint="eastAsia" w:ascii="宋体" w:hAnsi="宋体" w:eastAsia="宋体" w:cs="宋体"/>
          <w:b/>
          <w:bCs/>
          <w:color w:val="auto"/>
          <w:sz w:val="21"/>
          <w:szCs w:val="21"/>
        </w:rPr>
      </w:pPr>
    </w:p>
    <w:p w14:paraId="71191CB0">
      <w:pPr>
        <w:spacing w:line="288" w:lineRule="auto"/>
        <w:rPr>
          <w:rFonts w:hint="eastAsia" w:ascii="宋体" w:hAnsi="宋体" w:eastAsia="宋体" w:cs="宋体"/>
          <w:b/>
          <w:bCs/>
          <w:color w:val="auto"/>
          <w:sz w:val="21"/>
          <w:szCs w:val="21"/>
        </w:rPr>
      </w:pPr>
    </w:p>
    <w:p w14:paraId="08080350">
      <w:pPr>
        <w:spacing w:line="288" w:lineRule="auto"/>
        <w:rPr>
          <w:rFonts w:hint="eastAsia" w:ascii="宋体" w:hAnsi="宋体" w:eastAsia="宋体" w:cs="宋体"/>
          <w:b/>
          <w:bCs/>
          <w:color w:val="auto"/>
          <w:sz w:val="21"/>
          <w:szCs w:val="21"/>
        </w:rPr>
      </w:pPr>
    </w:p>
    <w:p w14:paraId="3833F856">
      <w:pPr>
        <w:spacing w:line="288" w:lineRule="auto"/>
        <w:rPr>
          <w:rFonts w:hint="eastAsia" w:ascii="宋体" w:hAnsi="宋体" w:eastAsia="宋体" w:cs="宋体"/>
          <w:b/>
          <w:bCs/>
          <w:color w:val="auto"/>
          <w:sz w:val="21"/>
          <w:szCs w:val="21"/>
        </w:rPr>
      </w:pPr>
    </w:p>
    <w:p w14:paraId="7A82C9D2">
      <w:pPr>
        <w:spacing w:line="288" w:lineRule="auto"/>
        <w:rPr>
          <w:rFonts w:hint="eastAsia" w:ascii="宋体" w:hAnsi="宋体" w:eastAsia="宋体" w:cs="宋体"/>
          <w:b/>
          <w:bCs/>
          <w:color w:val="auto"/>
          <w:sz w:val="21"/>
          <w:szCs w:val="16"/>
        </w:rPr>
      </w:pPr>
      <w:r>
        <w:rPr>
          <w:rFonts w:hint="eastAsia" w:ascii="宋体" w:hAnsi="宋体" w:eastAsia="宋体" w:cs="宋体"/>
          <w:b/>
          <w:bCs/>
          <w:color w:val="auto"/>
          <w:szCs w:val="24"/>
        </w:rPr>
        <w:t>注：</w:t>
      </w:r>
      <w:r>
        <w:rPr>
          <w:rFonts w:hint="eastAsia" w:ascii="宋体" w:hAnsi="宋体" w:eastAsia="宋体" w:cs="宋体"/>
          <w:color w:val="auto"/>
          <w:szCs w:val="24"/>
        </w:rPr>
        <w:t>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auto"/>
          <w:sz w:val="21"/>
          <w:szCs w:val="21"/>
        </w:rPr>
        <w:br w:type="page"/>
      </w:r>
    </w:p>
    <w:p w14:paraId="29BC6704">
      <w:pPr>
        <w:jc w:val="center"/>
        <w:rPr>
          <w:rFonts w:hint="eastAsia" w:ascii="宋体" w:hAnsi="宋体" w:eastAsia="宋体" w:cs="宋体"/>
          <w:color w:val="auto"/>
        </w:rPr>
      </w:pPr>
      <w:r>
        <w:rPr>
          <w:rFonts w:hint="eastAsia" w:ascii="宋体" w:hAnsi="宋体" w:eastAsia="宋体" w:cs="宋体"/>
          <w:b/>
          <w:bCs/>
          <w:color w:val="auto"/>
          <w:sz w:val="28"/>
          <w:szCs w:val="28"/>
        </w:rPr>
        <w:t>四、其他</w:t>
      </w:r>
    </w:p>
    <w:p w14:paraId="7872D257">
      <w:pPr>
        <w:pStyle w:val="21"/>
        <w:ind w:firstLine="240"/>
        <w:rPr>
          <w:rFonts w:hint="eastAsia" w:ascii="宋体" w:hAnsi="宋体" w:eastAsia="宋体" w:cs="宋体"/>
          <w:color w:val="auto"/>
        </w:rPr>
      </w:pPr>
      <w:r>
        <w:rPr>
          <w:rFonts w:hint="eastAsia" w:ascii="宋体" w:hAnsi="宋体" w:eastAsia="宋体" w:cs="宋体"/>
          <w:color w:val="auto"/>
          <w:sz w:val="24"/>
          <w:szCs w:val="24"/>
        </w:rPr>
        <w:t>投标认为有必要提供的资料。</w:t>
      </w:r>
    </w:p>
    <w:p w14:paraId="7823A26A">
      <w:pPr>
        <w:spacing w:line="288" w:lineRule="auto"/>
        <w:rPr>
          <w:rFonts w:hint="eastAsia" w:ascii="宋体" w:hAnsi="宋体" w:eastAsia="宋体" w:cs="宋体"/>
          <w:color w:val="auto"/>
          <w:sz w:val="21"/>
          <w:szCs w:val="21"/>
        </w:rPr>
      </w:pPr>
    </w:p>
    <w:p w14:paraId="505D456C">
      <w:pPr>
        <w:rPr>
          <w:rFonts w:hint="eastAsia" w:ascii="宋体" w:hAnsi="宋体" w:eastAsia="宋体" w:cs="宋体"/>
          <w:b/>
          <w:bCs/>
          <w:color w:val="auto"/>
          <w:sz w:val="21"/>
          <w:szCs w:val="16"/>
        </w:rPr>
      </w:pPr>
      <w:r>
        <w:rPr>
          <w:rFonts w:hint="eastAsia" w:ascii="宋体" w:hAnsi="宋体" w:eastAsia="宋体" w:cs="宋体"/>
          <w:color w:val="auto"/>
          <w:sz w:val="21"/>
          <w:szCs w:val="21"/>
        </w:rPr>
        <w:br w:type="page"/>
      </w:r>
    </w:p>
    <w:p w14:paraId="592E1470">
      <w:pPr>
        <w:jc w:val="center"/>
        <w:rPr>
          <w:rFonts w:hint="eastAsia" w:ascii="宋体" w:hAnsi="宋体" w:eastAsia="宋体" w:cs="宋体"/>
          <w:b/>
          <w:color w:val="auto"/>
          <w:sz w:val="21"/>
          <w:szCs w:val="21"/>
        </w:rPr>
      </w:pPr>
      <w:r>
        <w:rPr>
          <w:rFonts w:hint="eastAsia" w:ascii="宋体" w:hAnsi="宋体" w:eastAsia="宋体" w:cs="宋体"/>
          <w:b/>
          <w:bCs/>
          <w:color w:val="auto"/>
          <w:sz w:val="32"/>
          <w:szCs w:val="32"/>
        </w:rPr>
        <w:t>第五部分 投标人参加政府采购活动承诺书</w:t>
      </w:r>
    </w:p>
    <w:p w14:paraId="1BA3B2F6">
      <w:pPr>
        <w:spacing w:line="288" w:lineRule="auto"/>
        <w:rPr>
          <w:rFonts w:hint="eastAsia" w:ascii="宋体" w:hAnsi="宋体" w:eastAsia="宋体" w:cs="宋体"/>
          <w:b/>
          <w:color w:val="auto"/>
          <w:sz w:val="21"/>
          <w:szCs w:val="21"/>
        </w:rPr>
      </w:pPr>
      <w:r>
        <w:rPr>
          <w:rFonts w:hint="eastAsia" w:ascii="宋体" w:hAnsi="宋体" w:eastAsia="宋体" w:cs="宋体"/>
          <w:b/>
          <w:color w:val="auto"/>
          <w:sz w:val="28"/>
          <w:szCs w:val="28"/>
        </w:rPr>
        <w:t>（一）质量安全责任承诺书</w:t>
      </w:r>
    </w:p>
    <w:p w14:paraId="2446078B">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为保证本采购项目顺利进行，作为投标人，现郑重承诺：</w:t>
      </w:r>
    </w:p>
    <w:p w14:paraId="5E5F75A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1、我方投标产品的生产（包括设计、制造、安装、改造、维修等）、投入使用的材料等均完全符合国家现行质量、安全、环保标准和要求。</w:t>
      </w:r>
    </w:p>
    <w:p w14:paraId="0EDB9604">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2、我方将严格按照国家现行相关储存、运输、安装调试技术标准及规范、服务标准及规范、施工标准及规范，在规定的时限内，保质、保量完成项目全部内容，并向采购人交付合格产品。</w:t>
      </w:r>
    </w:p>
    <w:p w14:paraId="660C1A12">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3、对于因产品生产质量以及储存、运输、安装调试、服务、施工等过程中产生的任何安全事故，我方承担全部责任。</w:t>
      </w:r>
    </w:p>
    <w:p w14:paraId="0CE6841F">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4、我方提供的服务符合现行的国家、行业、地区、企业标准及要求，标准不一致的，以更为严格的为准，我方对提供的服务的质量、安全、环保等承担全部责任。</w:t>
      </w:r>
    </w:p>
    <w:p w14:paraId="563819A4">
      <w:pPr>
        <w:spacing w:line="360" w:lineRule="auto"/>
        <w:ind w:firstLine="480" w:firstLineChars="200"/>
        <w:rPr>
          <w:rFonts w:hint="eastAsia" w:ascii="宋体" w:hAnsi="宋体" w:eastAsia="宋体" w:cs="宋体"/>
          <w:color w:val="auto"/>
          <w:szCs w:val="24"/>
        </w:rPr>
      </w:pPr>
    </w:p>
    <w:p w14:paraId="14DCD79C">
      <w:pPr>
        <w:spacing w:line="360" w:lineRule="auto"/>
        <w:ind w:firstLine="3960" w:firstLineChars="1800"/>
        <w:rPr>
          <w:rFonts w:hint="eastAsia" w:ascii="宋体" w:hAnsi="宋体" w:eastAsia="宋体" w:cs="宋体"/>
          <w:color w:val="auto"/>
          <w:szCs w:val="24"/>
        </w:rPr>
      </w:pPr>
      <w:r>
        <w:rPr>
          <w:rFonts w:hint="eastAsia" w:ascii="宋体" w:hAnsi="宋体" w:eastAsia="宋体" w:cs="宋体"/>
          <w:color w:val="auto"/>
          <w:spacing w:val="-10"/>
          <w:szCs w:val="24"/>
        </w:rPr>
        <w:t xml:space="preserve">   </w:t>
      </w:r>
      <w:r>
        <w:rPr>
          <w:rFonts w:hint="eastAsia" w:ascii="宋体" w:hAnsi="宋体" w:eastAsia="宋体" w:cs="宋体"/>
          <w:color w:val="auto"/>
          <w:spacing w:val="-10"/>
          <w:szCs w:val="24"/>
          <w:u w:val="none"/>
        </w:rPr>
        <w:t>投标人名称</w:t>
      </w:r>
      <w:r>
        <w:rPr>
          <w:rFonts w:hint="eastAsia" w:ascii="宋体" w:hAnsi="宋体" w:eastAsia="宋体" w:cs="宋体"/>
          <w:color w:val="auto"/>
          <w:spacing w:val="-10"/>
          <w:szCs w:val="24"/>
          <w:u w:val="single"/>
          <w:lang w:eastAsia="zh-CN"/>
        </w:rPr>
        <w:t>：</w:t>
      </w:r>
      <w:r>
        <w:rPr>
          <w:rFonts w:hint="eastAsia" w:ascii="宋体" w:hAnsi="宋体" w:eastAsia="宋体" w:cs="宋体"/>
          <w:color w:val="auto"/>
          <w:spacing w:val="-10"/>
          <w:szCs w:val="24"/>
          <w:u w:val="single"/>
          <w:lang w:val="en-US" w:eastAsia="zh-CN"/>
        </w:rPr>
        <w:t xml:space="preserve">                     </w:t>
      </w:r>
      <w:r>
        <w:rPr>
          <w:rFonts w:hint="eastAsia" w:ascii="宋体" w:hAnsi="宋体" w:eastAsia="宋体" w:cs="宋体"/>
          <w:color w:val="auto"/>
          <w:szCs w:val="24"/>
        </w:rPr>
        <w:t>（盖章）</w:t>
      </w:r>
    </w:p>
    <w:p w14:paraId="479FBB67">
      <w:pPr>
        <w:spacing w:line="360" w:lineRule="auto"/>
        <w:ind w:firstLine="7440" w:firstLineChars="3100"/>
        <w:rPr>
          <w:rFonts w:hint="eastAsia" w:ascii="宋体" w:hAnsi="宋体" w:eastAsia="宋体" w:cs="宋体"/>
          <w:color w:val="auto"/>
          <w:szCs w:val="24"/>
        </w:rPr>
      </w:pPr>
      <w:r>
        <w:rPr>
          <w:rFonts w:hint="eastAsia" w:ascii="宋体" w:hAnsi="宋体" w:eastAsia="宋体" w:cs="宋体"/>
          <w:color w:val="auto"/>
          <w:szCs w:val="24"/>
        </w:rPr>
        <w:t>年　月　日</w:t>
      </w:r>
    </w:p>
    <w:p w14:paraId="56896BB3">
      <w:pPr>
        <w:rPr>
          <w:rFonts w:hint="eastAsia" w:ascii="宋体" w:hAnsi="宋体" w:eastAsia="宋体" w:cs="宋体"/>
          <w:b/>
          <w:color w:val="auto"/>
          <w:sz w:val="21"/>
          <w:szCs w:val="21"/>
        </w:rPr>
      </w:pPr>
    </w:p>
    <w:p w14:paraId="4D39885B">
      <w:pPr>
        <w:rPr>
          <w:rFonts w:hint="eastAsia" w:ascii="宋体" w:hAnsi="宋体" w:eastAsia="宋体" w:cs="宋体"/>
          <w:b/>
          <w:color w:val="auto"/>
          <w:sz w:val="21"/>
          <w:szCs w:val="21"/>
        </w:rPr>
      </w:pPr>
    </w:p>
    <w:p w14:paraId="01496401">
      <w:pPr>
        <w:rPr>
          <w:rFonts w:hint="eastAsia" w:ascii="宋体" w:hAnsi="宋体" w:eastAsia="宋体" w:cs="宋体"/>
          <w:b/>
          <w:color w:val="auto"/>
          <w:sz w:val="28"/>
          <w:szCs w:val="28"/>
        </w:rPr>
        <w:sectPr>
          <w:headerReference r:id="rId7" w:type="default"/>
          <w:footerReference r:id="rId8" w:type="default"/>
          <w:pgSz w:w="11906" w:h="16838"/>
          <w:pgMar w:top="1440" w:right="1800" w:bottom="1440" w:left="1800" w:header="850" w:footer="850" w:gutter="0"/>
          <w:pgNumType w:fmt="decimal"/>
          <w:cols w:space="425" w:num="1"/>
          <w:docGrid w:type="lines" w:linePitch="326" w:charSpace="0"/>
        </w:sectPr>
      </w:pPr>
    </w:p>
    <w:p w14:paraId="09DD8C94">
      <w:pPr>
        <w:rPr>
          <w:rFonts w:hint="eastAsia" w:ascii="宋体" w:hAnsi="宋体" w:eastAsia="宋体" w:cs="宋体"/>
          <w:b/>
          <w:color w:val="auto"/>
          <w:sz w:val="21"/>
          <w:szCs w:val="21"/>
        </w:rPr>
      </w:pPr>
      <w:r>
        <w:rPr>
          <w:rFonts w:hint="eastAsia" w:ascii="宋体" w:hAnsi="宋体" w:eastAsia="宋体" w:cs="宋体"/>
          <w:b/>
          <w:color w:val="auto"/>
          <w:sz w:val="28"/>
          <w:szCs w:val="28"/>
        </w:rPr>
        <w:t>（二）拒绝政府采购领域商业贿赂承诺书</w:t>
      </w:r>
    </w:p>
    <w:p w14:paraId="1A36975D">
      <w:pPr>
        <w:overflowPunct w:val="0"/>
        <w:topLinePunct/>
        <w:spacing w:line="288"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（执行陕财办采管〔2006〕21号文件）</w:t>
      </w:r>
    </w:p>
    <w:p w14:paraId="5AF3D554">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为响应党中央、国务院关于治理政府采购领域商业贿赂行为的号召，我公司在此庄严承诺：</w:t>
      </w:r>
    </w:p>
    <w:p w14:paraId="7D921B3C">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1、在参与政府采购活动中遵纪守法、诚信经营、公平竞标。</w:t>
      </w:r>
    </w:p>
    <w:p w14:paraId="44563B57">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2、不向政府采购人、采购代理机构和政府采购评审专家进行任何形式的商业贿赂以谋取交易机会。</w:t>
      </w:r>
    </w:p>
    <w:p w14:paraId="44AFCCA2">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3、不向政府采购代理机构和采购人提供虚假资质文件或采用虚假应标方式参与政府采购市场竞争并谋取中标、成交。</w:t>
      </w:r>
    </w:p>
    <w:p w14:paraId="1F2FEEC7">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4、不采取“围标、陪标”等商业欺诈手段获得政府采购定单。</w:t>
      </w:r>
    </w:p>
    <w:p w14:paraId="0A9CAB3F">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5、不采取不正当手段诋毁、排挤其他投标人。</w:t>
      </w:r>
    </w:p>
    <w:p w14:paraId="40E71C19">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6、不在提供商品和服务时“偷梁换柱、以次充好”损害采购人的合法权益。</w:t>
      </w:r>
    </w:p>
    <w:p w14:paraId="1DA34027">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7、不与采购人、采购代理机构政府采购评审专家或其它投标人恶意串通，进行质疑和投诉，维护政府采购市场秩序。</w:t>
      </w:r>
    </w:p>
    <w:p w14:paraId="3576B74B">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8、尊重和接受政府采购监督管理部门的监督和政府采购代理机构招标采购要求，承担因违约行为给采购人造成的损失。</w:t>
      </w:r>
    </w:p>
    <w:p w14:paraId="5F141401">
      <w:pPr>
        <w:spacing w:line="288"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9、不发生其他有悖于政府采购公开、公平、公正和诚信原则的行为。</w:t>
      </w:r>
    </w:p>
    <w:p w14:paraId="0CFFACEC">
      <w:pPr>
        <w:spacing w:line="288" w:lineRule="auto"/>
        <w:rPr>
          <w:rFonts w:hint="eastAsia" w:ascii="宋体" w:hAnsi="宋体" w:eastAsia="宋体" w:cs="宋体"/>
          <w:color w:val="auto"/>
          <w:szCs w:val="24"/>
        </w:rPr>
      </w:pPr>
    </w:p>
    <w:p w14:paraId="0D84C7F2">
      <w:pPr>
        <w:spacing w:line="288" w:lineRule="auto"/>
        <w:ind w:firstLine="3960" w:firstLineChars="1800"/>
        <w:rPr>
          <w:rFonts w:hint="eastAsia" w:ascii="宋体" w:hAnsi="宋体" w:eastAsia="宋体" w:cs="宋体"/>
          <w:color w:val="auto"/>
          <w:szCs w:val="24"/>
        </w:rPr>
      </w:pPr>
      <w:r>
        <w:rPr>
          <w:rFonts w:hint="eastAsia" w:ascii="宋体" w:hAnsi="宋体" w:eastAsia="宋体" w:cs="宋体"/>
          <w:color w:val="auto"/>
          <w:spacing w:val="-10"/>
          <w:szCs w:val="24"/>
        </w:rPr>
        <w:t xml:space="preserve">   </w:t>
      </w:r>
      <w:r>
        <w:rPr>
          <w:rFonts w:hint="eastAsia" w:ascii="宋体" w:hAnsi="宋体" w:eastAsia="宋体" w:cs="宋体"/>
          <w:color w:val="auto"/>
          <w:spacing w:val="-10"/>
          <w:szCs w:val="24"/>
          <w:u w:val="none"/>
        </w:rPr>
        <w:t>投标人名称</w:t>
      </w:r>
      <w:r>
        <w:rPr>
          <w:rFonts w:hint="eastAsia" w:ascii="宋体" w:hAnsi="宋体" w:eastAsia="宋体" w:cs="宋体"/>
          <w:color w:val="auto"/>
          <w:spacing w:val="-10"/>
          <w:szCs w:val="24"/>
          <w:u w:val="single"/>
          <w:lang w:eastAsia="zh-CN"/>
        </w:rPr>
        <w:t>：</w:t>
      </w:r>
      <w:r>
        <w:rPr>
          <w:rFonts w:hint="eastAsia" w:ascii="宋体" w:hAnsi="宋体" w:eastAsia="宋体" w:cs="宋体"/>
          <w:color w:val="auto"/>
          <w:spacing w:val="-10"/>
          <w:szCs w:val="24"/>
          <w:u w:val="single"/>
          <w:lang w:val="en-US" w:eastAsia="zh-CN"/>
        </w:rPr>
        <w:t xml:space="preserve">                    </w:t>
      </w:r>
      <w:r>
        <w:rPr>
          <w:rFonts w:hint="eastAsia" w:ascii="宋体" w:hAnsi="宋体" w:eastAsia="宋体" w:cs="宋体"/>
          <w:color w:val="auto"/>
          <w:szCs w:val="24"/>
        </w:rPr>
        <w:t>（盖章）</w:t>
      </w:r>
    </w:p>
    <w:p w14:paraId="4A428CCD">
      <w:pPr>
        <w:rPr>
          <w:rFonts w:hint="eastAsia" w:ascii="宋体" w:hAnsi="宋体" w:eastAsia="宋体" w:cs="宋体"/>
          <w:color w:val="auto"/>
          <w:szCs w:val="24"/>
          <w:lang w:val="en-US" w:eastAsia="zh-CN"/>
        </w:rPr>
      </w:pPr>
      <w:r>
        <w:rPr>
          <w:rFonts w:hint="eastAsia" w:ascii="宋体" w:hAnsi="宋体" w:eastAsia="宋体" w:cs="宋体"/>
          <w:color w:val="auto"/>
          <w:szCs w:val="24"/>
        </w:rPr>
        <w:t xml:space="preserve">　                                  </w:t>
      </w:r>
      <w:r>
        <w:rPr>
          <w:rFonts w:hint="eastAsia" w:ascii="宋体" w:hAnsi="宋体" w:eastAsia="宋体" w:cs="宋体"/>
          <w:color w:val="auto"/>
          <w:szCs w:val="24"/>
          <w:lang w:val="en-US" w:eastAsia="zh-CN"/>
        </w:rPr>
        <w:t xml:space="preserve">                     </w:t>
      </w:r>
    </w:p>
    <w:p w14:paraId="503586D6">
      <w:pPr>
        <w:jc w:val="right"/>
        <w:rPr>
          <w:rFonts w:hint="eastAsia" w:ascii="宋体" w:hAnsi="宋体" w:eastAsia="宋体" w:cs="宋体"/>
          <w:color w:val="auto"/>
          <w:szCs w:val="24"/>
        </w:rPr>
      </w:pPr>
      <w:r>
        <w:rPr>
          <w:rFonts w:hint="eastAsia" w:ascii="宋体" w:hAnsi="宋体" w:eastAsia="宋体" w:cs="宋体"/>
          <w:color w:val="auto"/>
          <w:szCs w:val="24"/>
        </w:rPr>
        <w:t>年　月　日</w:t>
      </w:r>
    </w:p>
    <w:p w14:paraId="0A65E4B0">
      <w:pPr>
        <w:rPr>
          <w:rFonts w:hint="eastAsia" w:ascii="宋体" w:hAnsi="宋体" w:eastAsia="宋体" w:cs="宋体"/>
          <w:b/>
          <w:bCs/>
          <w:color w:val="auto"/>
          <w:sz w:val="21"/>
          <w:szCs w:val="16"/>
        </w:rPr>
      </w:pPr>
      <w:r>
        <w:rPr>
          <w:rFonts w:hint="eastAsia" w:ascii="宋体" w:hAnsi="宋体" w:eastAsia="宋体" w:cs="宋体"/>
          <w:color w:val="auto"/>
          <w:sz w:val="21"/>
          <w:szCs w:val="16"/>
        </w:rPr>
        <w:br w:type="page"/>
      </w:r>
    </w:p>
    <w:p w14:paraId="2C1FE326">
      <w:pPr>
        <w:jc w:val="center"/>
        <w:rPr>
          <w:rFonts w:hint="eastAsia" w:ascii="宋体" w:hAnsi="宋体" w:eastAsia="宋体" w:cs="宋体"/>
          <w:b/>
          <w:bCs/>
          <w:color w:val="auto"/>
          <w:sz w:val="21"/>
          <w:szCs w:val="16"/>
        </w:rPr>
      </w:pPr>
      <w:r>
        <w:rPr>
          <w:rFonts w:hint="eastAsia" w:ascii="宋体" w:hAnsi="宋体" w:eastAsia="宋体" w:cs="宋体"/>
          <w:b/>
          <w:bCs/>
          <w:color w:val="auto"/>
          <w:sz w:val="32"/>
          <w:szCs w:val="32"/>
        </w:rPr>
        <w:t>第六部分 投标响应方案</w:t>
      </w:r>
    </w:p>
    <w:p w14:paraId="6A51E46F">
      <w:pPr>
        <w:spacing w:line="500" w:lineRule="exact"/>
        <w:rPr>
          <w:rFonts w:hint="eastAsia" w:ascii="宋体" w:hAnsi="宋体" w:eastAsia="宋体" w:cs="宋体"/>
          <w:b/>
          <w:color w:val="auto"/>
          <w:sz w:val="21"/>
          <w:szCs w:val="21"/>
        </w:rPr>
      </w:pPr>
      <w:bookmarkStart w:id="234" w:name="_Toc48834205"/>
      <w:bookmarkStart w:id="235" w:name="_Toc4295"/>
      <w:bookmarkStart w:id="236" w:name="_Toc48834338"/>
      <w:bookmarkStart w:id="237" w:name="_Toc3092"/>
      <w:bookmarkStart w:id="238" w:name="_Toc48834135"/>
      <w:bookmarkStart w:id="239" w:name="_Toc12342"/>
      <w:bookmarkStart w:id="240" w:name="_Toc14867"/>
      <w:bookmarkStart w:id="241" w:name="_Toc9336"/>
      <w:bookmarkStart w:id="242" w:name="_Toc3411"/>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商务条款</w:t>
      </w:r>
      <w:r>
        <w:rPr>
          <w:rFonts w:hint="eastAsia" w:ascii="宋体" w:hAnsi="宋体" w:eastAsia="宋体" w:cs="宋体"/>
          <w:b/>
          <w:bCs/>
          <w:color w:val="auto"/>
          <w:sz w:val="28"/>
          <w:szCs w:val="28"/>
        </w:rPr>
        <w:t>偏离表</w:t>
      </w:r>
    </w:p>
    <w:tbl>
      <w:tblPr>
        <w:tblStyle w:val="2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891"/>
        <w:gridCol w:w="2727"/>
        <w:gridCol w:w="1236"/>
        <w:gridCol w:w="2143"/>
      </w:tblGrid>
      <w:tr w14:paraId="551F4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42" w:type="dxa"/>
            <w:shd w:val="clear" w:color="auto" w:fill="D8D8D8"/>
            <w:vAlign w:val="center"/>
          </w:tcPr>
          <w:p w14:paraId="7438641D">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序号</w:t>
            </w:r>
          </w:p>
        </w:tc>
        <w:tc>
          <w:tcPr>
            <w:tcW w:w="2891" w:type="dxa"/>
            <w:shd w:val="clear" w:color="auto" w:fill="D8D8D8"/>
            <w:vAlign w:val="center"/>
          </w:tcPr>
          <w:p w14:paraId="038BB96C">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招标文件要求</w:t>
            </w:r>
          </w:p>
        </w:tc>
        <w:tc>
          <w:tcPr>
            <w:tcW w:w="2727" w:type="dxa"/>
            <w:shd w:val="clear" w:color="auto" w:fill="D8D8D8"/>
            <w:vAlign w:val="center"/>
          </w:tcPr>
          <w:p w14:paraId="5382D183">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投标文件响应条款</w:t>
            </w:r>
          </w:p>
        </w:tc>
        <w:tc>
          <w:tcPr>
            <w:tcW w:w="1236" w:type="dxa"/>
            <w:shd w:val="clear" w:color="auto" w:fill="D8D8D8"/>
            <w:vAlign w:val="center"/>
          </w:tcPr>
          <w:p w14:paraId="4B49EEB2">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偏离程度</w:t>
            </w:r>
          </w:p>
        </w:tc>
        <w:tc>
          <w:tcPr>
            <w:tcW w:w="2143" w:type="dxa"/>
            <w:shd w:val="clear" w:color="auto" w:fill="D8D8D8"/>
            <w:vAlign w:val="center"/>
          </w:tcPr>
          <w:p w14:paraId="6D920523">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偏离简述</w:t>
            </w:r>
          </w:p>
          <w:p w14:paraId="116EBB5A">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或相关证明材料</w:t>
            </w:r>
          </w:p>
        </w:tc>
      </w:tr>
      <w:tr w14:paraId="5B14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71FB5511">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1</w:t>
            </w:r>
          </w:p>
        </w:tc>
        <w:tc>
          <w:tcPr>
            <w:tcW w:w="2891" w:type="dxa"/>
            <w:vAlign w:val="center"/>
          </w:tcPr>
          <w:p w14:paraId="4760F206">
            <w:pPr>
              <w:spacing w:line="500" w:lineRule="exact"/>
              <w:jc w:val="center"/>
              <w:rPr>
                <w:rFonts w:hint="eastAsia" w:ascii="宋体" w:hAnsi="宋体" w:eastAsia="宋体" w:cs="宋体"/>
                <w:color w:val="auto"/>
                <w:szCs w:val="24"/>
              </w:rPr>
            </w:pPr>
          </w:p>
        </w:tc>
        <w:tc>
          <w:tcPr>
            <w:tcW w:w="2727" w:type="dxa"/>
            <w:vAlign w:val="center"/>
          </w:tcPr>
          <w:p w14:paraId="73CD0150">
            <w:pPr>
              <w:spacing w:line="500" w:lineRule="exact"/>
              <w:jc w:val="center"/>
              <w:rPr>
                <w:rFonts w:hint="eastAsia" w:ascii="宋体" w:hAnsi="宋体" w:eastAsia="宋体" w:cs="宋体"/>
                <w:color w:val="auto"/>
                <w:szCs w:val="24"/>
              </w:rPr>
            </w:pPr>
          </w:p>
        </w:tc>
        <w:tc>
          <w:tcPr>
            <w:tcW w:w="1236" w:type="dxa"/>
            <w:vAlign w:val="center"/>
          </w:tcPr>
          <w:p w14:paraId="72B3E8D7">
            <w:pPr>
              <w:spacing w:line="500" w:lineRule="exact"/>
              <w:jc w:val="center"/>
              <w:rPr>
                <w:rFonts w:hint="eastAsia" w:ascii="宋体" w:hAnsi="宋体" w:eastAsia="宋体" w:cs="宋体"/>
                <w:color w:val="auto"/>
                <w:szCs w:val="24"/>
              </w:rPr>
            </w:pPr>
          </w:p>
        </w:tc>
        <w:tc>
          <w:tcPr>
            <w:tcW w:w="2143" w:type="dxa"/>
            <w:vAlign w:val="center"/>
          </w:tcPr>
          <w:p w14:paraId="0616D64B">
            <w:pPr>
              <w:spacing w:line="500" w:lineRule="exact"/>
              <w:jc w:val="center"/>
              <w:rPr>
                <w:rFonts w:hint="eastAsia" w:ascii="宋体" w:hAnsi="宋体" w:eastAsia="宋体" w:cs="宋体"/>
                <w:color w:val="auto"/>
                <w:szCs w:val="24"/>
              </w:rPr>
            </w:pPr>
          </w:p>
        </w:tc>
      </w:tr>
      <w:tr w14:paraId="4CE2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71B95B15">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2</w:t>
            </w:r>
          </w:p>
        </w:tc>
        <w:tc>
          <w:tcPr>
            <w:tcW w:w="2891" w:type="dxa"/>
            <w:vAlign w:val="center"/>
          </w:tcPr>
          <w:p w14:paraId="2C6C0948">
            <w:pPr>
              <w:spacing w:line="500" w:lineRule="exact"/>
              <w:jc w:val="center"/>
              <w:rPr>
                <w:rFonts w:hint="eastAsia" w:ascii="宋体" w:hAnsi="宋体" w:eastAsia="宋体" w:cs="宋体"/>
                <w:color w:val="auto"/>
                <w:szCs w:val="24"/>
              </w:rPr>
            </w:pPr>
          </w:p>
        </w:tc>
        <w:tc>
          <w:tcPr>
            <w:tcW w:w="2727" w:type="dxa"/>
            <w:vAlign w:val="center"/>
          </w:tcPr>
          <w:p w14:paraId="18B8E47B">
            <w:pPr>
              <w:spacing w:line="500" w:lineRule="exact"/>
              <w:jc w:val="center"/>
              <w:rPr>
                <w:rFonts w:hint="eastAsia" w:ascii="宋体" w:hAnsi="宋体" w:eastAsia="宋体" w:cs="宋体"/>
                <w:color w:val="auto"/>
                <w:szCs w:val="24"/>
              </w:rPr>
            </w:pPr>
          </w:p>
        </w:tc>
        <w:tc>
          <w:tcPr>
            <w:tcW w:w="1236" w:type="dxa"/>
            <w:vAlign w:val="center"/>
          </w:tcPr>
          <w:p w14:paraId="561CB28E">
            <w:pPr>
              <w:spacing w:line="500" w:lineRule="exact"/>
              <w:jc w:val="center"/>
              <w:rPr>
                <w:rFonts w:hint="eastAsia" w:ascii="宋体" w:hAnsi="宋体" w:eastAsia="宋体" w:cs="宋体"/>
                <w:color w:val="auto"/>
                <w:szCs w:val="24"/>
              </w:rPr>
            </w:pPr>
          </w:p>
        </w:tc>
        <w:tc>
          <w:tcPr>
            <w:tcW w:w="2143" w:type="dxa"/>
            <w:vAlign w:val="center"/>
          </w:tcPr>
          <w:p w14:paraId="3B4AC281">
            <w:pPr>
              <w:spacing w:line="500" w:lineRule="exact"/>
              <w:jc w:val="center"/>
              <w:rPr>
                <w:rFonts w:hint="eastAsia" w:ascii="宋体" w:hAnsi="宋体" w:eastAsia="宋体" w:cs="宋体"/>
                <w:color w:val="auto"/>
                <w:szCs w:val="24"/>
              </w:rPr>
            </w:pPr>
          </w:p>
        </w:tc>
      </w:tr>
      <w:tr w14:paraId="14D0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556080CD">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3</w:t>
            </w:r>
          </w:p>
        </w:tc>
        <w:tc>
          <w:tcPr>
            <w:tcW w:w="2891" w:type="dxa"/>
            <w:vAlign w:val="center"/>
          </w:tcPr>
          <w:p w14:paraId="7ACC116B">
            <w:pPr>
              <w:spacing w:line="500" w:lineRule="exact"/>
              <w:jc w:val="center"/>
              <w:rPr>
                <w:rFonts w:hint="eastAsia" w:ascii="宋体" w:hAnsi="宋体" w:eastAsia="宋体" w:cs="宋体"/>
                <w:color w:val="auto"/>
                <w:szCs w:val="24"/>
              </w:rPr>
            </w:pPr>
          </w:p>
        </w:tc>
        <w:tc>
          <w:tcPr>
            <w:tcW w:w="2727" w:type="dxa"/>
            <w:vAlign w:val="center"/>
          </w:tcPr>
          <w:p w14:paraId="246837A1">
            <w:pPr>
              <w:spacing w:line="500" w:lineRule="exact"/>
              <w:jc w:val="center"/>
              <w:rPr>
                <w:rFonts w:hint="eastAsia" w:ascii="宋体" w:hAnsi="宋体" w:eastAsia="宋体" w:cs="宋体"/>
                <w:color w:val="auto"/>
                <w:szCs w:val="24"/>
              </w:rPr>
            </w:pPr>
          </w:p>
        </w:tc>
        <w:tc>
          <w:tcPr>
            <w:tcW w:w="1236" w:type="dxa"/>
            <w:vAlign w:val="center"/>
          </w:tcPr>
          <w:p w14:paraId="0A4E43B6">
            <w:pPr>
              <w:spacing w:line="500" w:lineRule="exact"/>
              <w:jc w:val="center"/>
              <w:rPr>
                <w:rFonts w:hint="eastAsia" w:ascii="宋体" w:hAnsi="宋体" w:eastAsia="宋体" w:cs="宋体"/>
                <w:color w:val="auto"/>
                <w:szCs w:val="24"/>
              </w:rPr>
            </w:pPr>
          </w:p>
        </w:tc>
        <w:tc>
          <w:tcPr>
            <w:tcW w:w="2143" w:type="dxa"/>
            <w:vAlign w:val="center"/>
          </w:tcPr>
          <w:p w14:paraId="2AE62A67">
            <w:pPr>
              <w:spacing w:line="500" w:lineRule="exact"/>
              <w:jc w:val="center"/>
              <w:rPr>
                <w:rFonts w:hint="eastAsia" w:ascii="宋体" w:hAnsi="宋体" w:eastAsia="宋体" w:cs="宋体"/>
                <w:color w:val="auto"/>
                <w:szCs w:val="24"/>
              </w:rPr>
            </w:pPr>
          </w:p>
        </w:tc>
      </w:tr>
      <w:tr w14:paraId="7481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3089497B">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4</w:t>
            </w:r>
          </w:p>
        </w:tc>
        <w:tc>
          <w:tcPr>
            <w:tcW w:w="2891" w:type="dxa"/>
            <w:vAlign w:val="center"/>
          </w:tcPr>
          <w:p w14:paraId="194056DD">
            <w:pPr>
              <w:spacing w:line="500" w:lineRule="exact"/>
              <w:jc w:val="center"/>
              <w:rPr>
                <w:rFonts w:hint="eastAsia" w:ascii="宋体" w:hAnsi="宋体" w:eastAsia="宋体" w:cs="宋体"/>
                <w:color w:val="auto"/>
                <w:szCs w:val="24"/>
              </w:rPr>
            </w:pPr>
          </w:p>
        </w:tc>
        <w:tc>
          <w:tcPr>
            <w:tcW w:w="2727" w:type="dxa"/>
            <w:vAlign w:val="center"/>
          </w:tcPr>
          <w:p w14:paraId="3115F428">
            <w:pPr>
              <w:spacing w:line="500" w:lineRule="exact"/>
              <w:jc w:val="center"/>
              <w:rPr>
                <w:rFonts w:hint="eastAsia" w:ascii="宋体" w:hAnsi="宋体" w:eastAsia="宋体" w:cs="宋体"/>
                <w:color w:val="auto"/>
                <w:szCs w:val="24"/>
              </w:rPr>
            </w:pPr>
          </w:p>
        </w:tc>
        <w:tc>
          <w:tcPr>
            <w:tcW w:w="1236" w:type="dxa"/>
            <w:vAlign w:val="center"/>
          </w:tcPr>
          <w:p w14:paraId="6FC6CC70">
            <w:pPr>
              <w:spacing w:line="500" w:lineRule="exact"/>
              <w:jc w:val="center"/>
              <w:rPr>
                <w:rFonts w:hint="eastAsia" w:ascii="宋体" w:hAnsi="宋体" w:eastAsia="宋体" w:cs="宋体"/>
                <w:color w:val="auto"/>
                <w:szCs w:val="24"/>
              </w:rPr>
            </w:pPr>
          </w:p>
        </w:tc>
        <w:tc>
          <w:tcPr>
            <w:tcW w:w="2143" w:type="dxa"/>
            <w:vAlign w:val="center"/>
          </w:tcPr>
          <w:p w14:paraId="4C26B0DE">
            <w:pPr>
              <w:spacing w:line="500" w:lineRule="exact"/>
              <w:jc w:val="center"/>
              <w:rPr>
                <w:rFonts w:hint="eastAsia" w:ascii="宋体" w:hAnsi="宋体" w:eastAsia="宋体" w:cs="宋体"/>
                <w:color w:val="auto"/>
                <w:szCs w:val="24"/>
              </w:rPr>
            </w:pPr>
          </w:p>
        </w:tc>
      </w:tr>
      <w:tr w14:paraId="14B0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7D8E4742">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5</w:t>
            </w:r>
          </w:p>
        </w:tc>
        <w:tc>
          <w:tcPr>
            <w:tcW w:w="2891" w:type="dxa"/>
            <w:vAlign w:val="center"/>
          </w:tcPr>
          <w:p w14:paraId="2D27AF30">
            <w:pPr>
              <w:spacing w:line="500" w:lineRule="exact"/>
              <w:jc w:val="center"/>
              <w:rPr>
                <w:rFonts w:hint="eastAsia" w:ascii="宋体" w:hAnsi="宋体" w:eastAsia="宋体" w:cs="宋体"/>
                <w:color w:val="auto"/>
                <w:szCs w:val="24"/>
              </w:rPr>
            </w:pPr>
          </w:p>
        </w:tc>
        <w:tc>
          <w:tcPr>
            <w:tcW w:w="2727" w:type="dxa"/>
            <w:vAlign w:val="center"/>
          </w:tcPr>
          <w:p w14:paraId="123FD148">
            <w:pPr>
              <w:spacing w:line="500" w:lineRule="exact"/>
              <w:jc w:val="center"/>
              <w:rPr>
                <w:rFonts w:hint="eastAsia" w:ascii="宋体" w:hAnsi="宋体" w:eastAsia="宋体" w:cs="宋体"/>
                <w:color w:val="auto"/>
                <w:szCs w:val="24"/>
              </w:rPr>
            </w:pPr>
          </w:p>
        </w:tc>
        <w:tc>
          <w:tcPr>
            <w:tcW w:w="1236" w:type="dxa"/>
            <w:vAlign w:val="center"/>
          </w:tcPr>
          <w:p w14:paraId="47CEC62C">
            <w:pPr>
              <w:spacing w:line="500" w:lineRule="exact"/>
              <w:jc w:val="center"/>
              <w:rPr>
                <w:rFonts w:hint="eastAsia" w:ascii="宋体" w:hAnsi="宋体" w:eastAsia="宋体" w:cs="宋体"/>
                <w:color w:val="auto"/>
                <w:szCs w:val="24"/>
              </w:rPr>
            </w:pPr>
          </w:p>
        </w:tc>
        <w:tc>
          <w:tcPr>
            <w:tcW w:w="2143" w:type="dxa"/>
            <w:vAlign w:val="center"/>
          </w:tcPr>
          <w:p w14:paraId="1EA7F007">
            <w:pPr>
              <w:spacing w:line="500" w:lineRule="exact"/>
              <w:jc w:val="center"/>
              <w:rPr>
                <w:rFonts w:hint="eastAsia" w:ascii="宋体" w:hAnsi="宋体" w:eastAsia="宋体" w:cs="宋体"/>
                <w:color w:val="auto"/>
                <w:szCs w:val="24"/>
              </w:rPr>
            </w:pPr>
          </w:p>
        </w:tc>
      </w:tr>
      <w:tr w14:paraId="341A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4D380783">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6</w:t>
            </w:r>
          </w:p>
        </w:tc>
        <w:tc>
          <w:tcPr>
            <w:tcW w:w="2891" w:type="dxa"/>
            <w:vAlign w:val="center"/>
          </w:tcPr>
          <w:p w14:paraId="4BBC3FF0">
            <w:pPr>
              <w:spacing w:line="500" w:lineRule="exact"/>
              <w:jc w:val="center"/>
              <w:rPr>
                <w:rFonts w:hint="eastAsia" w:ascii="宋体" w:hAnsi="宋体" w:eastAsia="宋体" w:cs="宋体"/>
                <w:color w:val="auto"/>
                <w:szCs w:val="24"/>
              </w:rPr>
            </w:pPr>
          </w:p>
        </w:tc>
        <w:tc>
          <w:tcPr>
            <w:tcW w:w="2727" w:type="dxa"/>
            <w:vAlign w:val="center"/>
          </w:tcPr>
          <w:p w14:paraId="6284FE50">
            <w:pPr>
              <w:spacing w:line="500" w:lineRule="exact"/>
              <w:jc w:val="center"/>
              <w:rPr>
                <w:rFonts w:hint="eastAsia" w:ascii="宋体" w:hAnsi="宋体" w:eastAsia="宋体" w:cs="宋体"/>
                <w:color w:val="auto"/>
                <w:szCs w:val="24"/>
              </w:rPr>
            </w:pPr>
          </w:p>
        </w:tc>
        <w:tc>
          <w:tcPr>
            <w:tcW w:w="1236" w:type="dxa"/>
            <w:vAlign w:val="center"/>
          </w:tcPr>
          <w:p w14:paraId="7261B3D6">
            <w:pPr>
              <w:spacing w:line="500" w:lineRule="exact"/>
              <w:jc w:val="center"/>
              <w:rPr>
                <w:rFonts w:hint="eastAsia" w:ascii="宋体" w:hAnsi="宋体" w:eastAsia="宋体" w:cs="宋体"/>
                <w:color w:val="auto"/>
                <w:szCs w:val="24"/>
              </w:rPr>
            </w:pPr>
          </w:p>
        </w:tc>
        <w:tc>
          <w:tcPr>
            <w:tcW w:w="2143" w:type="dxa"/>
            <w:vAlign w:val="center"/>
          </w:tcPr>
          <w:p w14:paraId="1385D8D3">
            <w:pPr>
              <w:spacing w:line="500" w:lineRule="exact"/>
              <w:jc w:val="center"/>
              <w:rPr>
                <w:rFonts w:hint="eastAsia" w:ascii="宋体" w:hAnsi="宋体" w:eastAsia="宋体" w:cs="宋体"/>
                <w:color w:val="auto"/>
                <w:szCs w:val="24"/>
              </w:rPr>
            </w:pPr>
          </w:p>
        </w:tc>
      </w:tr>
      <w:tr w14:paraId="0A95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42" w:type="dxa"/>
            <w:vAlign w:val="center"/>
          </w:tcPr>
          <w:p w14:paraId="485B6E0E">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w:t>
            </w:r>
          </w:p>
        </w:tc>
        <w:tc>
          <w:tcPr>
            <w:tcW w:w="2891" w:type="dxa"/>
            <w:vAlign w:val="center"/>
          </w:tcPr>
          <w:p w14:paraId="2DC4A66C">
            <w:pPr>
              <w:spacing w:line="500" w:lineRule="exact"/>
              <w:jc w:val="center"/>
              <w:rPr>
                <w:rFonts w:hint="eastAsia" w:ascii="宋体" w:hAnsi="宋体" w:eastAsia="宋体" w:cs="宋体"/>
                <w:color w:val="auto"/>
                <w:szCs w:val="24"/>
              </w:rPr>
            </w:pPr>
          </w:p>
        </w:tc>
        <w:tc>
          <w:tcPr>
            <w:tcW w:w="2727" w:type="dxa"/>
            <w:vAlign w:val="center"/>
          </w:tcPr>
          <w:p w14:paraId="4AC0715D">
            <w:pPr>
              <w:spacing w:line="500" w:lineRule="exact"/>
              <w:jc w:val="center"/>
              <w:rPr>
                <w:rFonts w:hint="eastAsia" w:ascii="宋体" w:hAnsi="宋体" w:eastAsia="宋体" w:cs="宋体"/>
                <w:color w:val="auto"/>
                <w:szCs w:val="24"/>
              </w:rPr>
            </w:pPr>
          </w:p>
        </w:tc>
        <w:tc>
          <w:tcPr>
            <w:tcW w:w="1236" w:type="dxa"/>
            <w:vAlign w:val="center"/>
          </w:tcPr>
          <w:p w14:paraId="38E22722">
            <w:pPr>
              <w:spacing w:line="500" w:lineRule="exact"/>
              <w:jc w:val="center"/>
              <w:rPr>
                <w:rFonts w:hint="eastAsia" w:ascii="宋体" w:hAnsi="宋体" w:eastAsia="宋体" w:cs="宋体"/>
                <w:color w:val="auto"/>
                <w:szCs w:val="24"/>
              </w:rPr>
            </w:pPr>
          </w:p>
        </w:tc>
        <w:tc>
          <w:tcPr>
            <w:tcW w:w="2143" w:type="dxa"/>
            <w:vAlign w:val="center"/>
          </w:tcPr>
          <w:p w14:paraId="58BB19B9">
            <w:pPr>
              <w:spacing w:line="500" w:lineRule="exact"/>
              <w:jc w:val="center"/>
              <w:rPr>
                <w:rFonts w:hint="eastAsia" w:ascii="宋体" w:hAnsi="宋体" w:eastAsia="宋体" w:cs="宋体"/>
                <w:color w:val="auto"/>
                <w:szCs w:val="24"/>
              </w:rPr>
            </w:pPr>
          </w:p>
        </w:tc>
      </w:tr>
    </w:tbl>
    <w:p w14:paraId="04D409C8">
      <w:pPr>
        <w:rPr>
          <w:rFonts w:hint="eastAsia" w:ascii="宋体" w:hAnsi="宋体" w:eastAsia="宋体" w:cs="宋体"/>
          <w:b/>
          <w:bCs/>
          <w:color w:val="auto"/>
          <w:sz w:val="21"/>
          <w:szCs w:val="21"/>
        </w:rPr>
      </w:pPr>
    </w:p>
    <w:p w14:paraId="0B24EA4D">
      <w:pPr>
        <w:rPr>
          <w:rFonts w:hint="eastAsia" w:ascii="宋体" w:hAnsi="宋体" w:eastAsia="宋体" w:cs="宋体"/>
          <w:b/>
          <w:bCs/>
          <w:color w:val="auto"/>
          <w:sz w:val="21"/>
          <w:szCs w:val="21"/>
        </w:rPr>
      </w:pPr>
    </w:p>
    <w:p w14:paraId="09138E11">
      <w:pPr>
        <w:rPr>
          <w:rFonts w:hint="eastAsia" w:ascii="宋体" w:hAnsi="宋体" w:eastAsia="宋体" w:cs="宋体"/>
          <w:color w:val="auto"/>
          <w:sz w:val="21"/>
          <w:szCs w:val="21"/>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1.本表“招标文件要求”以招标文件第</w:t>
      </w:r>
      <w:r>
        <w:rPr>
          <w:rFonts w:hint="eastAsia" w:ascii="宋体" w:hAnsi="宋体" w:eastAsia="宋体" w:cs="宋体"/>
          <w:color w:val="auto"/>
          <w:sz w:val="21"/>
          <w:szCs w:val="21"/>
          <w:lang w:eastAsia="zh-CN"/>
        </w:rPr>
        <w:t>五</w:t>
      </w:r>
      <w:r>
        <w:rPr>
          <w:rFonts w:hint="eastAsia" w:ascii="宋体" w:hAnsi="宋体" w:eastAsia="宋体" w:cs="宋体"/>
          <w:color w:val="auto"/>
          <w:sz w:val="21"/>
          <w:szCs w:val="21"/>
        </w:rPr>
        <w:t>章《</w:t>
      </w:r>
      <w:r>
        <w:rPr>
          <w:rFonts w:hint="eastAsia" w:hAnsi="宋体" w:cs="宋体"/>
          <w:color w:val="auto"/>
          <w:sz w:val="21"/>
          <w:szCs w:val="21"/>
          <w:lang w:val="en-US" w:eastAsia="zh-CN"/>
        </w:rPr>
        <w:t>商务要求</w:t>
      </w:r>
      <w:r>
        <w:rPr>
          <w:rFonts w:hint="eastAsia" w:ascii="宋体" w:hAnsi="宋体" w:eastAsia="宋体" w:cs="宋体"/>
          <w:color w:val="auto"/>
          <w:sz w:val="21"/>
          <w:szCs w:val="21"/>
        </w:rPr>
        <w:t>》为基本要求，投标人须进行</w:t>
      </w:r>
      <w:r>
        <w:rPr>
          <w:rFonts w:hint="eastAsia" w:ascii="宋体" w:hAnsi="宋体" w:eastAsia="宋体" w:cs="宋体"/>
          <w:color w:val="auto"/>
          <w:sz w:val="21"/>
          <w:szCs w:val="21"/>
          <w:lang w:eastAsia="zh-CN"/>
        </w:rPr>
        <w:t>商务</w:t>
      </w:r>
      <w:r>
        <w:rPr>
          <w:rFonts w:hint="eastAsia" w:ascii="宋体" w:hAnsi="宋体" w:eastAsia="宋体" w:cs="宋体"/>
          <w:color w:val="auto"/>
          <w:sz w:val="21"/>
          <w:szCs w:val="21"/>
        </w:rPr>
        <w:t>应答，未应答的将视为未响应</w:t>
      </w:r>
      <w:r>
        <w:rPr>
          <w:rFonts w:hint="eastAsia" w:ascii="宋体" w:hAnsi="宋体" w:eastAsia="宋体" w:cs="宋体"/>
          <w:color w:val="auto"/>
          <w:sz w:val="21"/>
          <w:szCs w:val="21"/>
          <w:lang w:eastAsia="zh-CN"/>
        </w:rPr>
        <w:t>商务</w:t>
      </w:r>
      <w:r>
        <w:rPr>
          <w:rFonts w:hint="eastAsia" w:ascii="宋体" w:hAnsi="宋体" w:eastAsia="宋体" w:cs="宋体"/>
          <w:color w:val="auto"/>
          <w:sz w:val="21"/>
          <w:szCs w:val="21"/>
        </w:rPr>
        <w:t>条款要求。</w:t>
      </w:r>
    </w:p>
    <w:p w14:paraId="5E733D27">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2.本表“偏离程度”栏列出“+”、“-”偏差，无偏差填“0”，“偏离简述或相关证明材料”栏注明技术支撑材料所在页码或位置；</w:t>
      </w:r>
    </w:p>
    <w:p w14:paraId="40843437">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3.“投标文件响应条款”为正偏离的必须提供技术支撑材料，未提供技术支撑材料的将视为非正偏离项，不做加分评判。</w:t>
      </w:r>
    </w:p>
    <w:p w14:paraId="6763D60A">
      <w:pPr>
        <w:tabs>
          <w:tab w:val="right" w:pos="9070"/>
        </w:tabs>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4.投标人必须据实填写，不得虚假响应，否则，将取消其投标或中标资格。</w:t>
      </w:r>
    </w:p>
    <w:p w14:paraId="419C3163">
      <w:pPr>
        <w:pStyle w:val="9"/>
        <w:spacing w:line="500" w:lineRule="exact"/>
        <w:ind w:firstLine="6090" w:firstLineChars="2900"/>
        <w:rPr>
          <w:rFonts w:hint="eastAsia" w:ascii="宋体" w:hAnsi="宋体" w:eastAsia="宋体" w:cs="宋体"/>
          <w:color w:val="auto"/>
          <w:szCs w:val="21"/>
          <w:u w:val="single"/>
        </w:rPr>
      </w:pPr>
    </w:p>
    <w:p w14:paraId="78B7380F">
      <w:pPr>
        <w:spacing w:line="500" w:lineRule="exact"/>
        <w:rPr>
          <w:rFonts w:hint="eastAsia" w:ascii="宋体" w:hAnsi="宋体" w:eastAsia="宋体" w:cs="宋体"/>
          <w:b/>
          <w:bCs/>
          <w:color w:val="auto"/>
          <w:sz w:val="28"/>
          <w:szCs w:val="28"/>
        </w:rPr>
      </w:pPr>
    </w:p>
    <w:p w14:paraId="5400623B">
      <w:pPr>
        <w:pStyle w:val="9"/>
        <w:rPr>
          <w:rFonts w:hint="eastAsia" w:ascii="宋体" w:hAnsi="宋体" w:eastAsia="宋体" w:cs="宋体"/>
          <w:b/>
          <w:bCs/>
          <w:color w:val="auto"/>
          <w:sz w:val="28"/>
          <w:szCs w:val="28"/>
        </w:rPr>
      </w:pPr>
    </w:p>
    <w:p w14:paraId="42C2F694">
      <w:pPr>
        <w:rPr>
          <w:rFonts w:hint="eastAsia" w:ascii="宋体" w:hAnsi="宋体" w:eastAsia="宋体" w:cs="宋体"/>
          <w:b/>
          <w:bCs/>
          <w:color w:val="auto"/>
          <w:sz w:val="28"/>
          <w:szCs w:val="28"/>
        </w:rPr>
      </w:pPr>
    </w:p>
    <w:p w14:paraId="28CE180C">
      <w:pPr>
        <w:pStyle w:val="9"/>
        <w:rPr>
          <w:rFonts w:hint="eastAsia" w:ascii="宋体" w:hAnsi="宋体" w:eastAsia="宋体" w:cs="宋体"/>
          <w:b/>
          <w:bCs/>
          <w:color w:val="auto"/>
          <w:sz w:val="28"/>
          <w:szCs w:val="28"/>
        </w:rPr>
      </w:pPr>
    </w:p>
    <w:p w14:paraId="6979D073">
      <w:pPr>
        <w:rPr>
          <w:rFonts w:hint="eastAsia" w:ascii="宋体" w:hAnsi="宋体" w:eastAsia="宋体" w:cs="宋体"/>
          <w:b/>
          <w:bCs/>
          <w:color w:val="auto"/>
          <w:sz w:val="28"/>
          <w:szCs w:val="28"/>
        </w:rPr>
      </w:pPr>
    </w:p>
    <w:p w14:paraId="094988D3">
      <w:pPr>
        <w:pStyle w:val="9"/>
        <w:rPr>
          <w:rFonts w:hint="eastAsia" w:ascii="宋体" w:hAnsi="宋体" w:eastAsia="宋体" w:cs="宋体"/>
          <w:b/>
          <w:bCs/>
          <w:color w:val="auto"/>
          <w:sz w:val="28"/>
          <w:szCs w:val="28"/>
        </w:rPr>
      </w:pPr>
    </w:p>
    <w:p w14:paraId="4BC591EB">
      <w:pPr>
        <w:spacing w:line="500" w:lineRule="exact"/>
        <w:rPr>
          <w:rFonts w:hint="eastAsia" w:ascii="宋体" w:hAnsi="宋体" w:eastAsia="宋体" w:cs="宋体"/>
          <w:b/>
          <w:color w:val="auto"/>
          <w:sz w:val="21"/>
          <w:szCs w:val="21"/>
        </w:rPr>
      </w:pP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w:t>
      </w:r>
      <w:bookmarkEnd w:id="234"/>
      <w:bookmarkEnd w:id="235"/>
      <w:bookmarkEnd w:id="236"/>
      <w:bookmarkEnd w:id="237"/>
      <w:bookmarkEnd w:id="238"/>
      <w:bookmarkEnd w:id="239"/>
      <w:bookmarkEnd w:id="240"/>
      <w:bookmarkEnd w:id="241"/>
      <w:bookmarkEnd w:id="242"/>
      <w:r>
        <w:rPr>
          <w:rFonts w:hint="eastAsia" w:ascii="宋体" w:hAnsi="宋体" w:eastAsia="宋体" w:cs="宋体"/>
          <w:b/>
          <w:bCs/>
          <w:color w:val="auto"/>
          <w:sz w:val="28"/>
          <w:szCs w:val="28"/>
        </w:rPr>
        <w:t>技术参数偏离表</w:t>
      </w:r>
    </w:p>
    <w:tbl>
      <w:tblPr>
        <w:tblStyle w:val="2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891"/>
        <w:gridCol w:w="2727"/>
        <w:gridCol w:w="1236"/>
        <w:gridCol w:w="2143"/>
      </w:tblGrid>
      <w:tr w14:paraId="59B0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642" w:type="dxa"/>
            <w:shd w:val="clear" w:color="auto" w:fill="D8D8D8"/>
            <w:vAlign w:val="center"/>
          </w:tcPr>
          <w:p w14:paraId="157B1974">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序号</w:t>
            </w:r>
          </w:p>
        </w:tc>
        <w:tc>
          <w:tcPr>
            <w:tcW w:w="2891" w:type="dxa"/>
            <w:shd w:val="clear" w:color="auto" w:fill="D8D8D8"/>
            <w:vAlign w:val="center"/>
          </w:tcPr>
          <w:p w14:paraId="06694962">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招标文件要求</w:t>
            </w:r>
          </w:p>
        </w:tc>
        <w:tc>
          <w:tcPr>
            <w:tcW w:w="2727" w:type="dxa"/>
            <w:shd w:val="clear" w:color="auto" w:fill="D8D8D8"/>
            <w:vAlign w:val="center"/>
          </w:tcPr>
          <w:p w14:paraId="7D97EAC4">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投标文件响应条款</w:t>
            </w:r>
          </w:p>
        </w:tc>
        <w:tc>
          <w:tcPr>
            <w:tcW w:w="1236" w:type="dxa"/>
            <w:shd w:val="clear" w:color="auto" w:fill="D8D8D8"/>
            <w:vAlign w:val="center"/>
          </w:tcPr>
          <w:p w14:paraId="16990E4C">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偏离程度</w:t>
            </w:r>
          </w:p>
        </w:tc>
        <w:tc>
          <w:tcPr>
            <w:tcW w:w="2143" w:type="dxa"/>
            <w:shd w:val="clear" w:color="auto" w:fill="D8D8D8"/>
            <w:vAlign w:val="center"/>
          </w:tcPr>
          <w:p w14:paraId="42012DB1">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偏离简述</w:t>
            </w:r>
          </w:p>
          <w:p w14:paraId="03E2E26D">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或相关证明材料</w:t>
            </w:r>
          </w:p>
        </w:tc>
      </w:tr>
      <w:tr w14:paraId="17B02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5314FF23">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1</w:t>
            </w:r>
          </w:p>
        </w:tc>
        <w:tc>
          <w:tcPr>
            <w:tcW w:w="2891" w:type="dxa"/>
            <w:vAlign w:val="center"/>
          </w:tcPr>
          <w:p w14:paraId="48EC5B5F">
            <w:pPr>
              <w:spacing w:line="500" w:lineRule="exact"/>
              <w:jc w:val="center"/>
              <w:rPr>
                <w:rFonts w:hint="eastAsia" w:ascii="宋体" w:hAnsi="宋体" w:eastAsia="宋体" w:cs="宋体"/>
                <w:color w:val="auto"/>
                <w:szCs w:val="24"/>
              </w:rPr>
            </w:pPr>
          </w:p>
        </w:tc>
        <w:tc>
          <w:tcPr>
            <w:tcW w:w="2727" w:type="dxa"/>
            <w:vAlign w:val="center"/>
          </w:tcPr>
          <w:p w14:paraId="12DF1524">
            <w:pPr>
              <w:spacing w:line="500" w:lineRule="exact"/>
              <w:jc w:val="center"/>
              <w:rPr>
                <w:rFonts w:hint="eastAsia" w:ascii="宋体" w:hAnsi="宋体" w:eastAsia="宋体" w:cs="宋体"/>
                <w:color w:val="auto"/>
                <w:szCs w:val="24"/>
              </w:rPr>
            </w:pPr>
          </w:p>
        </w:tc>
        <w:tc>
          <w:tcPr>
            <w:tcW w:w="1236" w:type="dxa"/>
            <w:vAlign w:val="center"/>
          </w:tcPr>
          <w:p w14:paraId="4400701B">
            <w:pPr>
              <w:spacing w:line="500" w:lineRule="exact"/>
              <w:jc w:val="center"/>
              <w:rPr>
                <w:rFonts w:hint="eastAsia" w:ascii="宋体" w:hAnsi="宋体" w:eastAsia="宋体" w:cs="宋体"/>
                <w:color w:val="auto"/>
                <w:szCs w:val="24"/>
              </w:rPr>
            </w:pPr>
          </w:p>
        </w:tc>
        <w:tc>
          <w:tcPr>
            <w:tcW w:w="2143" w:type="dxa"/>
            <w:vAlign w:val="center"/>
          </w:tcPr>
          <w:p w14:paraId="2969EBC7">
            <w:pPr>
              <w:spacing w:line="500" w:lineRule="exact"/>
              <w:jc w:val="center"/>
              <w:rPr>
                <w:rFonts w:hint="eastAsia" w:ascii="宋体" w:hAnsi="宋体" w:eastAsia="宋体" w:cs="宋体"/>
                <w:color w:val="auto"/>
                <w:szCs w:val="24"/>
              </w:rPr>
            </w:pPr>
          </w:p>
        </w:tc>
      </w:tr>
      <w:tr w14:paraId="2EA3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7035C80E">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2</w:t>
            </w:r>
          </w:p>
        </w:tc>
        <w:tc>
          <w:tcPr>
            <w:tcW w:w="2891" w:type="dxa"/>
            <w:vAlign w:val="center"/>
          </w:tcPr>
          <w:p w14:paraId="5FABDE73">
            <w:pPr>
              <w:spacing w:line="500" w:lineRule="exact"/>
              <w:jc w:val="center"/>
              <w:rPr>
                <w:rFonts w:hint="eastAsia" w:ascii="宋体" w:hAnsi="宋体" w:eastAsia="宋体" w:cs="宋体"/>
                <w:color w:val="auto"/>
                <w:szCs w:val="24"/>
              </w:rPr>
            </w:pPr>
          </w:p>
        </w:tc>
        <w:tc>
          <w:tcPr>
            <w:tcW w:w="2727" w:type="dxa"/>
            <w:vAlign w:val="center"/>
          </w:tcPr>
          <w:p w14:paraId="023C463D">
            <w:pPr>
              <w:spacing w:line="500" w:lineRule="exact"/>
              <w:jc w:val="center"/>
              <w:rPr>
                <w:rFonts w:hint="eastAsia" w:ascii="宋体" w:hAnsi="宋体" w:eastAsia="宋体" w:cs="宋体"/>
                <w:color w:val="auto"/>
                <w:szCs w:val="24"/>
              </w:rPr>
            </w:pPr>
          </w:p>
        </w:tc>
        <w:tc>
          <w:tcPr>
            <w:tcW w:w="1236" w:type="dxa"/>
            <w:vAlign w:val="center"/>
          </w:tcPr>
          <w:p w14:paraId="72034069">
            <w:pPr>
              <w:spacing w:line="500" w:lineRule="exact"/>
              <w:jc w:val="center"/>
              <w:rPr>
                <w:rFonts w:hint="eastAsia" w:ascii="宋体" w:hAnsi="宋体" w:eastAsia="宋体" w:cs="宋体"/>
                <w:color w:val="auto"/>
                <w:szCs w:val="24"/>
              </w:rPr>
            </w:pPr>
          </w:p>
        </w:tc>
        <w:tc>
          <w:tcPr>
            <w:tcW w:w="2143" w:type="dxa"/>
            <w:vAlign w:val="center"/>
          </w:tcPr>
          <w:p w14:paraId="2844A1B3">
            <w:pPr>
              <w:spacing w:line="500" w:lineRule="exact"/>
              <w:jc w:val="center"/>
              <w:rPr>
                <w:rFonts w:hint="eastAsia" w:ascii="宋体" w:hAnsi="宋体" w:eastAsia="宋体" w:cs="宋体"/>
                <w:color w:val="auto"/>
                <w:szCs w:val="24"/>
              </w:rPr>
            </w:pPr>
          </w:p>
        </w:tc>
      </w:tr>
      <w:tr w14:paraId="49F7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5AE99AC9">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3</w:t>
            </w:r>
          </w:p>
        </w:tc>
        <w:tc>
          <w:tcPr>
            <w:tcW w:w="2891" w:type="dxa"/>
            <w:vAlign w:val="center"/>
          </w:tcPr>
          <w:p w14:paraId="167B95B0">
            <w:pPr>
              <w:spacing w:line="500" w:lineRule="exact"/>
              <w:jc w:val="center"/>
              <w:rPr>
                <w:rFonts w:hint="eastAsia" w:ascii="宋体" w:hAnsi="宋体" w:eastAsia="宋体" w:cs="宋体"/>
                <w:color w:val="auto"/>
                <w:szCs w:val="24"/>
              </w:rPr>
            </w:pPr>
          </w:p>
        </w:tc>
        <w:tc>
          <w:tcPr>
            <w:tcW w:w="2727" w:type="dxa"/>
            <w:vAlign w:val="center"/>
          </w:tcPr>
          <w:p w14:paraId="571CD679">
            <w:pPr>
              <w:spacing w:line="500" w:lineRule="exact"/>
              <w:jc w:val="center"/>
              <w:rPr>
                <w:rFonts w:hint="eastAsia" w:ascii="宋体" w:hAnsi="宋体" w:eastAsia="宋体" w:cs="宋体"/>
                <w:color w:val="auto"/>
                <w:szCs w:val="24"/>
              </w:rPr>
            </w:pPr>
          </w:p>
        </w:tc>
        <w:tc>
          <w:tcPr>
            <w:tcW w:w="1236" w:type="dxa"/>
            <w:vAlign w:val="center"/>
          </w:tcPr>
          <w:p w14:paraId="7C8C3587">
            <w:pPr>
              <w:spacing w:line="500" w:lineRule="exact"/>
              <w:jc w:val="center"/>
              <w:rPr>
                <w:rFonts w:hint="eastAsia" w:ascii="宋体" w:hAnsi="宋体" w:eastAsia="宋体" w:cs="宋体"/>
                <w:color w:val="auto"/>
                <w:szCs w:val="24"/>
              </w:rPr>
            </w:pPr>
          </w:p>
        </w:tc>
        <w:tc>
          <w:tcPr>
            <w:tcW w:w="2143" w:type="dxa"/>
            <w:vAlign w:val="center"/>
          </w:tcPr>
          <w:p w14:paraId="7A55EFC5">
            <w:pPr>
              <w:spacing w:line="500" w:lineRule="exact"/>
              <w:jc w:val="center"/>
              <w:rPr>
                <w:rFonts w:hint="eastAsia" w:ascii="宋体" w:hAnsi="宋体" w:eastAsia="宋体" w:cs="宋体"/>
                <w:color w:val="auto"/>
                <w:szCs w:val="24"/>
              </w:rPr>
            </w:pPr>
          </w:p>
        </w:tc>
      </w:tr>
      <w:tr w14:paraId="301F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007875DE">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4</w:t>
            </w:r>
          </w:p>
        </w:tc>
        <w:tc>
          <w:tcPr>
            <w:tcW w:w="2891" w:type="dxa"/>
            <w:vAlign w:val="center"/>
          </w:tcPr>
          <w:p w14:paraId="779D1B8F">
            <w:pPr>
              <w:spacing w:line="500" w:lineRule="exact"/>
              <w:jc w:val="center"/>
              <w:rPr>
                <w:rFonts w:hint="eastAsia" w:ascii="宋体" w:hAnsi="宋体" w:eastAsia="宋体" w:cs="宋体"/>
                <w:color w:val="auto"/>
                <w:szCs w:val="24"/>
              </w:rPr>
            </w:pPr>
          </w:p>
        </w:tc>
        <w:tc>
          <w:tcPr>
            <w:tcW w:w="2727" w:type="dxa"/>
            <w:vAlign w:val="center"/>
          </w:tcPr>
          <w:p w14:paraId="237735C8">
            <w:pPr>
              <w:spacing w:line="500" w:lineRule="exact"/>
              <w:jc w:val="center"/>
              <w:rPr>
                <w:rFonts w:hint="eastAsia" w:ascii="宋体" w:hAnsi="宋体" w:eastAsia="宋体" w:cs="宋体"/>
                <w:color w:val="auto"/>
                <w:szCs w:val="24"/>
              </w:rPr>
            </w:pPr>
          </w:p>
        </w:tc>
        <w:tc>
          <w:tcPr>
            <w:tcW w:w="1236" w:type="dxa"/>
            <w:vAlign w:val="center"/>
          </w:tcPr>
          <w:p w14:paraId="56F42CD5">
            <w:pPr>
              <w:spacing w:line="500" w:lineRule="exact"/>
              <w:jc w:val="center"/>
              <w:rPr>
                <w:rFonts w:hint="eastAsia" w:ascii="宋体" w:hAnsi="宋体" w:eastAsia="宋体" w:cs="宋体"/>
                <w:color w:val="auto"/>
                <w:szCs w:val="24"/>
              </w:rPr>
            </w:pPr>
          </w:p>
        </w:tc>
        <w:tc>
          <w:tcPr>
            <w:tcW w:w="2143" w:type="dxa"/>
            <w:vAlign w:val="center"/>
          </w:tcPr>
          <w:p w14:paraId="33277424">
            <w:pPr>
              <w:spacing w:line="500" w:lineRule="exact"/>
              <w:jc w:val="center"/>
              <w:rPr>
                <w:rFonts w:hint="eastAsia" w:ascii="宋体" w:hAnsi="宋体" w:eastAsia="宋体" w:cs="宋体"/>
                <w:color w:val="auto"/>
                <w:szCs w:val="24"/>
              </w:rPr>
            </w:pPr>
          </w:p>
        </w:tc>
      </w:tr>
      <w:tr w14:paraId="272C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360D23EB">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5</w:t>
            </w:r>
          </w:p>
        </w:tc>
        <w:tc>
          <w:tcPr>
            <w:tcW w:w="2891" w:type="dxa"/>
            <w:vAlign w:val="center"/>
          </w:tcPr>
          <w:p w14:paraId="168049D5">
            <w:pPr>
              <w:spacing w:line="500" w:lineRule="exact"/>
              <w:jc w:val="center"/>
              <w:rPr>
                <w:rFonts w:hint="eastAsia" w:ascii="宋体" w:hAnsi="宋体" w:eastAsia="宋体" w:cs="宋体"/>
                <w:color w:val="auto"/>
                <w:szCs w:val="24"/>
              </w:rPr>
            </w:pPr>
          </w:p>
        </w:tc>
        <w:tc>
          <w:tcPr>
            <w:tcW w:w="2727" w:type="dxa"/>
            <w:vAlign w:val="center"/>
          </w:tcPr>
          <w:p w14:paraId="3F853623">
            <w:pPr>
              <w:spacing w:line="500" w:lineRule="exact"/>
              <w:jc w:val="center"/>
              <w:rPr>
                <w:rFonts w:hint="eastAsia" w:ascii="宋体" w:hAnsi="宋体" w:eastAsia="宋体" w:cs="宋体"/>
                <w:color w:val="auto"/>
                <w:szCs w:val="24"/>
              </w:rPr>
            </w:pPr>
          </w:p>
        </w:tc>
        <w:tc>
          <w:tcPr>
            <w:tcW w:w="1236" w:type="dxa"/>
            <w:vAlign w:val="center"/>
          </w:tcPr>
          <w:p w14:paraId="7B511586">
            <w:pPr>
              <w:spacing w:line="500" w:lineRule="exact"/>
              <w:jc w:val="center"/>
              <w:rPr>
                <w:rFonts w:hint="eastAsia" w:ascii="宋体" w:hAnsi="宋体" w:eastAsia="宋体" w:cs="宋体"/>
                <w:color w:val="auto"/>
                <w:szCs w:val="24"/>
              </w:rPr>
            </w:pPr>
          </w:p>
        </w:tc>
        <w:tc>
          <w:tcPr>
            <w:tcW w:w="2143" w:type="dxa"/>
            <w:vAlign w:val="center"/>
          </w:tcPr>
          <w:p w14:paraId="3DE9C825">
            <w:pPr>
              <w:spacing w:line="500" w:lineRule="exact"/>
              <w:jc w:val="center"/>
              <w:rPr>
                <w:rFonts w:hint="eastAsia" w:ascii="宋体" w:hAnsi="宋体" w:eastAsia="宋体" w:cs="宋体"/>
                <w:color w:val="auto"/>
                <w:szCs w:val="24"/>
              </w:rPr>
            </w:pPr>
          </w:p>
        </w:tc>
      </w:tr>
      <w:tr w14:paraId="70527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42" w:type="dxa"/>
            <w:vAlign w:val="center"/>
          </w:tcPr>
          <w:p w14:paraId="1A4C80F4">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6</w:t>
            </w:r>
          </w:p>
        </w:tc>
        <w:tc>
          <w:tcPr>
            <w:tcW w:w="2891" w:type="dxa"/>
            <w:vAlign w:val="center"/>
          </w:tcPr>
          <w:p w14:paraId="068E6E82">
            <w:pPr>
              <w:spacing w:line="500" w:lineRule="exact"/>
              <w:jc w:val="center"/>
              <w:rPr>
                <w:rFonts w:hint="eastAsia" w:ascii="宋体" w:hAnsi="宋体" w:eastAsia="宋体" w:cs="宋体"/>
                <w:color w:val="auto"/>
                <w:szCs w:val="24"/>
              </w:rPr>
            </w:pPr>
          </w:p>
        </w:tc>
        <w:tc>
          <w:tcPr>
            <w:tcW w:w="2727" w:type="dxa"/>
            <w:vAlign w:val="center"/>
          </w:tcPr>
          <w:p w14:paraId="3E1C52D8">
            <w:pPr>
              <w:spacing w:line="500" w:lineRule="exact"/>
              <w:jc w:val="center"/>
              <w:rPr>
                <w:rFonts w:hint="eastAsia" w:ascii="宋体" w:hAnsi="宋体" w:eastAsia="宋体" w:cs="宋体"/>
                <w:color w:val="auto"/>
                <w:szCs w:val="24"/>
              </w:rPr>
            </w:pPr>
          </w:p>
        </w:tc>
        <w:tc>
          <w:tcPr>
            <w:tcW w:w="1236" w:type="dxa"/>
            <w:vAlign w:val="center"/>
          </w:tcPr>
          <w:p w14:paraId="5E044C7F">
            <w:pPr>
              <w:spacing w:line="500" w:lineRule="exact"/>
              <w:jc w:val="center"/>
              <w:rPr>
                <w:rFonts w:hint="eastAsia" w:ascii="宋体" w:hAnsi="宋体" w:eastAsia="宋体" w:cs="宋体"/>
                <w:color w:val="auto"/>
                <w:szCs w:val="24"/>
              </w:rPr>
            </w:pPr>
          </w:p>
        </w:tc>
        <w:tc>
          <w:tcPr>
            <w:tcW w:w="2143" w:type="dxa"/>
            <w:vAlign w:val="center"/>
          </w:tcPr>
          <w:p w14:paraId="6230B3DC">
            <w:pPr>
              <w:spacing w:line="500" w:lineRule="exact"/>
              <w:jc w:val="center"/>
              <w:rPr>
                <w:rFonts w:hint="eastAsia" w:ascii="宋体" w:hAnsi="宋体" w:eastAsia="宋体" w:cs="宋体"/>
                <w:color w:val="auto"/>
                <w:szCs w:val="24"/>
              </w:rPr>
            </w:pPr>
          </w:p>
        </w:tc>
      </w:tr>
      <w:tr w14:paraId="7236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42" w:type="dxa"/>
            <w:vAlign w:val="center"/>
          </w:tcPr>
          <w:p w14:paraId="76FFB89E">
            <w:pPr>
              <w:spacing w:line="500" w:lineRule="exact"/>
              <w:jc w:val="center"/>
              <w:rPr>
                <w:rFonts w:hint="eastAsia" w:ascii="宋体" w:hAnsi="宋体" w:eastAsia="宋体" w:cs="宋体"/>
                <w:color w:val="auto"/>
                <w:szCs w:val="24"/>
              </w:rPr>
            </w:pPr>
            <w:r>
              <w:rPr>
                <w:rFonts w:hint="eastAsia" w:ascii="宋体" w:hAnsi="宋体" w:eastAsia="宋体" w:cs="宋体"/>
                <w:color w:val="auto"/>
                <w:szCs w:val="24"/>
              </w:rPr>
              <w:t>……</w:t>
            </w:r>
          </w:p>
        </w:tc>
        <w:tc>
          <w:tcPr>
            <w:tcW w:w="2891" w:type="dxa"/>
            <w:vAlign w:val="center"/>
          </w:tcPr>
          <w:p w14:paraId="2DCAED4B">
            <w:pPr>
              <w:spacing w:line="500" w:lineRule="exact"/>
              <w:jc w:val="center"/>
              <w:rPr>
                <w:rFonts w:hint="eastAsia" w:ascii="宋体" w:hAnsi="宋体" w:eastAsia="宋体" w:cs="宋体"/>
                <w:color w:val="auto"/>
                <w:szCs w:val="24"/>
              </w:rPr>
            </w:pPr>
          </w:p>
        </w:tc>
        <w:tc>
          <w:tcPr>
            <w:tcW w:w="2727" w:type="dxa"/>
            <w:vAlign w:val="center"/>
          </w:tcPr>
          <w:p w14:paraId="74D5DE8C">
            <w:pPr>
              <w:spacing w:line="500" w:lineRule="exact"/>
              <w:jc w:val="center"/>
              <w:rPr>
                <w:rFonts w:hint="eastAsia" w:ascii="宋体" w:hAnsi="宋体" w:eastAsia="宋体" w:cs="宋体"/>
                <w:color w:val="auto"/>
                <w:szCs w:val="24"/>
              </w:rPr>
            </w:pPr>
          </w:p>
        </w:tc>
        <w:tc>
          <w:tcPr>
            <w:tcW w:w="1236" w:type="dxa"/>
            <w:vAlign w:val="center"/>
          </w:tcPr>
          <w:p w14:paraId="5ADF1725">
            <w:pPr>
              <w:spacing w:line="500" w:lineRule="exact"/>
              <w:jc w:val="center"/>
              <w:rPr>
                <w:rFonts w:hint="eastAsia" w:ascii="宋体" w:hAnsi="宋体" w:eastAsia="宋体" w:cs="宋体"/>
                <w:color w:val="auto"/>
                <w:szCs w:val="24"/>
              </w:rPr>
            </w:pPr>
          </w:p>
        </w:tc>
        <w:tc>
          <w:tcPr>
            <w:tcW w:w="2143" w:type="dxa"/>
            <w:vAlign w:val="center"/>
          </w:tcPr>
          <w:p w14:paraId="2D07328E">
            <w:pPr>
              <w:spacing w:line="500" w:lineRule="exact"/>
              <w:jc w:val="center"/>
              <w:rPr>
                <w:rFonts w:hint="eastAsia" w:ascii="宋体" w:hAnsi="宋体" w:eastAsia="宋体" w:cs="宋体"/>
                <w:color w:val="auto"/>
                <w:szCs w:val="24"/>
              </w:rPr>
            </w:pPr>
          </w:p>
        </w:tc>
      </w:tr>
    </w:tbl>
    <w:p w14:paraId="2BFB7EC7">
      <w:pPr>
        <w:rPr>
          <w:rFonts w:hint="eastAsia" w:ascii="宋体" w:hAnsi="宋体" w:eastAsia="宋体" w:cs="宋体"/>
          <w:b/>
          <w:bCs/>
          <w:color w:val="auto"/>
          <w:sz w:val="21"/>
          <w:szCs w:val="21"/>
        </w:rPr>
      </w:pPr>
    </w:p>
    <w:p w14:paraId="27301277">
      <w:pPr>
        <w:rPr>
          <w:rFonts w:hint="eastAsia" w:ascii="宋体" w:hAnsi="宋体" w:eastAsia="宋体" w:cs="宋体"/>
          <w:b/>
          <w:bCs/>
          <w:color w:val="auto"/>
          <w:sz w:val="21"/>
          <w:szCs w:val="21"/>
        </w:rPr>
      </w:pPr>
    </w:p>
    <w:p w14:paraId="6DB3E454">
      <w:pPr>
        <w:rPr>
          <w:rFonts w:hint="eastAsia" w:ascii="宋体" w:hAnsi="宋体" w:eastAsia="宋体" w:cs="宋体"/>
          <w:color w:val="auto"/>
          <w:sz w:val="21"/>
          <w:szCs w:val="21"/>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1.本表“招标文件要求”以招标文件第四章《招标采购内容及要求》为基本要求，投标人须进行技术应答，未应答的将视为未响应技术条款要求。</w:t>
      </w:r>
    </w:p>
    <w:p w14:paraId="7A152E7C">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2.本表“偏离程度”栏列出“+”、“-”偏差，无偏差填“0”，“偏离简述或相关证明材料”栏注明技术支撑材料所在页码或位置；</w:t>
      </w:r>
    </w:p>
    <w:p w14:paraId="5FEFFB87">
      <w:pPr>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3.“投标文件响应条款”为正偏离的必须提供技术支撑材料，未提供技术支撑材料的将视为非正偏离项，不做加分评判。</w:t>
      </w:r>
    </w:p>
    <w:p w14:paraId="321D5444">
      <w:pPr>
        <w:tabs>
          <w:tab w:val="right" w:pos="9070"/>
        </w:tabs>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4.投标人必须据实填写，不得虚假响应，否则，将取消其投标或中标资格。</w:t>
      </w:r>
    </w:p>
    <w:p w14:paraId="669F9FD8">
      <w:pPr>
        <w:pStyle w:val="9"/>
        <w:spacing w:line="500" w:lineRule="exact"/>
        <w:ind w:firstLine="6090" w:firstLineChars="2900"/>
        <w:rPr>
          <w:rFonts w:hint="eastAsia" w:ascii="宋体" w:hAnsi="宋体" w:eastAsia="宋体" w:cs="宋体"/>
          <w:color w:val="auto"/>
          <w:szCs w:val="21"/>
          <w:u w:val="single"/>
        </w:rPr>
      </w:pPr>
    </w:p>
    <w:p w14:paraId="79F8668C">
      <w:pPr>
        <w:pStyle w:val="9"/>
        <w:spacing w:line="500" w:lineRule="exact"/>
        <w:jc w:val="right"/>
        <w:rPr>
          <w:rFonts w:hint="eastAsia" w:ascii="宋体" w:hAnsi="宋体" w:eastAsia="宋体" w:cs="宋体"/>
          <w:bCs/>
          <w:color w:val="auto"/>
          <w:sz w:val="24"/>
          <w:szCs w:val="24"/>
        </w:rPr>
      </w:pPr>
      <w:r>
        <w:rPr>
          <w:rFonts w:hint="eastAsia" w:ascii="宋体" w:hAnsi="宋体" w:eastAsia="宋体" w:cs="宋体"/>
          <w:color w:val="auto"/>
          <w:sz w:val="24"/>
          <w:szCs w:val="24"/>
          <w:u w:val="none"/>
        </w:rPr>
        <w:t>投标人名称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rPr>
        <w:t>（盖章）</w:t>
      </w:r>
      <w:r>
        <w:rPr>
          <w:rFonts w:hint="eastAsia" w:ascii="宋体" w:hAnsi="宋体" w:eastAsia="宋体" w:cs="宋体"/>
          <w:bCs/>
          <w:color w:val="auto"/>
          <w:sz w:val="24"/>
          <w:szCs w:val="24"/>
        </w:rPr>
        <w:tab/>
      </w:r>
    </w:p>
    <w:p w14:paraId="58A2A3EC">
      <w:pPr>
        <w:rPr>
          <w:rFonts w:hint="eastAsia" w:ascii="宋体" w:hAnsi="宋体" w:eastAsia="宋体" w:cs="宋体"/>
          <w:color w:val="auto"/>
          <w:sz w:val="21"/>
          <w:szCs w:val="21"/>
        </w:rPr>
      </w:pPr>
      <w:r>
        <w:rPr>
          <w:rFonts w:hint="eastAsia" w:ascii="宋体" w:hAnsi="宋体" w:eastAsia="宋体" w:cs="宋体"/>
          <w:color w:val="auto"/>
          <w:szCs w:val="24"/>
        </w:rPr>
        <w:t xml:space="preserve">                                      　                 年　月　日</w:t>
      </w:r>
    </w:p>
    <w:p w14:paraId="3F841AE0">
      <w:pPr>
        <w:rPr>
          <w:rFonts w:hint="eastAsia" w:ascii="宋体" w:hAnsi="宋体" w:eastAsia="宋体" w:cs="宋体"/>
          <w:b/>
          <w:bCs/>
          <w:color w:val="auto"/>
          <w:sz w:val="21"/>
          <w:szCs w:val="21"/>
        </w:rPr>
      </w:pPr>
    </w:p>
    <w:p w14:paraId="695841CD">
      <w:pPr>
        <w:spacing w:line="288" w:lineRule="auto"/>
        <w:ind w:firstLine="422" w:firstLineChars="200"/>
        <w:rPr>
          <w:rFonts w:hint="eastAsia" w:ascii="宋体" w:hAnsi="宋体" w:eastAsia="宋体" w:cs="宋体"/>
          <w:b/>
          <w:color w:val="auto"/>
          <w:sz w:val="21"/>
          <w:szCs w:val="21"/>
        </w:rPr>
      </w:pPr>
    </w:p>
    <w:p w14:paraId="6C75CAA5">
      <w:pPr>
        <w:spacing w:line="500" w:lineRule="exact"/>
        <w:rPr>
          <w:rFonts w:hint="eastAsia" w:ascii="宋体" w:hAnsi="宋体" w:eastAsia="宋体" w:cs="宋体"/>
          <w:b/>
          <w:bCs/>
          <w:color w:val="auto"/>
          <w:sz w:val="21"/>
          <w:szCs w:val="21"/>
        </w:rPr>
        <w:sectPr>
          <w:pgSz w:w="11906" w:h="16838"/>
          <w:pgMar w:top="1440" w:right="1800" w:bottom="1440" w:left="1800" w:header="850" w:footer="850" w:gutter="0"/>
          <w:pgNumType w:fmt="decimal"/>
          <w:cols w:space="425" w:num="1"/>
          <w:docGrid w:type="lines" w:linePitch="326" w:charSpace="0"/>
        </w:sectPr>
      </w:pPr>
    </w:p>
    <w:p w14:paraId="6674BCE1">
      <w:pPr>
        <w:spacing w:line="500" w:lineRule="exact"/>
        <w:rPr>
          <w:rFonts w:hint="eastAsia" w:ascii="宋体" w:hAnsi="宋体" w:eastAsia="宋体" w:cs="宋体"/>
          <w:b/>
          <w:bCs/>
          <w:color w:val="auto"/>
          <w:sz w:val="21"/>
          <w:szCs w:val="21"/>
        </w:rPr>
      </w:pPr>
      <w:r>
        <w:rPr>
          <w:rFonts w:hint="eastAsia" w:ascii="宋体" w:hAnsi="宋体" w:eastAsia="宋体" w:cs="宋体"/>
          <w:b/>
          <w:bCs/>
          <w:color w:val="auto"/>
          <w:sz w:val="28"/>
          <w:szCs w:val="28"/>
        </w:rPr>
        <w:t>二、合同基本条款及格式响应</w:t>
      </w:r>
    </w:p>
    <w:p w14:paraId="405E0CF7">
      <w:pPr>
        <w:spacing w:line="288" w:lineRule="auto"/>
        <w:ind w:firstLine="420" w:firstLineChars="200"/>
        <w:rPr>
          <w:rFonts w:hint="eastAsia" w:ascii="宋体" w:hAnsi="宋体" w:eastAsia="宋体" w:cs="宋体"/>
          <w:bCs/>
          <w:color w:val="auto"/>
          <w:sz w:val="21"/>
          <w:szCs w:val="21"/>
        </w:rPr>
      </w:pPr>
    </w:p>
    <w:p w14:paraId="5CED12CA">
      <w:pPr>
        <w:spacing w:line="288" w:lineRule="auto"/>
        <w:ind w:firstLine="3570" w:firstLineChars="1700"/>
        <w:rPr>
          <w:rFonts w:hint="eastAsia" w:ascii="宋体" w:hAnsi="宋体" w:eastAsia="宋体" w:cs="宋体"/>
          <w:bCs/>
          <w:color w:val="auto"/>
          <w:sz w:val="21"/>
          <w:szCs w:val="21"/>
        </w:rPr>
      </w:pPr>
    </w:p>
    <w:p w14:paraId="2A486AA5">
      <w:pPr>
        <w:pStyle w:val="3"/>
        <w:rPr>
          <w:rFonts w:hint="eastAsia" w:ascii="宋体" w:hAnsi="宋体" w:eastAsia="宋体" w:cs="宋体"/>
          <w:color w:val="auto"/>
        </w:rPr>
      </w:pPr>
    </w:p>
    <w:p w14:paraId="545F086A">
      <w:pPr>
        <w:pStyle w:val="9"/>
        <w:spacing w:after="0" w:line="288" w:lineRule="auto"/>
        <w:rPr>
          <w:rFonts w:hint="eastAsia" w:ascii="宋体" w:hAnsi="宋体" w:eastAsia="宋体" w:cs="宋体"/>
          <w:color w:val="auto"/>
          <w:szCs w:val="21"/>
        </w:rPr>
      </w:pPr>
    </w:p>
    <w:p w14:paraId="6FD5C7A5">
      <w:pPr>
        <w:pStyle w:val="9"/>
        <w:spacing w:after="0" w:line="288" w:lineRule="auto"/>
        <w:ind w:firstLine="5280" w:firstLineChars="2200"/>
        <w:rPr>
          <w:rFonts w:hint="eastAsia" w:ascii="宋体" w:hAnsi="宋体" w:eastAsia="宋体" w:cs="宋体"/>
          <w:bCs/>
          <w:color w:val="auto"/>
          <w:sz w:val="24"/>
          <w:szCs w:val="24"/>
        </w:rPr>
      </w:pPr>
      <w:r>
        <w:rPr>
          <w:rFonts w:hint="eastAsia" w:ascii="宋体" w:hAnsi="宋体" w:eastAsia="宋体" w:cs="宋体"/>
          <w:color w:val="auto"/>
          <w:sz w:val="24"/>
          <w:szCs w:val="24"/>
          <w:u w:val="none"/>
        </w:rPr>
        <w:t>投标人名称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rPr>
        <w:t>（盖章）</w:t>
      </w:r>
      <w:r>
        <w:rPr>
          <w:rFonts w:hint="eastAsia" w:ascii="宋体" w:hAnsi="宋体" w:eastAsia="宋体" w:cs="宋体"/>
          <w:bCs/>
          <w:color w:val="auto"/>
          <w:sz w:val="24"/>
          <w:szCs w:val="24"/>
        </w:rPr>
        <w:tab/>
      </w:r>
    </w:p>
    <w:p w14:paraId="58D42A46">
      <w:pPr>
        <w:spacing w:line="500" w:lineRule="exact"/>
        <w:rPr>
          <w:rFonts w:hint="eastAsia" w:ascii="宋体" w:hAnsi="宋体" w:eastAsia="宋体" w:cs="宋体"/>
          <w:bCs/>
          <w:color w:val="auto"/>
          <w:sz w:val="21"/>
          <w:szCs w:val="21"/>
        </w:rPr>
      </w:pPr>
      <w:r>
        <w:rPr>
          <w:rFonts w:hint="eastAsia" w:ascii="宋体" w:hAnsi="宋体" w:eastAsia="宋体" w:cs="宋体"/>
          <w:bCs/>
          <w:color w:val="auto"/>
          <w:szCs w:val="24"/>
        </w:rPr>
        <w:t xml:space="preserve">                                               　         年　月　日</w:t>
      </w:r>
    </w:p>
    <w:p w14:paraId="0B2C20F0">
      <w:pPr>
        <w:widowControl/>
        <w:jc w:val="left"/>
        <w:rPr>
          <w:rFonts w:hint="eastAsia" w:ascii="宋体" w:hAnsi="宋体" w:eastAsia="宋体" w:cs="宋体"/>
          <w:b/>
          <w:color w:val="auto"/>
          <w:sz w:val="21"/>
          <w:szCs w:val="21"/>
        </w:rPr>
      </w:pPr>
      <w:r>
        <w:rPr>
          <w:rFonts w:hint="eastAsia" w:ascii="宋体" w:hAnsi="宋体" w:eastAsia="宋体" w:cs="宋体"/>
          <w:b/>
          <w:color w:val="auto"/>
          <w:sz w:val="21"/>
          <w:szCs w:val="21"/>
        </w:rPr>
        <w:br w:type="page"/>
      </w:r>
    </w:p>
    <w:p w14:paraId="6A05B19A">
      <w:pPr>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三、投标方案</w:t>
      </w:r>
    </w:p>
    <w:p w14:paraId="73544F2D">
      <w:pPr>
        <w:spacing w:line="500" w:lineRule="exact"/>
        <w:ind w:firstLine="480" w:firstLineChars="200"/>
        <w:rPr>
          <w:rFonts w:hint="eastAsia" w:ascii="宋体" w:hAnsi="宋体" w:eastAsia="宋体" w:cs="宋体"/>
          <w:b/>
          <w:color w:val="auto"/>
          <w:sz w:val="21"/>
          <w:szCs w:val="21"/>
        </w:rPr>
      </w:pPr>
      <w:r>
        <w:rPr>
          <w:rFonts w:hint="eastAsia" w:ascii="宋体" w:hAnsi="宋体" w:eastAsia="宋体" w:cs="宋体"/>
          <w:bCs/>
          <w:color w:val="auto"/>
          <w:szCs w:val="24"/>
        </w:rPr>
        <w:t>参照招标文件第三章《评审要素及分值一览表》各条款要素，结合第四章《</w:t>
      </w:r>
      <w:r>
        <w:rPr>
          <w:rFonts w:hint="eastAsia" w:ascii="宋体" w:hAnsi="宋体" w:eastAsia="宋体" w:cs="宋体"/>
          <w:color w:val="auto"/>
          <w:szCs w:val="24"/>
        </w:rPr>
        <w:t>招标采购内容及要求</w:t>
      </w:r>
      <w:r>
        <w:rPr>
          <w:rFonts w:hint="eastAsia" w:ascii="宋体" w:hAnsi="宋体" w:eastAsia="宋体" w:cs="宋体"/>
          <w:bCs/>
          <w:color w:val="auto"/>
          <w:szCs w:val="24"/>
        </w:rPr>
        <w:t>》编制投标方案。</w:t>
      </w:r>
    </w:p>
    <w:p w14:paraId="73279413">
      <w:pPr>
        <w:spacing w:line="500" w:lineRule="exact"/>
        <w:rPr>
          <w:rFonts w:hint="eastAsia" w:ascii="宋体" w:hAnsi="宋体" w:eastAsia="宋体" w:cs="宋体"/>
          <w:b/>
          <w:color w:val="auto"/>
          <w:sz w:val="21"/>
          <w:szCs w:val="21"/>
        </w:rPr>
      </w:pPr>
      <w:r>
        <w:rPr>
          <w:rFonts w:hint="eastAsia" w:ascii="宋体" w:hAnsi="宋体" w:eastAsia="宋体" w:cs="宋体"/>
          <w:b/>
          <w:color w:val="auto"/>
          <w:sz w:val="28"/>
          <w:szCs w:val="28"/>
        </w:rPr>
        <w:t>四、同类业绩统计样表（仅供参考）</w:t>
      </w:r>
      <w:bookmarkStart w:id="243" w:name="_Hlk113455940"/>
    </w:p>
    <w:bookmarkEnd w:id="243"/>
    <w:tbl>
      <w:tblPr>
        <w:tblStyle w:val="23"/>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2102"/>
        <w:gridCol w:w="1229"/>
        <w:gridCol w:w="1786"/>
        <w:gridCol w:w="2367"/>
      </w:tblGrid>
      <w:tr w14:paraId="6C10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54" w:type="pct"/>
            <w:shd w:val="clear" w:color="auto" w:fill="D0CECE" w:themeFill="background2" w:themeFillShade="E6"/>
            <w:vAlign w:val="center"/>
          </w:tcPr>
          <w:p w14:paraId="26297A9F">
            <w:pPr>
              <w:adjustRightInd w:val="0"/>
              <w:snapToGrid w:val="0"/>
              <w:jc w:val="center"/>
              <w:rPr>
                <w:rFonts w:hint="eastAsia" w:ascii="宋体" w:hAnsi="宋体" w:eastAsia="宋体" w:cs="宋体"/>
                <w:b/>
                <w:color w:val="auto"/>
                <w:szCs w:val="24"/>
              </w:rPr>
            </w:pPr>
            <w:r>
              <w:rPr>
                <w:rFonts w:hint="eastAsia" w:ascii="宋体" w:hAnsi="宋体" w:eastAsia="宋体" w:cs="宋体"/>
                <w:b/>
                <w:color w:val="auto"/>
                <w:szCs w:val="24"/>
              </w:rPr>
              <w:t>序号</w:t>
            </w:r>
          </w:p>
        </w:tc>
        <w:tc>
          <w:tcPr>
            <w:tcW w:w="1249" w:type="pct"/>
            <w:shd w:val="clear" w:color="auto" w:fill="D0CECE" w:themeFill="background2" w:themeFillShade="E6"/>
            <w:vAlign w:val="center"/>
          </w:tcPr>
          <w:p w14:paraId="014E1695">
            <w:pPr>
              <w:jc w:val="center"/>
              <w:rPr>
                <w:rFonts w:hint="eastAsia" w:ascii="宋体" w:hAnsi="宋体" w:eastAsia="宋体" w:cs="宋体"/>
                <w:b/>
                <w:color w:val="auto"/>
                <w:szCs w:val="24"/>
              </w:rPr>
            </w:pPr>
            <w:r>
              <w:rPr>
                <w:rFonts w:hint="eastAsia" w:ascii="宋体" w:hAnsi="宋体" w:eastAsia="宋体" w:cs="宋体"/>
                <w:b/>
                <w:color w:val="auto"/>
                <w:szCs w:val="24"/>
              </w:rPr>
              <w:t>采购单位名称</w:t>
            </w:r>
          </w:p>
        </w:tc>
        <w:tc>
          <w:tcPr>
            <w:tcW w:w="730" w:type="pct"/>
            <w:shd w:val="clear" w:color="auto" w:fill="D0CECE" w:themeFill="background2" w:themeFillShade="E6"/>
            <w:vAlign w:val="center"/>
          </w:tcPr>
          <w:p w14:paraId="6BEFFC37">
            <w:pPr>
              <w:jc w:val="center"/>
              <w:rPr>
                <w:rFonts w:hint="eastAsia" w:ascii="宋体" w:hAnsi="宋体" w:eastAsia="宋体" w:cs="宋体"/>
                <w:b/>
                <w:color w:val="auto"/>
                <w:szCs w:val="24"/>
              </w:rPr>
            </w:pPr>
            <w:r>
              <w:rPr>
                <w:rFonts w:hint="eastAsia" w:ascii="宋体" w:hAnsi="宋体" w:eastAsia="宋体" w:cs="宋体"/>
                <w:b/>
                <w:color w:val="auto"/>
                <w:szCs w:val="24"/>
              </w:rPr>
              <w:t>合同名称</w:t>
            </w:r>
          </w:p>
        </w:tc>
        <w:tc>
          <w:tcPr>
            <w:tcW w:w="1061" w:type="pct"/>
            <w:shd w:val="clear" w:color="auto" w:fill="D0CECE" w:themeFill="background2" w:themeFillShade="E6"/>
            <w:vAlign w:val="center"/>
          </w:tcPr>
          <w:p w14:paraId="52164BFF">
            <w:pPr>
              <w:jc w:val="center"/>
              <w:rPr>
                <w:rFonts w:hint="eastAsia" w:ascii="宋体" w:hAnsi="宋体" w:eastAsia="宋体" w:cs="宋体"/>
                <w:b/>
                <w:color w:val="auto"/>
                <w:szCs w:val="24"/>
              </w:rPr>
            </w:pPr>
            <w:r>
              <w:rPr>
                <w:rFonts w:hint="eastAsia" w:ascii="宋体" w:hAnsi="宋体" w:eastAsia="宋体" w:cs="宋体"/>
                <w:b/>
                <w:color w:val="auto"/>
                <w:szCs w:val="24"/>
              </w:rPr>
              <w:t>合同起止时间</w:t>
            </w:r>
          </w:p>
        </w:tc>
        <w:tc>
          <w:tcPr>
            <w:tcW w:w="1403" w:type="pct"/>
            <w:shd w:val="clear" w:color="auto" w:fill="D0CECE" w:themeFill="background2" w:themeFillShade="E6"/>
            <w:vAlign w:val="center"/>
          </w:tcPr>
          <w:p w14:paraId="2BABCF5E">
            <w:pPr>
              <w:jc w:val="center"/>
              <w:rPr>
                <w:rFonts w:hint="eastAsia" w:ascii="宋体" w:hAnsi="宋体" w:eastAsia="宋体" w:cs="宋体"/>
                <w:b/>
                <w:color w:val="auto"/>
                <w:szCs w:val="24"/>
              </w:rPr>
            </w:pPr>
            <w:r>
              <w:rPr>
                <w:rFonts w:hint="eastAsia" w:ascii="宋体" w:hAnsi="宋体" w:eastAsia="宋体" w:cs="宋体"/>
                <w:b/>
                <w:color w:val="auto"/>
                <w:szCs w:val="24"/>
              </w:rPr>
              <w:t>合同金额（万元）</w:t>
            </w:r>
          </w:p>
        </w:tc>
      </w:tr>
      <w:tr w14:paraId="1C114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54" w:type="pct"/>
            <w:vAlign w:val="center"/>
          </w:tcPr>
          <w:p w14:paraId="58DAB487">
            <w:pPr>
              <w:jc w:val="center"/>
              <w:rPr>
                <w:rFonts w:hint="eastAsia" w:ascii="宋体" w:hAnsi="宋体" w:eastAsia="宋体" w:cs="宋体"/>
                <w:bCs/>
                <w:color w:val="auto"/>
                <w:szCs w:val="24"/>
              </w:rPr>
            </w:pPr>
            <w:r>
              <w:rPr>
                <w:rFonts w:hint="eastAsia" w:ascii="宋体" w:hAnsi="宋体" w:eastAsia="宋体" w:cs="宋体"/>
                <w:bCs/>
                <w:color w:val="auto"/>
                <w:szCs w:val="24"/>
              </w:rPr>
              <w:t>1</w:t>
            </w:r>
          </w:p>
        </w:tc>
        <w:tc>
          <w:tcPr>
            <w:tcW w:w="1249" w:type="pct"/>
            <w:vAlign w:val="center"/>
          </w:tcPr>
          <w:p w14:paraId="423BCA9D">
            <w:pPr>
              <w:spacing w:line="500" w:lineRule="exact"/>
              <w:jc w:val="center"/>
              <w:rPr>
                <w:rFonts w:hint="eastAsia" w:ascii="宋体" w:hAnsi="宋体" w:eastAsia="宋体" w:cs="宋体"/>
                <w:bCs/>
                <w:color w:val="auto"/>
                <w:szCs w:val="24"/>
              </w:rPr>
            </w:pPr>
          </w:p>
        </w:tc>
        <w:tc>
          <w:tcPr>
            <w:tcW w:w="730" w:type="pct"/>
            <w:vAlign w:val="center"/>
          </w:tcPr>
          <w:p w14:paraId="739CC5DA">
            <w:pPr>
              <w:spacing w:line="500" w:lineRule="exact"/>
              <w:jc w:val="center"/>
              <w:rPr>
                <w:rFonts w:hint="eastAsia" w:ascii="宋体" w:hAnsi="宋体" w:eastAsia="宋体" w:cs="宋体"/>
                <w:bCs/>
                <w:color w:val="auto"/>
                <w:szCs w:val="24"/>
              </w:rPr>
            </w:pPr>
          </w:p>
        </w:tc>
        <w:tc>
          <w:tcPr>
            <w:tcW w:w="1061" w:type="pct"/>
            <w:vAlign w:val="center"/>
          </w:tcPr>
          <w:p w14:paraId="0ECE0701">
            <w:pPr>
              <w:spacing w:line="500" w:lineRule="exact"/>
              <w:jc w:val="center"/>
              <w:rPr>
                <w:rFonts w:hint="eastAsia" w:ascii="宋体" w:hAnsi="宋体" w:eastAsia="宋体" w:cs="宋体"/>
                <w:bCs/>
                <w:color w:val="auto"/>
                <w:szCs w:val="24"/>
              </w:rPr>
            </w:pPr>
          </w:p>
        </w:tc>
        <w:tc>
          <w:tcPr>
            <w:tcW w:w="1403" w:type="pct"/>
            <w:vAlign w:val="center"/>
          </w:tcPr>
          <w:p w14:paraId="1C06D5CB">
            <w:pPr>
              <w:spacing w:line="500" w:lineRule="exact"/>
              <w:jc w:val="center"/>
              <w:rPr>
                <w:rFonts w:hint="eastAsia" w:ascii="宋体" w:hAnsi="宋体" w:eastAsia="宋体" w:cs="宋体"/>
                <w:bCs/>
                <w:color w:val="auto"/>
                <w:szCs w:val="24"/>
              </w:rPr>
            </w:pPr>
          </w:p>
        </w:tc>
      </w:tr>
      <w:tr w14:paraId="644A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54" w:type="pct"/>
            <w:vAlign w:val="center"/>
          </w:tcPr>
          <w:p w14:paraId="6BDA7874">
            <w:pPr>
              <w:jc w:val="center"/>
              <w:rPr>
                <w:rFonts w:hint="eastAsia" w:ascii="宋体" w:hAnsi="宋体" w:eastAsia="宋体" w:cs="宋体"/>
                <w:bCs/>
                <w:color w:val="auto"/>
                <w:szCs w:val="24"/>
              </w:rPr>
            </w:pPr>
            <w:r>
              <w:rPr>
                <w:rFonts w:hint="eastAsia" w:ascii="宋体" w:hAnsi="宋体" w:eastAsia="宋体" w:cs="宋体"/>
                <w:bCs/>
                <w:color w:val="auto"/>
                <w:szCs w:val="24"/>
              </w:rPr>
              <w:t>2</w:t>
            </w:r>
          </w:p>
        </w:tc>
        <w:tc>
          <w:tcPr>
            <w:tcW w:w="1249" w:type="pct"/>
            <w:vAlign w:val="center"/>
          </w:tcPr>
          <w:p w14:paraId="6E88DB11">
            <w:pPr>
              <w:spacing w:line="500" w:lineRule="exact"/>
              <w:jc w:val="center"/>
              <w:rPr>
                <w:rFonts w:hint="eastAsia" w:ascii="宋体" w:hAnsi="宋体" w:eastAsia="宋体" w:cs="宋体"/>
                <w:bCs/>
                <w:color w:val="auto"/>
                <w:szCs w:val="24"/>
              </w:rPr>
            </w:pPr>
          </w:p>
        </w:tc>
        <w:tc>
          <w:tcPr>
            <w:tcW w:w="730" w:type="pct"/>
            <w:vAlign w:val="center"/>
          </w:tcPr>
          <w:p w14:paraId="3568D7EA">
            <w:pPr>
              <w:spacing w:line="500" w:lineRule="exact"/>
              <w:jc w:val="center"/>
              <w:rPr>
                <w:rFonts w:hint="eastAsia" w:ascii="宋体" w:hAnsi="宋体" w:eastAsia="宋体" w:cs="宋体"/>
                <w:bCs/>
                <w:color w:val="auto"/>
                <w:szCs w:val="24"/>
              </w:rPr>
            </w:pPr>
          </w:p>
        </w:tc>
        <w:tc>
          <w:tcPr>
            <w:tcW w:w="1061" w:type="pct"/>
            <w:vAlign w:val="center"/>
          </w:tcPr>
          <w:p w14:paraId="34248839">
            <w:pPr>
              <w:spacing w:line="500" w:lineRule="exact"/>
              <w:jc w:val="center"/>
              <w:rPr>
                <w:rFonts w:hint="eastAsia" w:ascii="宋体" w:hAnsi="宋体" w:eastAsia="宋体" w:cs="宋体"/>
                <w:bCs/>
                <w:color w:val="auto"/>
                <w:szCs w:val="24"/>
              </w:rPr>
            </w:pPr>
          </w:p>
        </w:tc>
        <w:tc>
          <w:tcPr>
            <w:tcW w:w="1403" w:type="pct"/>
            <w:vAlign w:val="center"/>
          </w:tcPr>
          <w:p w14:paraId="342EE6D2">
            <w:pPr>
              <w:spacing w:line="500" w:lineRule="exact"/>
              <w:jc w:val="center"/>
              <w:rPr>
                <w:rFonts w:hint="eastAsia" w:ascii="宋体" w:hAnsi="宋体" w:eastAsia="宋体" w:cs="宋体"/>
                <w:bCs/>
                <w:color w:val="auto"/>
                <w:szCs w:val="24"/>
              </w:rPr>
            </w:pPr>
          </w:p>
        </w:tc>
      </w:tr>
      <w:tr w14:paraId="357E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54" w:type="pct"/>
            <w:vAlign w:val="center"/>
          </w:tcPr>
          <w:p w14:paraId="6884A09B">
            <w:pPr>
              <w:jc w:val="center"/>
              <w:rPr>
                <w:rFonts w:hint="eastAsia" w:ascii="宋体" w:hAnsi="宋体" w:eastAsia="宋体" w:cs="宋体"/>
                <w:bCs/>
                <w:color w:val="auto"/>
                <w:szCs w:val="24"/>
              </w:rPr>
            </w:pPr>
            <w:r>
              <w:rPr>
                <w:rFonts w:hint="eastAsia" w:ascii="宋体" w:hAnsi="宋体" w:eastAsia="宋体" w:cs="宋体"/>
                <w:bCs/>
                <w:color w:val="auto"/>
                <w:szCs w:val="24"/>
              </w:rPr>
              <w:t>……</w:t>
            </w:r>
          </w:p>
        </w:tc>
        <w:tc>
          <w:tcPr>
            <w:tcW w:w="1249" w:type="pct"/>
            <w:vAlign w:val="center"/>
          </w:tcPr>
          <w:p w14:paraId="4AF37F2F">
            <w:pPr>
              <w:spacing w:line="500" w:lineRule="exact"/>
              <w:jc w:val="center"/>
              <w:rPr>
                <w:rFonts w:hint="eastAsia" w:ascii="宋体" w:hAnsi="宋体" w:eastAsia="宋体" w:cs="宋体"/>
                <w:bCs/>
                <w:color w:val="auto"/>
                <w:szCs w:val="24"/>
              </w:rPr>
            </w:pPr>
          </w:p>
        </w:tc>
        <w:tc>
          <w:tcPr>
            <w:tcW w:w="730" w:type="pct"/>
            <w:vAlign w:val="center"/>
          </w:tcPr>
          <w:p w14:paraId="570D1F8B">
            <w:pPr>
              <w:spacing w:line="500" w:lineRule="exact"/>
              <w:jc w:val="center"/>
              <w:rPr>
                <w:rFonts w:hint="eastAsia" w:ascii="宋体" w:hAnsi="宋体" w:eastAsia="宋体" w:cs="宋体"/>
                <w:bCs/>
                <w:color w:val="auto"/>
                <w:szCs w:val="24"/>
              </w:rPr>
            </w:pPr>
          </w:p>
        </w:tc>
        <w:tc>
          <w:tcPr>
            <w:tcW w:w="1061" w:type="pct"/>
            <w:vAlign w:val="center"/>
          </w:tcPr>
          <w:p w14:paraId="04AA6789">
            <w:pPr>
              <w:spacing w:line="500" w:lineRule="exact"/>
              <w:jc w:val="center"/>
              <w:rPr>
                <w:rFonts w:hint="eastAsia" w:ascii="宋体" w:hAnsi="宋体" w:eastAsia="宋体" w:cs="宋体"/>
                <w:bCs/>
                <w:color w:val="auto"/>
                <w:szCs w:val="24"/>
              </w:rPr>
            </w:pPr>
          </w:p>
        </w:tc>
        <w:tc>
          <w:tcPr>
            <w:tcW w:w="1403" w:type="pct"/>
            <w:vAlign w:val="center"/>
          </w:tcPr>
          <w:p w14:paraId="12F44092">
            <w:pPr>
              <w:spacing w:line="500" w:lineRule="exact"/>
              <w:jc w:val="center"/>
              <w:rPr>
                <w:rFonts w:hint="eastAsia" w:ascii="宋体" w:hAnsi="宋体" w:eastAsia="宋体" w:cs="宋体"/>
                <w:bCs/>
                <w:color w:val="auto"/>
                <w:szCs w:val="24"/>
              </w:rPr>
            </w:pPr>
          </w:p>
        </w:tc>
      </w:tr>
      <w:tr w14:paraId="716C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000" w:type="pct"/>
            <w:gridSpan w:val="5"/>
            <w:vAlign w:val="center"/>
          </w:tcPr>
          <w:p w14:paraId="4FF9A15F">
            <w:pPr>
              <w:jc w:val="left"/>
              <w:rPr>
                <w:rFonts w:hint="eastAsia" w:ascii="宋体" w:hAnsi="宋体" w:eastAsia="宋体" w:cs="宋体"/>
                <w:b/>
                <w:color w:val="auto"/>
                <w:szCs w:val="24"/>
              </w:rPr>
            </w:pPr>
            <w:r>
              <w:rPr>
                <w:rFonts w:hint="eastAsia" w:ascii="宋体" w:hAnsi="宋体" w:eastAsia="宋体" w:cs="宋体"/>
                <w:b/>
                <w:color w:val="auto"/>
                <w:szCs w:val="24"/>
              </w:rPr>
              <w:t>数量合计（个）：</w:t>
            </w:r>
          </w:p>
        </w:tc>
      </w:tr>
    </w:tbl>
    <w:p w14:paraId="766E9FDC">
      <w:pPr>
        <w:spacing w:line="500" w:lineRule="exact"/>
        <w:rPr>
          <w:rFonts w:hint="eastAsia" w:ascii="宋体" w:hAnsi="宋体" w:eastAsia="宋体" w:cs="宋体"/>
          <w:b/>
          <w:color w:val="auto"/>
          <w:sz w:val="28"/>
          <w:szCs w:val="28"/>
        </w:rPr>
      </w:pPr>
    </w:p>
    <w:p w14:paraId="56538CBD">
      <w:pPr>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五、投标人认为有利于中标的其他情况说明</w:t>
      </w:r>
    </w:p>
    <w:p w14:paraId="47CCF3EB">
      <w:pPr>
        <w:pStyle w:val="9"/>
        <w:rPr>
          <w:rFonts w:hint="eastAsia" w:ascii="宋体" w:hAnsi="宋体" w:eastAsia="宋体" w:cs="宋体"/>
          <w:color w:val="auto"/>
        </w:rPr>
      </w:pPr>
    </w:p>
    <w:p w14:paraId="2C49902E">
      <w:pPr>
        <w:rPr>
          <w:rFonts w:hint="eastAsia" w:ascii="宋体" w:hAnsi="宋体" w:eastAsia="宋体" w:cs="宋体"/>
          <w:color w:val="auto"/>
        </w:rPr>
      </w:pPr>
    </w:p>
    <w:p w14:paraId="32F18D98">
      <w:pPr>
        <w:pStyle w:val="9"/>
        <w:rPr>
          <w:rFonts w:hint="eastAsia" w:ascii="宋体" w:hAnsi="宋体" w:eastAsia="宋体" w:cs="宋体"/>
          <w:color w:val="auto"/>
        </w:rPr>
      </w:pPr>
    </w:p>
    <w:p w14:paraId="3E7A52BE">
      <w:pPr>
        <w:rPr>
          <w:rFonts w:hint="eastAsia" w:ascii="宋体" w:hAnsi="宋体" w:eastAsia="宋体" w:cs="宋体"/>
          <w:color w:val="auto"/>
        </w:rPr>
      </w:pPr>
    </w:p>
    <w:p w14:paraId="06234F8D">
      <w:pPr>
        <w:pStyle w:val="9"/>
        <w:rPr>
          <w:rFonts w:hint="eastAsia" w:ascii="宋体" w:hAnsi="宋体" w:eastAsia="宋体" w:cs="宋体"/>
          <w:color w:val="auto"/>
        </w:rPr>
      </w:pPr>
    </w:p>
    <w:p w14:paraId="4184CDA9">
      <w:pPr>
        <w:rPr>
          <w:rFonts w:hint="eastAsia" w:ascii="宋体" w:hAnsi="宋体" w:eastAsia="宋体" w:cs="宋体"/>
          <w:color w:val="auto"/>
        </w:rPr>
      </w:pPr>
    </w:p>
    <w:p w14:paraId="765D479F">
      <w:pPr>
        <w:pStyle w:val="9"/>
        <w:rPr>
          <w:rFonts w:hint="eastAsia" w:ascii="宋体" w:hAnsi="宋体" w:eastAsia="宋体" w:cs="宋体"/>
          <w:color w:val="auto"/>
        </w:rPr>
      </w:pPr>
    </w:p>
    <w:p w14:paraId="360CC420">
      <w:pPr>
        <w:rPr>
          <w:rFonts w:hint="eastAsia" w:ascii="宋体" w:hAnsi="宋体" w:eastAsia="宋体" w:cs="宋体"/>
          <w:color w:val="auto"/>
        </w:rPr>
      </w:pPr>
    </w:p>
    <w:p w14:paraId="73EEF032">
      <w:pPr>
        <w:pStyle w:val="9"/>
        <w:rPr>
          <w:rFonts w:hint="eastAsia" w:ascii="宋体" w:hAnsi="宋体" w:eastAsia="宋体" w:cs="宋体"/>
          <w:color w:val="auto"/>
        </w:rPr>
      </w:pPr>
    </w:p>
    <w:p w14:paraId="06FDE09A">
      <w:pPr>
        <w:rPr>
          <w:rFonts w:hint="eastAsia" w:ascii="宋体" w:hAnsi="宋体" w:eastAsia="宋体" w:cs="宋体"/>
          <w:color w:val="auto"/>
        </w:rPr>
      </w:pPr>
    </w:p>
    <w:p w14:paraId="34C802B1">
      <w:pPr>
        <w:spacing w:line="360" w:lineRule="auto"/>
        <w:jc w:val="both"/>
        <w:rPr>
          <w:rFonts w:hint="eastAsia" w:ascii="宋体" w:hAnsi="宋体" w:eastAsia="宋体" w:cs="宋体"/>
          <w:b/>
          <w:bCs/>
          <w:color w:val="auto"/>
          <w:sz w:val="24"/>
          <w:szCs w:val="22"/>
        </w:rPr>
      </w:pPr>
      <w:r>
        <w:rPr>
          <w:rFonts w:hint="eastAsia" w:ascii="宋体" w:hAnsi="宋体" w:eastAsia="宋体" w:cs="宋体"/>
          <w:b/>
          <w:bCs/>
          <w:color w:val="auto"/>
          <w:sz w:val="24"/>
          <w:szCs w:val="22"/>
        </w:rPr>
        <w:t>附件：信用承诺上报操作指南</w:t>
      </w:r>
    </w:p>
    <w:p w14:paraId="69CCE390">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10605" cy="3481070"/>
            <wp:effectExtent l="0" t="0" r="4445"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6110605" cy="3481070"/>
                    </a:xfrm>
                    <a:prstGeom prst="rect">
                      <a:avLst/>
                    </a:prstGeom>
                    <a:noFill/>
                    <a:ln>
                      <a:noFill/>
                    </a:ln>
                  </pic:spPr>
                </pic:pic>
              </a:graphicData>
            </a:graphic>
          </wp:inline>
        </w:drawing>
      </w:r>
    </w:p>
    <w:p w14:paraId="7B28C4F1">
      <w:pPr>
        <w:spacing w:line="360" w:lineRule="auto"/>
        <w:jc w:val="both"/>
        <w:rPr>
          <w:rFonts w:hint="eastAsia" w:ascii="宋体" w:hAnsi="宋体" w:eastAsia="宋体" w:cs="宋体"/>
          <w:color w:val="auto"/>
        </w:rPr>
      </w:pPr>
    </w:p>
    <w:p w14:paraId="0B116625">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72200" cy="3448685"/>
            <wp:effectExtent l="0" t="0" r="0" b="184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tretch>
                      <a:fillRect/>
                    </a:stretch>
                  </pic:blipFill>
                  <pic:spPr>
                    <a:xfrm>
                      <a:off x="0" y="0"/>
                      <a:ext cx="6172200" cy="344868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977255" cy="3370580"/>
            <wp:effectExtent l="0" t="0" r="444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977255" cy="3370580"/>
                    </a:xfrm>
                    <a:prstGeom prst="rect">
                      <a:avLst/>
                    </a:prstGeom>
                    <a:noFill/>
                    <a:ln>
                      <a:noFill/>
                    </a:ln>
                  </pic:spPr>
                </pic:pic>
              </a:graphicData>
            </a:graphic>
          </wp:inline>
        </w:drawing>
      </w:r>
    </w:p>
    <w:p w14:paraId="1D5EA938">
      <w:pPr>
        <w:spacing w:line="360" w:lineRule="auto"/>
        <w:jc w:val="both"/>
        <w:rPr>
          <w:rFonts w:hint="eastAsia" w:ascii="宋体" w:hAnsi="宋体" w:eastAsia="宋体" w:cs="宋体"/>
          <w:color w:val="auto"/>
        </w:rPr>
      </w:pPr>
    </w:p>
    <w:p w14:paraId="06362874">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993130" cy="3397250"/>
            <wp:effectExtent l="0" t="0" r="7620"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5993130" cy="339725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6019165" cy="3403600"/>
            <wp:effectExtent l="0" t="0" r="635" b="635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4"/>
                    <a:stretch>
                      <a:fillRect/>
                    </a:stretch>
                  </pic:blipFill>
                  <pic:spPr>
                    <a:xfrm>
                      <a:off x="0" y="0"/>
                      <a:ext cx="6019165" cy="3403600"/>
                    </a:xfrm>
                    <a:prstGeom prst="rect">
                      <a:avLst/>
                    </a:prstGeom>
                    <a:noFill/>
                    <a:ln>
                      <a:noFill/>
                    </a:ln>
                  </pic:spPr>
                </pic:pic>
              </a:graphicData>
            </a:graphic>
          </wp:inline>
        </w:drawing>
      </w:r>
    </w:p>
    <w:p w14:paraId="6E6DB5C4">
      <w:pPr>
        <w:spacing w:line="360" w:lineRule="auto"/>
        <w:jc w:val="both"/>
        <w:rPr>
          <w:rFonts w:hint="eastAsia" w:ascii="宋体" w:hAnsi="宋体" w:eastAsia="宋体" w:cs="宋体"/>
          <w:color w:val="auto"/>
        </w:rPr>
      </w:pPr>
    </w:p>
    <w:p w14:paraId="05B5D766">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025515" cy="3397885"/>
            <wp:effectExtent l="0" t="0" r="13335" b="1206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5"/>
                    <a:stretch>
                      <a:fillRect/>
                    </a:stretch>
                  </pic:blipFill>
                  <pic:spPr>
                    <a:xfrm>
                      <a:off x="0" y="0"/>
                      <a:ext cx="6025515" cy="339788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6084570" cy="3452495"/>
            <wp:effectExtent l="0" t="0" r="11430" b="1460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6"/>
                    <a:stretch>
                      <a:fillRect/>
                    </a:stretch>
                  </pic:blipFill>
                  <pic:spPr>
                    <a:xfrm>
                      <a:off x="0" y="0"/>
                      <a:ext cx="6084570" cy="3452495"/>
                    </a:xfrm>
                    <a:prstGeom prst="rect">
                      <a:avLst/>
                    </a:prstGeom>
                    <a:noFill/>
                    <a:ln>
                      <a:noFill/>
                    </a:ln>
                  </pic:spPr>
                </pic:pic>
              </a:graphicData>
            </a:graphic>
          </wp:inline>
        </w:drawing>
      </w:r>
    </w:p>
    <w:p w14:paraId="6D9FA4D1">
      <w:pPr>
        <w:spacing w:line="360" w:lineRule="auto"/>
        <w:jc w:val="both"/>
        <w:rPr>
          <w:rFonts w:hint="eastAsia" w:ascii="宋体" w:hAnsi="宋体" w:eastAsia="宋体" w:cs="宋体"/>
          <w:color w:val="auto"/>
        </w:rPr>
      </w:pPr>
    </w:p>
    <w:p w14:paraId="652D0888">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20765" cy="3474720"/>
            <wp:effectExtent l="0" t="0" r="13335" b="1143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7"/>
                    <a:stretch>
                      <a:fillRect/>
                    </a:stretch>
                  </pic:blipFill>
                  <pic:spPr>
                    <a:xfrm>
                      <a:off x="0" y="0"/>
                      <a:ext cx="6120765" cy="347472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997575" cy="3375025"/>
            <wp:effectExtent l="0" t="0" r="3175" b="1587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8"/>
                    <a:stretch>
                      <a:fillRect/>
                    </a:stretch>
                  </pic:blipFill>
                  <pic:spPr>
                    <a:xfrm>
                      <a:off x="0" y="0"/>
                      <a:ext cx="5997575" cy="3375025"/>
                    </a:xfrm>
                    <a:prstGeom prst="rect">
                      <a:avLst/>
                    </a:prstGeom>
                    <a:noFill/>
                    <a:ln>
                      <a:noFill/>
                    </a:ln>
                  </pic:spPr>
                </pic:pic>
              </a:graphicData>
            </a:graphic>
          </wp:inline>
        </w:drawing>
      </w:r>
    </w:p>
    <w:p w14:paraId="7AFED5CD">
      <w:pPr>
        <w:spacing w:line="360" w:lineRule="auto"/>
        <w:jc w:val="both"/>
        <w:rPr>
          <w:rFonts w:hint="eastAsia" w:ascii="宋体" w:hAnsi="宋体" w:eastAsia="宋体" w:cs="宋体"/>
          <w:color w:val="auto"/>
        </w:rPr>
      </w:pPr>
    </w:p>
    <w:p w14:paraId="66CAE159">
      <w:pPr>
        <w:spacing w:line="360" w:lineRule="auto"/>
        <w:jc w:val="both"/>
        <w:rPr>
          <w:rFonts w:hint="eastAsia" w:ascii="宋体" w:hAnsi="宋体" w:eastAsia="宋体" w:cs="宋体"/>
          <w:color w:val="auto"/>
          <w:sz w:val="32"/>
          <w:szCs w:val="32"/>
        </w:rPr>
      </w:pPr>
      <w:r>
        <w:rPr>
          <w:rFonts w:hint="eastAsia" w:ascii="宋体" w:hAnsi="宋体" w:eastAsia="宋体" w:cs="宋体"/>
          <w:color w:val="auto"/>
        </w:rPr>
        <w:drawing>
          <wp:inline distT="0" distB="0" distL="114300" distR="114300">
            <wp:extent cx="6045200" cy="3383280"/>
            <wp:effectExtent l="0" t="0" r="12700" b="762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9"/>
                    <a:stretch>
                      <a:fillRect/>
                    </a:stretch>
                  </pic:blipFill>
                  <pic:spPr>
                    <a:xfrm>
                      <a:off x="0" y="0"/>
                      <a:ext cx="6045200" cy="338328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6045200" cy="3409950"/>
            <wp:effectExtent l="0" t="0" r="1270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0"/>
                    <a:stretch>
                      <a:fillRect/>
                    </a:stretch>
                  </pic:blipFill>
                  <pic:spPr>
                    <a:xfrm>
                      <a:off x="0" y="0"/>
                      <a:ext cx="6045200" cy="3409950"/>
                    </a:xfrm>
                    <a:prstGeom prst="rect">
                      <a:avLst/>
                    </a:prstGeom>
                    <a:noFill/>
                    <a:ln>
                      <a:noFill/>
                    </a:ln>
                  </pic:spPr>
                </pic:pic>
              </a:graphicData>
            </a:graphic>
          </wp:inline>
        </w:drawing>
      </w:r>
    </w:p>
    <w:p w14:paraId="0C7603BF">
      <w:pPr>
        <w:pStyle w:val="15"/>
        <w:rPr>
          <w:rFonts w:hint="eastAsia" w:ascii="宋体" w:hAnsi="宋体" w:eastAsia="宋体" w:cs="宋体"/>
          <w:b/>
          <w:bCs/>
          <w:color w:val="auto"/>
        </w:rPr>
      </w:pPr>
    </w:p>
    <w:p w14:paraId="0903DDF1">
      <w:pPr>
        <w:pStyle w:val="15"/>
        <w:rPr>
          <w:rFonts w:hint="eastAsia" w:ascii="宋体" w:hAnsi="宋体" w:eastAsia="宋体" w:cs="宋体"/>
          <w:b/>
          <w:bCs/>
          <w:color w:val="auto"/>
        </w:rPr>
      </w:pPr>
    </w:p>
    <w:p w14:paraId="7D68D226">
      <w:pPr>
        <w:pStyle w:val="9"/>
        <w:rPr>
          <w:rFonts w:hint="eastAsia" w:ascii="宋体" w:hAnsi="宋体" w:eastAsia="宋体" w:cs="宋体"/>
          <w:color w:val="auto"/>
        </w:rPr>
      </w:pPr>
    </w:p>
    <w:p w14:paraId="0DBC8058">
      <w:pPr>
        <w:rPr>
          <w:rFonts w:hint="eastAsia" w:ascii="宋体" w:hAnsi="宋体" w:eastAsia="宋体" w:cs="宋体"/>
          <w:color w:val="auto"/>
        </w:rPr>
      </w:pPr>
    </w:p>
    <w:p w14:paraId="3B7CBB4D">
      <w:pPr>
        <w:pStyle w:val="9"/>
        <w:rPr>
          <w:rFonts w:hint="eastAsia" w:ascii="宋体" w:hAnsi="宋体" w:eastAsia="宋体" w:cs="宋体"/>
          <w:color w:val="auto"/>
        </w:rPr>
      </w:pPr>
    </w:p>
    <w:p w14:paraId="50A6E8C7">
      <w:pPr>
        <w:rPr>
          <w:rFonts w:hint="eastAsia" w:ascii="宋体" w:hAnsi="宋体" w:eastAsia="宋体" w:cs="宋体"/>
          <w:color w:val="auto"/>
        </w:rPr>
      </w:pPr>
    </w:p>
    <w:p w14:paraId="1947394A">
      <w:pPr>
        <w:pStyle w:val="9"/>
        <w:rPr>
          <w:rFonts w:hint="eastAsia" w:ascii="宋体" w:hAnsi="宋体" w:eastAsia="宋体" w:cs="宋体"/>
          <w:color w:val="auto"/>
        </w:rPr>
      </w:pPr>
    </w:p>
    <w:p w14:paraId="30477F30">
      <w:pPr>
        <w:rPr>
          <w:rFonts w:hint="eastAsia" w:ascii="宋体" w:hAnsi="宋体" w:eastAsia="宋体" w:cs="宋体"/>
          <w:color w:val="auto"/>
        </w:rPr>
      </w:pPr>
    </w:p>
    <w:p w14:paraId="0E9605FA">
      <w:pPr>
        <w:pStyle w:val="9"/>
        <w:rPr>
          <w:rFonts w:hint="eastAsia" w:ascii="宋体" w:hAnsi="宋体" w:eastAsia="宋体" w:cs="宋体"/>
          <w:color w:val="auto"/>
        </w:rPr>
      </w:pPr>
    </w:p>
    <w:p w14:paraId="136315A7">
      <w:pPr>
        <w:rPr>
          <w:rFonts w:hint="eastAsia" w:ascii="宋体" w:hAnsi="宋体" w:eastAsia="宋体" w:cs="宋体"/>
          <w:color w:val="auto"/>
        </w:rPr>
      </w:pPr>
    </w:p>
    <w:p w14:paraId="19CC53E1">
      <w:pPr>
        <w:pStyle w:val="9"/>
        <w:jc w:val="center"/>
        <w:rPr>
          <w:rFonts w:hint="eastAsia" w:ascii="宋体" w:hAnsi="宋体" w:eastAsia="宋体" w:cs="宋体"/>
          <w:color w:val="auto"/>
          <w:lang w:val="en-US" w:eastAsia="zh-CN"/>
        </w:rPr>
      </w:pPr>
      <w:r>
        <w:rPr>
          <w:rFonts w:hint="eastAsia" w:ascii="宋体" w:hAnsi="宋体" w:eastAsia="宋体" w:cs="宋体"/>
          <w:color w:val="auto"/>
          <w:sz w:val="28"/>
          <w:szCs w:val="28"/>
          <w:lang w:val="en-US" w:eastAsia="zh-CN"/>
        </w:rPr>
        <w:t>----------此页以下无正文----------</w:t>
      </w:r>
    </w:p>
    <w:p w14:paraId="0F59DD3F">
      <w:pPr>
        <w:rPr>
          <w:rFonts w:hint="eastAsia" w:ascii="宋体" w:hAnsi="宋体" w:eastAsia="宋体" w:cs="宋体"/>
          <w:color w:val="auto"/>
        </w:rPr>
      </w:pPr>
    </w:p>
    <w:p w14:paraId="7F253F8B">
      <w:pPr>
        <w:pStyle w:val="9"/>
        <w:rPr>
          <w:rFonts w:hint="eastAsia" w:ascii="宋体" w:hAnsi="宋体" w:eastAsia="宋体" w:cs="宋体"/>
          <w:color w:val="auto"/>
        </w:rPr>
      </w:pPr>
    </w:p>
    <w:p w14:paraId="1BD7AC7C">
      <w:pPr>
        <w:rPr>
          <w:rFonts w:hint="eastAsia" w:ascii="宋体" w:hAnsi="宋体" w:eastAsia="宋体" w:cs="宋体"/>
          <w:color w:val="auto"/>
        </w:rPr>
      </w:pPr>
    </w:p>
    <w:sectPr>
      <w:pgSz w:w="11906" w:h="16838"/>
      <w:pgMar w:top="1440" w:right="1800" w:bottom="1440" w:left="1800" w:header="850" w:footer="850" w:gutter="0"/>
      <w:pgNumType w:fmt="decimal"/>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modern"/>
    <w:pitch w:val="default"/>
    <w:sig w:usb0="E00002FF" w:usb1="6AC7FDFB" w:usb2="08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E03CF">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7BEEA">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C87BEEA">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E3C8E">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C3ED3">
                          <w:pPr>
                            <w:pStyle w:val="1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19C3ED3">
                    <w:pPr>
                      <w:pStyle w:val="1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46445">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570BDF">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6570BDF">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5D2FD">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49BF3">
                          <w:pPr>
                            <w:pStyle w:val="14"/>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C449BF3">
                    <w:pPr>
                      <w:pStyle w:val="14"/>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39332">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4300F">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F05A63"/>
    <w:multiLevelType w:val="singleLevel"/>
    <w:tmpl w:val="98F05A63"/>
    <w:lvl w:ilvl="0" w:tentative="0">
      <w:start w:val="3"/>
      <w:numFmt w:val="chineseCounting"/>
      <w:suff w:val="space"/>
      <w:lvlText w:val="第%1章"/>
      <w:lvlJc w:val="left"/>
      <w:rPr>
        <w:rFonts w:hint="eastAsia"/>
      </w:rPr>
    </w:lvl>
  </w:abstractNum>
  <w:abstractNum w:abstractNumId="1">
    <w:nsid w:val="A08224F8"/>
    <w:multiLevelType w:val="singleLevel"/>
    <w:tmpl w:val="A08224F8"/>
    <w:lvl w:ilvl="0" w:tentative="0">
      <w:start w:val="1"/>
      <w:numFmt w:val="decimal"/>
      <w:suff w:val="nothing"/>
      <w:lvlText w:val="%1、"/>
      <w:lvlJc w:val="left"/>
    </w:lvl>
  </w:abstractNum>
  <w:abstractNum w:abstractNumId="2">
    <w:nsid w:val="E606AA9E"/>
    <w:multiLevelType w:val="singleLevel"/>
    <w:tmpl w:val="E606AA9E"/>
    <w:lvl w:ilvl="0" w:tentative="0">
      <w:start w:val="1"/>
      <w:numFmt w:val="chineseCounting"/>
      <w:suff w:val="nothing"/>
      <w:lvlText w:val="%1、"/>
      <w:lvlJc w:val="left"/>
      <w:rPr>
        <w:rFonts w:hint="eastAsia"/>
      </w:rPr>
    </w:lvl>
  </w:abstractNum>
  <w:abstractNum w:abstractNumId="3">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1MjA0N2NmMTJkM2YwMjkwMzcwZWM4Y2IzZDM1MjEifQ=="/>
  </w:docVars>
  <w:rsids>
    <w:rsidRoot w:val="7F092ACA"/>
    <w:rsid w:val="000508FA"/>
    <w:rsid w:val="00066424"/>
    <w:rsid w:val="00085AF7"/>
    <w:rsid w:val="000A0647"/>
    <w:rsid w:val="000A15F0"/>
    <w:rsid w:val="000B2B10"/>
    <w:rsid w:val="000B761E"/>
    <w:rsid w:val="0011040E"/>
    <w:rsid w:val="00144DBE"/>
    <w:rsid w:val="00180211"/>
    <w:rsid w:val="0018315D"/>
    <w:rsid w:val="00191E4A"/>
    <w:rsid w:val="00196C68"/>
    <w:rsid w:val="001B39EC"/>
    <w:rsid w:val="001B6258"/>
    <w:rsid w:val="001E1AEF"/>
    <w:rsid w:val="0021704A"/>
    <w:rsid w:val="00242E73"/>
    <w:rsid w:val="00244E4F"/>
    <w:rsid w:val="00272168"/>
    <w:rsid w:val="002764E1"/>
    <w:rsid w:val="002C344E"/>
    <w:rsid w:val="002C701E"/>
    <w:rsid w:val="002D0981"/>
    <w:rsid w:val="002E5D3A"/>
    <w:rsid w:val="0036049A"/>
    <w:rsid w:val="003818BE"/>
    <w:rsid w:val="003857CE"/>
    <w:rsid w:val="003E35CA"/>
    <w:rsid w:val="00441232"/>
    <w:rsid w:val="00444820"/>
    <w:rsid w:val="0045613D"/>
    <w:rsid w:val="0047660E"/>
    <w:rsid w:val="004A4236"/>
    <w:rsid w:val="004B2B21"/>
    <w:rsid w:val="004B30EA"/>
    <w:rsid w:val="00525411"/>
    <w:rsid w:val="00537C1F"/>
    <w:rsid w:val="00565259"/>
    <w:rsid w:val="00576B68"/>
    <w:rsid w:val="0058168E"/>
    <w:rsid w:val="00587CD5"/>
    <w:rsid w:val="0059688E"/>
    <w:rsid w:val="005D7279"/>
    <w:rsid w:val="0062622D"/>
    <w:rsid w:val="006379D7"/>
    <w:rsid w:val="006627A9"/>
    <w:rsid w:val="006846D8"/>
    <w:rsid w:val="006A7690"/>
    <w:rsid w:val="006C2201"/>
    <w:rsid w:val="006C6129"/>
    <w:rsid w:val="00707BC1"/>
    <w:rsid w:val="00712195"/>
    <w:rsid w:val="007146CF"/>
    <w:rsid w:val="007352B1"/>
    <w:rsid w:val="00741F06"/>
    <w:rsid w:val="00756382"/>
    <w:rsid w:val="007A75FC"/>
    <w:rsid w:val="007B012B"/>
    <w:rsid w:val="007C0C4C"/>
    <w:rsid w:val="00821644"/>
    <w:rsid w:val="008639F5"/>
    <w:rsid w:val="008C17BF"/>
    <w:rsid w:val="008D654B"/>
    <w:rsid w:val="008E1BA6"/>
    <w:rsid w:val="00913311"/>
    <w:rsid w:val="00937FB2"/>
    <w:rsid w:val="009444C8"/>
    <w:rsid w:val="0099525A"/>
    <w:rsid w:val="009B158C"/>
    <w:rsid w:val="009C168C"/>
    <w:rsid w:val="009D415E"/>
    <w:rsid w:val="00A02B88"/>
    <w:rsid w:val="00A27E4A"/>
    <w:rsid w:val="00A36A99"/>
    <w:rsid w:val="00A43184"/>
    <w:rsid w:val="00A55789"/>
    <w:rsid w:val="00A64914"/>
    <w:rsid w:val="00A67CA4"/>
    <w:rsid w:val="00A84F7A"/>
    <w:rsid w:val="00A919FD"/>
    <w:rsid w:val="00AB1D29"/>
    <w:rsid w:val="00AD6E80"/>
    <w:rsid w:val="00B26FB6"/>
    <w:rsid w:val="00B73A4B"/>
    <w:rsid w:val="00BA43DA"/>
    <w:rsid w:val="00BC2B73"/>
    <w:rsid w:val="00BD44A2"/>
    <w:rsid w:val="00BF467B"/>
    <w:rsid w:val="00BF5998"/>
    <w:rsid w:val="00C26215"/>
    <w:rsid w:val="00C27E53"/>
    <w:rsid w:val="00C63194"/>
    <w:rsid w:val="00CB09E0"/>
    <w:rsid w:val="00CC516D"/>
    <w:rsid w:val="00CF1BEC"/>
    <w:rsid w:val="00D503C9"/>
    <w:rsid w:val="00D52CA5"/>
    <w:rsid w:val="00D93A20"/>
    <w:rsid w:val="00DD1B56"/>
    <w:rsid w:val="00E41B79"/>
    <w:rsid w:val="00E549E9"/>
    <w:rsid w:val="00E74517"/>
    <w:rsid w:val="00E96BFA"/>
    <w:rsid w:val="00EC6BA5"/>
    <w:rsid w:val="00EE0631"/>
    <w:rsid w:val="00EE4A34"/>
    <w:rsid w:val="00EF56E7"/>
    <w:rsid w:val="00F1722A"/>
    <w:rsid w:val="00F2603A"/>
    <w:rsid w:val="00F77E3D"/>
    <w:rsid w:val="00F971A9"/>
    <w:rsid w:val="00FA0B15"/>
    <w:rsid w:val="00FE4B2D"/>
    <w:rsid w:val="01CC50FF"/>
    <w:rsid w:val="01F114A6"/>
    <w:rsid w:val="01FF49C5"/>
    <w:rsid w:val="02180D61"/>
    <w:rsid w:val="022A7CF3"/>
    <w:rsid w:val="02447828"/>
    <w:rsid w:val="02D11D3D"/>
    <w:rsid w:val="036761A2"/>
    <w:rsid w:val="03B94246"/>
    <w:rsid w:val="03D96696"/>
    <w:rsid w:val="0439747E"/>
    <w:rsid w:val="050F05C1"/>
    <w:rsid w:val="066F0127"/>
    <w:rsid w:val="06A216BB"/>
    <w:rsid w:val="06C976C4"/>
    <w:rsid w:val="07816D3D"/>
    <w:rsid w:val="07BA017F"/>
    <w:rsid w:val="07CA6A21"/>
    <w:rsid w:val="082D466A"/>
    <w:rsid w:val="08300D77"/>
    <w:rsid w:val="08E61E29"/>
    <w:rsid w:val="0A6C2012"/>
    <w:rsid w:val="0A982526"/>
    <w:rsid w:val="0A982C86"/>
    <w:rsid w:val="0B095AB3"/>
    <w:rsid w:val="0B711FE5"/>
    <w:rsid w:val="0B8C3FEE"/>
    <w:rsid w:val="0C1C2EED"/>
    <w:rsid w:val="0C29154D"/>
    <w:rsid w:val="0C2C221E"/>
    <w:rsid w:val="0C4236DF"/>
    <w:rsid w:val="0C9016A1"/>
    <w:rsid w:val="0CAD52C3"/>
    <w:rsid w:val="0D183D8B"/>
    <w:rsid w:val="0D467124"/>
    <w:rsid w:val="0E2E7056"/>
    <w:rsid w:val="0E4868F2"/>
    <w:rsid w:val="0E603C3C"/>
    <w:rsid w:val="0F196C8A"/>
    <w:rsid w:val="0F6902D3"/>
    <w:rsid w:val="0FCF5AE4"/>
    <w:rsid w:val="0FDE4DE5"/>
    <w:rsid w:val="103E1D5B"/>
    <w:rsid w:val="113A702C"/>
    <w:rsid w:val="1276625B"/>
    <w:rsid w:val="129A3494"/>
    <w:rsid w:val="133B6A25"/>
    <w:rsid w:val="13B72273"/>
    <w:rsid w:val="13BF5D35"/>
    <w:rsid w:val="149E7BA9"/>
    <w:rsid w:val="149F2FE4"/>
    <w:rsid w:val="14BE614F"/>
    <w:rsid w:val="1508348E"/>
    <w:rsid w:val="154F5DA6"/>
    <w:rsid w:val="16B01412"/>
    <w:rsid w:val="17516817"/>
    <w:rsid w:val="17EF7DDE"/>
    <w:rsid w:val="17F82E80"/>
    <w:rsid w:val="18C94AD3"/>
    <w:rsid w:val="190873AA"/>
    <w:rsid w:val="1947426D"/>
    <w:rsid w:val="19A65B89"/>
    <w:rsid w:val="19F3005A"/>
    <w:rsid w:val="1A530AF8"/>
    <w:rsid w:val="1BBF0F11"/>
    <w:rsid w:val="1BCB117C"/>
    <w:rsid w:val="1C956CE8"/>
    <w:rsid w:val="1CBD66FD"/>
    <w:rsid w:val="1CFF0AC4"/>
    <w:rsid w:val="1D421936"/>
    <w:rsid w:val="1DF705B7"/>
    <w:rsid w:val="1E817AAD"/>
    <w:rsid w:val="1EA56F98"/>
    <w:rsid w:val="1EB8717C"/>
    <w:rsid w:val="1F3F164B"/>
    <w:rsid w:val="21580C92"/>
    <w:rsid w:val="217001E2"/>
    <w:rsid w:val="21FA6F6C"/>
    <w:rsid w:val="228D6B72"/>
    <w:rsid w:val="22936C31"/>
    <w:rsid w:val="22F21C8D"/>
    <w:rsid w:val="236C114C"/>
    <w:rsid w:val="23753293"/>
    <w:rsid w:val="239B1AC3"/>
    <w:rsid w:val="24165941"/>
    <w:rsid w:val="24A73EF4"/>
    <w:rsid w:val="24D179F1"/>
    <w:rsid w:val="25EA1D70"/>
    <w:rsid w:val="2602219E"/>
    <w:rsid w:val="26056405"/>
    <w:rsid w:val="260F746E"/>
    <w:rsid w:val="261E6F31"/>
    <w:rsid w:val="266137F3"/>
    <w:rsid w:val="26796F8C"/>
    <w:rsid w:val="26C921FE"/>
    <w:rsid w:val="26F42882"/>
    <w:rsid w:val="27750300"/>
    <w:rsid w:val="279D7857"/>
    <w:rsid w:val="27A9199E"/>
    <w:rsid w:val="27F82CDF"/>
    <w:rsid w:val="27FC005F"/>
    <w:rsid w:val="2B1D29DB"/>
    <w:rsid w:val="2D742BE3"/>
    <w:rsid w:val="2DCF6290"/>
    <w:rsid w:val="2DDE7F63"/>
    <w:rsid w:val="2DE17B90"/>
    <w:rsid w:val="2DEA7C21"/>
    <w:rsid w:val="2E3D06A8"/>
    <w:rsid w:val="2E776850"/>
    <w:rsid w:val="2EB711FE"/>
    <w:rsid w:val="2F2576AA"/>
    <w:rsid w:val="2FE83639"/>
    <w:rsid w:val="300761B5"/>
    <w:rsid w:val="30830840"/>
    <w:rsid w:val="30A923A0"/>
    <w:rsid w:val="30FD563C"/>
    <w:rsid w:val="311741D6"/>
    <w:rsid w:val="318B6972"/>
    <w:rsid w:val="31AD68E8"/>
    <w:rsid w:val="31AF2660"/>
    <w:rsid w:val="32364B30"/>
    <w:rsid w:val="32966E66"/>
    <w:rsid w:val="330C6B31"/>
    <w:rsid w:val="332245F3"/>
    <w:rsid w:val="333201CA"/>
    <w:rsid w:val="333F7A14"/>
    <w:rsid w:val="338B08B7"/>
    <w:rsid w:val="33CC76CE"/>
    <w:rsid w:val="33CE1C1E"/>
    <w:rsid w:val="340C3D9A"/>
    <w:rsid w:val="346457EE"/>
    <w:rsid w:val="348E2A01"/>
    <w:rsid w:val="34F24F26"/>
    <w:rsid w:val="34FD1D59"/>
    <w:rsid w:val="35432A3A"/>
    <w:rsid w:val="360A255B"/>
    <w:rsid w:val="364729FC"/>
    <w:rsid w:val="37086B3F"/>
    <w:rsid w:val="371600BD"/>
    <w:rsid w:val="371A12E2"/>
    <w:rsid w:val="37A94A24"/>
    <w:rsid w:val="37D96B6E"/>
    <w:rsid w:val="384568AE"/>
    <w:rsid w:val="39015351"/>
    <w:rsid w:val="394373FB"/>
    <w:rsid w:val="399D5494"/>
    <w:rsid w:val="39B574EA"/>
    <w:rsid w:val="39D461F4"/>
    <w:rsid w:val="39D95BC7"/>
    <w:rsid w:val="3A2C2D50"/>
    <w:rsid w:val="3B3B4F65"/>
    <w:rsid w:val="3B760956"/>
    <w:rsid w:val="3C2F4ACA"/>
    <w:rsid w:val="3CD76F0F"/>
    <w:rsid w:val="3D424EFC"/>
    <w:rsid w:val="3DB245F3"/>
    <w:rsid w:val="3E842BB7"/>
    <w:rsid w:val="3E8C7CDA"/>
    <w:rsid w:val="3EB61F37"/>
    <w:rsid w:val="3F3C2070"/>
    <w:rsid w:val="3FE43E1D"/>
    <w:rsid w:val="4034764F"/>
    <w:rsid w:val="40994C08"/>
    <w:rsid w:val="41AA0E71"/>
    <w:rsid w:val="41AB5611"/>
    <w:rsid w:val="42043C4E"/>
    <w:rsid w:val="42186000"/>
    <w:rsid w:val="43EC14F2"/>
    <w:rsid w:val="44033358"/>
    <w:rsid w:val="440A7BCA"/>
    <w:rsid w:val="44261728"/>
    <w:rsid w:val="446607DA"/>
    <w:rsid w:val="44912C52"/>
    <w:rsid w:val="44EC5239"/>
    <w:rsid w:val="44EE3048"/>
    <w:rsid w:val="454B2248"/>
    <w:rsid w:val="45732264"/>
    <w:rsid w:val="45A241C1"/>
    <w:rsid w:val="45A55307"/>
    <w:rsid w:val="45B778DE"/>
    <w:rsid w:val="47067F00"/>
    <w:rsid w:val="4726628B"/>
    <w:rsid w:val="473405AB"/>
    <w:rsid w:val="47390FDB"/>
    <w:rsid w:val="473E5184"/>
    <w:rsid w:val="47507FEA"/>
    <w:rsid w:val="47615D53"/>
    <w:rsid w:val="479371B2"/>
    <w:rsid w:val="479C0E6B"/>
    <w:rsid w:val="47E10C42"/>
    <w:rsid w:val="482B6361"/>
    <w:rsid w:val="482E4AE5"/>
    <w:rsid w:val="48D6600C"/>
    <w:rsid w:val="491176AF"/>
    <w:rsid w:val="491C6C36"/>
    <w:rsid w:val="4953791E"/>
    <w:rsid w:val="49A12251"/>
    <w:rsid w:val="4A083F9D"/>
    <w:rsid w:val="4B5A1437"/>
    <w:rsid w:val="4BB24866"/>
    <w:rsid w:val="4C4449F8"/>
    <w:rsid w:val="4C917AF2"/>
    <w:rsid w:val="4C940979"/>
    <w:rsid w:val="4CC0351C"/>
    <w:rsid w:val="4CDA2830"/>
    <w:rsid w:val="4D3D5A28"/>
    <w:rsid w:val="4D8E361A"/>
    <w:rsid w:val="4E692E39"/>
    <w:rsid w:val="4EAA5D9A"/>
    <w:rsid w:val="4EE5080F"/>
    <w:rsid w:val="4F5B6035"/>
    <w:rsid w:val="50547A38"/>
    <w:rsid w:val="506D39BB"/>
    <w:rsid w:val="50804FC3"/>
    <w:rsid w:val="508D41C7"/>
    <w:rsid w:val="50D90831"/>
    <w:rsid w:val="50EF2E17"/>
    <w:rsid w:val="51127929"/>
    <w:rsid w:val="511C4B20"/>
    <w:rsid w:val="51346287"/>
    <w:rsid w:val="514209A3"/>
    <w:rsid w:val="517E4AC2"/>
    <w:rsid w:val="522538E5"/>
    <w:rsid w:val="524D2C93"/>
    <w:rsid w:val="5259542B"/>
    <w:rsid w:val="52A511EA"/>
    <w:rsid w:val="53966D83"/>
    <w:rsid w:val="53AD38D6"/>
    <w:rsid w:val="5503044A"/>
    <w:rsid w:val="55050666"/>
    <w:rsid w:val="5520724E"/>
    <w:rsid w:val="55E95E72"/>
    <w:rsid w:val="560B3A5A"/>
    <w:rsid w:val="562763BA"/>
    <w:rsid w:val="56902EA2"/>
    <w:rsid w:val="56CF4788"/>
    <w:rsid w:val="571E1101"/>
    <w:rsid w:val="57C40364"/>
    <w:rsid w:val="582E3A30"/>
    <w:rsid w:val="58360B36"/>
    <w:rsid w:val="58443253"/>
    <w:rsid w:val="588D4BFA"/>
    <w:rsid w:val="588E0972"/>
    <w:rsid w:val="58C148A4"/>
    <w:rsid w:val="597162CA"/>
    <w:rsid w:val="597F0C5F"/>
    <w:rsid w:val="5A297CB5"/>
    <w:rsid w:val="5A786D43"/>
    <w:rsid w:val="5AFB569F"/>
    <w:rsid w:val="5B01542B"/>
    <w:rsid w:val="5B0C22E0"/>
    <w:rsid w:val="5B6A2E29"/>
    <w:rsid w:val="5BF22DA9"/>
    <w:rsid w:val="5CF571AD"/>
    <w:rsid w:val="5D032CFF"/>
    <w:rsid w:val="5D283143"/>
    <w:rsid w:val="5D4F6922"/>
    <w:rsid w:val="5D5A4591"/>
    <w:rsid w:val="5DBD379A"/>
    <w:rsid w:val="5E1E7B16"/>
    <w:rsid w:val="5E674C62"/>
    <w:rsid w:val="5E7E0743"/>
    <w:rsid w:val="5EB3172B"/>
    <w:rsid w:val="5ECC2BBA"/>
    <w:rsid w:val="5EE12CEA"/>
    <w:rsid w:val="5FD276E1"/>
    <w:rsid w:val="606231C2"/>
    <w:rsid w:val="60881B64"/>
    <w:rsid w:val="60CA4511"/>
    <w:rsid w:val="610E02C0"/>
    <w:rsid w:val="61614D7F"/>
    <w:rsid w:val="616B1851"/>
    <w:rsid w:val="62394D2F"/>
    <w:rsid w:val="62452E63"/>
    <w:rsid w:val="62546F32"/>
    <w:rsid w:val="62DA2715"/>
    <w:rsid w:val="62EE098B"/>
    <w:rsid w:val="63685BA5"/>
    <w:rsid w:val="63B219B9"/>
    <w:rsid w:val="648100C9"/>
    <w:rsid w:val="649D4417"/>
    <w:rsid w:val="64D21BE7"/>
    <w:rsid w:val="64F96718"/>
    <w:rsid w:val="65024C7C"/>
    <w:rsid w:val="650E2566"/>
    <w:rsid w:val="6569254B"/>
    <w:rsid w:val="6640450C"/>
    <w:rsid w:val="666C64B0"/>
    <w:rsid w:val="672030DD"/>
    <w:rsid w:val="6796320A"/>
    <w:rsid w:val="67A733BB"/>
    <w:rsid w:val="684A7754"/>
    <w:rsid w:val="689945F4"/>
    <w:rsid w:val="68ED7663"/>
    <w:rsid w:val="6A62206E"/>
    <w:rsid w:val="6A6335EB"/>
    <w:rsid w:val="6A6D03E7"/>
    <w:rsid w:val="6A990B6C"/>
    <w:rsid w:val="6AE35AE3"/>
    <w:rsid w:val="6B76263A"/>
    <w:rsid w:val="6C6B6BA9"/>
    <w:rsid w:val="6C891725"/>
    <w:rsid w:val="6D162FB8"/>
    <w:rsid w:val="6E7D12E3"/>
    <w:rsid w:val="6E8C3CB4"/>
    <w:rsid w:val="6F41420C"/>
    <w:rsid w:val="6FA7439C"/>
    <w:rsid w:val="70BC5C25"/>
    <w:rsid w:val="70BF04BD"/>
    <w:rsid w:val="70C1148D"/>
    <w:rsid w:val="70D27CE9"/>
    <w:rsid w:val="71184E25"/>
    <w:rsid w:val="713E3EE9"/>
    <w:rsid w:val="721B2E1F"/>
    <w:rsid w:val="73DC1ED6"/>
    <w:rsid w:val="74542618"/>
    <w:rsid w:val="74956EB9"/>
    <w:rsid w:val="74C72DA0"/>
    <w:rsid w:val="74E92D60"/>
    <w:rsid w:val="74F02341"/>
    <w:rsid w:val="75BF156C"/>
    <w:rsid w:val="762A69AD"/>
    <w:rsid w:val="772F1E55"/>
    <w:rsid w:val="77B358A8"/>
    <w:rsid w:val="77B533CE"/>
    <w:rsid w:val="77D71596"/>
    <w:rsid w:val="7842340F"/>
    <w:rsid w:val="784B788E"/>
    <w:rsid w:val="788F0E8C"/>
    <w:rsid w:val="79984D55"/>
    <w:rsid w:val="79EB1329"/>
    <w:rsid w:val="7A4C7B84"/>
    <w:rsid w:val="7A664E53"/>
    <w:rsid w:val="7A8D5578"/>
    <w:rsid w:val="7BC1174E"/>
    <w:rsid w:val="7DD150BA"/>
    <w:rsid w:val="7E094473"/>
    <w:rsid w:val="7E50323A"/>
    <w:rsid w:val="7EBE525E"/>
    <w:rsid w:val="7F092ACA"/>
    <w:rsid w:val="7F21759B"/>
    <w:rsid w:val="7F2257ED"/>
    <w:rsid w:val="7F2F7D41"/>
    <w:rsid w:val="7F4A2076"/>
    <w:rsid w:val="7F7638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keepLines/>
      <w:spacing w:line="360" w:lineRule="auto"/>
      <w:jc w:val="center"/>
      <w:outlineLvl w:val="0"/>
    </w:pPr>
    <w:rPr>
      <w:rFonts w:hAnsi="宋体"/>
      <w:b/>
      <w:kern w:val="44"/>
      <w:sz w:val="28"/>
    </w:rPr>
  </w:style>
  <w:style w:type="paragraph" w:styleId="3">
    <w:name w:val="heading 2"/>
    <w:basedOn w:val="1"/>
    <w:next w:val="1"/>
    <w:unhideWhenUsed/>
    <w:qFormat/>
    <w:uiPriority w:val="0"/>
    <w:pPr>
      <w:keepNext/>
      <w:keepLines/>
      <w:spacing w:line="360" w:lineRule="auto"/>
      <w:outlineLvl w:val="1"/>
    </w:pPr>
    <w:rPr>
      <w:rFonts w:ascii="Arial" w:hAnsi="Arial"/>
      <w:b/>
      <w:sz w:val="21"/>
    </w:rPr>
  </w:style>
  <w:style w:type="paragraph" w:styleId="4">
    <w:name w:val="heading 3"/>
    <w:basedOn w:val="1"/>
    <w:next w:val="1"/>
    <w:link w:val="46"/>
    <w:qFormat/>
    <w:uiPriority w:val="9"/>
    <w:pPr>
      <w:keepNext/>
      <w:keepLines/>
      <w:spacing w:line="400" w:lineRule="atLeast"/>
      <w:jc w:val="center"/>
      <w:outlineLvl w:val="2"/>
    </w:pPr>
    <w:rPr>
      <w:b/>
      <w:bCs/>
      <w:sz w:val="32"/>
      <w:szCs w:val="32"/>
      <w:u w:val="double"/>
    </w:rPr>
  </w:style>
  <w:style w:type="paragraph" w:styleId="5">
    <w:name w:val="heading 4"/>
    <w:basedOn w:val="1"/>
    <w:next w:val="1"/>
    <w:semiHidden/>
    <w:unhideWhenUsed/>
    <w:qFormat/>
    <w:uiPriority w:val="0"/>
    <w:pPr>
      <w:spacing w:beforeAutospacing="1" w:afterAutospacing="1"/>
      <w:jc w:val="left"/>
      <w:outlineLvl w:val="3"/>
    </w:pPr>
    <w:rPr>
      <w:rFonts w:hint="eastAsia" w:hAnsi="宋体"/>
      <w:b/>
      <w:szCs w:val="24"/>
    </w:rPr>
  </w:style>
  <w:style w:type="paragraph" w:styleId="6">
    <w:name w:val="heading 6"/>
    <w:basedOn w:val="1"/>
    <w:next w:val="1"/>
    <w:semiHidden/>
    <w:unhideWhenUsed/>
    <w:qFormat/>
    <w:uiPriority w:val="0"/>
    <w:pPr>
      <w:spacing w:beforeAutospacing="1" w:afterAutospacing="1"/>
      <w:jc w:val="left"/>
      <w:outlineLvl w:val="5"/>
    </w:pPr>
    <w:rPr>
      <w:rFonts w:hint="eastAsia" w:hAnsi="宋体"/>
      <w:b/>
      <w:sz w:val="15"/>
      <w:szCs w:val="15"/>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99"/>
    <w:pPr>
      <w:ind w:firstLine="420"/>
    </w:pPr>
  </w:style>
  <w:style w:type="paragraph" w:styleId="8">
    <w:name w:val="annotation text"/>
    <w:basedOn w:val="1"/>
    <w:link w:val="68"/>
    <w:qFormat/>
    <w:uiPriority w:val="0"/>
    <w:pPr>
      <w:jc w:val="left"/>
    </w:pPr>
  </w:style>
  <w:style w:type="paragraph" w:styleId="9">
    <w:name w:val="Body Text"/>
    <w:basedOn w:val="1"/>
    <w:qFormat/>
    <w:uiPriority w:val="0"/>
    <w:pPr>
      <w:spacing w:after="120"/>
    </w:pPr>
    <w:rPr>
      <w:rFonts w:ascii="Times New Roman"/>
      <w:kern w:val="2"/>
      <w:sz w:val="21"/>
    </w:rPr>
  </w:style>
  <w:style w:type="paragraph" w:styleId="10">
    <w:name w:val="Body Text Indent"/>
    <w:basedOn w:val="1"/>
    <w:qFormat/>
    <w:uiPriority w:val="0"/>
    <w:pPr>
      <w:ind w:firstLine="420" w:firstLineChars="200"/>
    </w:pPr>
  </w:style>
  <w:style w:type="paragraph" w:styleId="11">
    <w:name w:val="Plain Text"/>
    <w:basedOn w:val="1"/>
    <w:qFormat/>
    <w:uiPriority w:val="99"/>
    <w:rPr>
      <w:rFonts w:hAnsi="Courier New" w:cs="Courier New" w:asciiTheme="minorEastAsia" w:eastAsiaTheme="minorEastAsia"/>
    </w:rPr>
  </w:style>
  <w:style w:type="paragraph" w:styleId="12">
    <w:name w:val="Body Text Indent 2"/>
    <w:basedOn w:val="1"/>
    <w:qFormat/>
    <w:uiPriority w:val="99"/>
    <w:pPr>
      <w:ind w:firstLine="630" w:firstLineChars="225"/>
    </w:pPr>
    <w:rPr>
      <w:sz w:val="28"/>
    </w:rPr>
  </w:style>
  <w:style w:type="paragraph" w:styleId="13">
    <w:name w:val="Balloon Text"/>
    <w:basedOn w:val="1"/>
    <w:link w:val="70"/>
    <w:qFormat/>
    <w:uiPriority w:val="0"/>
    <w:rPr>
      <w:sz w:val="18"/>
      <w:szCs w:val="18"/>
    </w:rPr>
  </w:style>
  <w:style w:type="paragraph" w:styleId="14">
    <w:name w:val="footer"/>
    <w:basedOn w:val="1"/>
    <w:link w:val="53"/>
    <w:qFormat/>
    <w:uiPriority w:val="99"/>
    <w:pPr>
      <w:tabs>
        <w:tab w:val="center" w:pos="4153"/>
        <w:tab w:val="right" w:pos="8306"/>
      </w:tabs>
      <w:snapToGrid w:val="0"/>
      <w:jc w:val="left"/>
    </w:pPr>
    <w:rPr>
      <w:sz w:val="18"/>
    </w:rPr>
  </w:style>
  <w:style w:type="paragraph" w:styleId="15">
    <w:name w:val="envelope return"/>
    <w:basedOn w:val="1"/>
    <w:qFormat/>
    <w:uiPriority w:val="0"/>
    <w:pPr>
      <w:snapToGrid w:val="0"/>
    </w:pPr>
    <w:rPr>
      <w:rFonts w:ascii="Arial" w:hAnsi="Arial"/>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39"/>
    <w:pPr>
      <w:snapToGrid w:val="0"/>
      <w:jc w:val="left"/>
    </w:pPr>
    <w:rPr>
      <w:rFonts w:eastAsia="仿宋_GB2312"/>
      <w:b/>
      <w:bCs/>
      <w:caps/>
      <w:sz w:val="24"/>
    </w:rPr>
  </w:style>
  <w:style w:type="paragraph" w:styleId="18">
    <w:name w:val="HTML Preformatted"/>
    <w:basedOn w:val="1"/>
    <w:qFormat/>
    <w:uiPriority w:val="99"/>
    <w:pPr>
      <w:jc w:val="left"/>
    </w:pPr>
    <w:rPr>
      <w:rFonts w:ascii="Arial" w:hAnsi="Arial" w:cs="Arial"/>
    </w:rPr>
  </w:style>
  <w:style w:type="paragraph" w:styleId="19">
    <w:name w:val="Normal (Web)"/>
    <w:basedOn w:val="1"/>
    <w:next w:val="15"/>
    <w:qFormat/>
    <w:uiPriority w:val="0"/>
    <w:pPr>
      <w:spacing w:beforeAutospacing="1" w:afterAutospacing="1"/>
      <w:jc w:val="left"/>
    </w:pPr>
  </w:style>
  <w:style w:type="paragraph" w:styleId="20">
    <w:name w:val="annotation subject"/>
    <w:basedOn w:val="8"/>
    <w:next w:val="8"/>
    <w:link w:val="69"/>
    <w:qFormat/>
    <w:uiPriority w:val="0"/>
    <w:rPr>
      <w:b/>
      <w:bCs/>
    </w:rPr>
  </w:style>
  <w:style w:type="paragraph" w:styleId="21">
    <w:name w:val="Body Text First Indent"/>
    <w:basedOn w:val="9"/>
    <w:next w:val="1"/>
    <w:unhideWhenUsed/>
    <w:qFormat/>
    <w:uiPriority w:val="0"/>
    <w:pPr>
      <w:ind w:firstLine="420" w:firstLineChars="100"/>
    </w:pPr>
    <w:rPr>
      <w:sz w:val="18"/>
      <w:szCs w:val="18"/>
    </w:rPr>
  </w:style>
  <w:style w:type="paragraph" w:styleId="22">
    <w:name w:val="Body Text First Indent 2"/>
    <w:basedOn w:val="10"/>
    <w:qFormat/>
    <w:uiPriority w:val="0"/>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bdr w:val="single" w:color="999999" w:sz="6" w:space="0"/>
      <w:shd w:val="clear" w:color="auto" w:fill="FFFFFF"/>
    </w:rPr>
  </w:style>
  <w:style w:type="character" w:styleId="27">
    <w:name w:val="page number"/>
    <w:basedOn w:val="25"/>
    <w:qFormat/>
    <w:uiPriority w:val="0"/>
  </w:style>
  <w:style w:type="character" w:styleId="28">
    <w:name w:val="FollowedHyperlink"/>
    <w:basedOn w:val="25"/>
    <w:qFormat/>
    <w:uiPriority w:val="0"/>
    <w:rPr>
      <w:color w:val="800080"/>
      <w:u w:val="none"/>
      <w:bdr w:val="single" w:color="D6D6D6" w:sz="6" w:space="0"/>
      <w:shd w:val="clear" w:color="auto" w:fill="FFFFFF"/>
    </w:rPr>
  </w:style>
  <w:style w:type="character" w:styleId="29">
    <w:name w:val="Emphasis"/>
    <w:basedOn w:val="25"/>
    <w:qFormat/>
    <w:uiPriority w:val="0"/>
    <w:rPr>
      <w:b/>
    </w:rPr>
  </w:style>
  <w:style w:type="character" w:styleId="30">
    <w:name w:val="HTML Definition"/>
    <w:basedOn w:val="25"/>
    <w:qFormat/>
    <w:uiPriority w:val="0"/>
  </w:style>
  <w:style w:type="character" w:styleId="31">
    <w:name w:val="HTML Typewriter"/>
    <w:basedOn w:val="25"/>
    <w:qFormat/>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basedOn w:val="25"/>
    <w:qFormat/>
    <w:uiPriority w:val="0"/>
    <w:rPr>
      <w:color w:val="0000FF"/>
      <w:u w:val="single"/>
    </w:rPr>
  </w:style>
  <w:style w:type="character" w:styleId="35">
    <w:name w:val="HTML Code"/>
    <w:basedOn w:val="25"/>
    <w:qFormat/>
    <w:uiPriority w:val="0"/>
    <w:rPr>
      <w:rFonts w:hint="default" w:ascii="monospace" w:hAnsi="monospace" w:eastAsia="monospace" w:cs="monospace"/>
      <w:sz w:val="20"/>
    </w:rPr>
  </w:style>
  <w:style w:type="character" w:styleId="36">
    <w:name w:val="annotation reference"/>
    <w:basedOn w:val="25"/>
    <w:qFormat/>
    <w:uiPriority w:val="0"/>
    <w:rPr>
      <w:sz w:val="21"/>
      <w:szCs w:val="21"/>
    </w:rPr>
  </w:style>
  <w:style w:type="character" w:styleId="37">
    <w:name w:val="HTML Cite"/>
    <w:basedOn w:val="25"/>
    <w:qFormat/>
    <w:uiPriority w:val="0"/>
  </w:style>
  <w:style w:type="character" w:styleId="38">
    <w:name w:val="HTML Keyboard"/>
    <w:basedOn w:val="25"/>
    <w:qFormat/>
    <w:uiPriority w:val="0"/>
    <w:rPr>
      <w:rFonts w:ascii="monospace" w:hAnsi="monospace" w:eastAsia="monospace" w:cs="monospace"/>
      <w:sz w:val="20"/>
    </w:rPr>
  </w:style>
  <w:style w:type="character" w:styleId="39">
    <w:name w:val="HTML Sample"/>
    <w:basedOn w:val="25"/>
    <w:qFormat/>
    <w:uiPriority w:val="0"/>
    <w:rPr>
      <w:rFonts w:hint="default" w:ascii="monospace" w:hAnsi="monospace" w:eastAsia="monospace" w:cs="monospace"/>
    </w:rPr>
  </w:style>
  <w:style w:type="paragraph" w:customStyle="1" w:styleId="40">
    <w:name w:val="正文缩进1"/>
    <w:basedOn w:val="1"/>
    <w:qFormat/>
    <w:uiPriority w:val="0"/>
    <w:pPr>
      <w:ind w:firstLine="420" w:firstLineChars="200"/>
    </w:p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kern w:val="2"/>
      <w:sz w:val="28"/>
      <w:szCs w:val="22"/>
      <w:lang w:val="en-US" w:eastAsia="zh-CN" w:bidi="ar-SA"/>
    </w:rPr>
  </w:style>
  <w:style w:type="paragraph" w:customStyle="1" w:styleId="42">
    <w:name w:val="正文（缩进）"/>
    <w:basedOn w:val="1"/>
    <w:qFormat/>
    <w:uiPriority w:val="0"/>
    <w:pPr>
      <w:spacing w:before="156" w:after="156" w:line="360" w:lineRule="auto"/>
      <w:ind w:firstLine="480" w:firstLineChars="200"/>
    </w:pPr>
    <w:rPr>
      <w:rFonts w:ascii="Calibri" w:hAnsi="Calibri"/>
      <w:szCs w:val="21"/>
    </w:rPr>
  </w:style>
  <w:style w:type="paragraph" w:customStyle="1" w:styleId="43">
    <w:name w:val="p15"/>
    <w:basedOn w:val="1"/>
    <w:qFormat/>
    <w:uiPriority w:val="99"/>
    <w:pPr>
      <w:widowControl/>
    </w:pPr>
    <w:rPr>
      <w:sz w:val="21"/>
      <w:szCs w:val="21"/>
    </w:rPr>
  </w:style>
  <w:style w:type="character" w:customStyle="1" w:styleId="44">
    <w:name w:val="mini-outputtext1"/>
    <w:basedOn w:val="25"/>
    <w:qFormat/>
    <w:uiPriority w:val="0"/>
  </w:style>
  <w:style w:type="paragraph" w:customStyle="1" w:styleId="45">
    <w:name w:val="列出段落3"/>
    <w:basedOn w:val="1"/>
    <w:qFormat/>
    <w:uiPriority w:val="0"/>
    <w:pPr>
      <w:ind w:firstLine="420" w:firstLineChars="200"/>
    </w:pPr>
  </w:style>
  <w:style w:type="character" w:customStyle="1" w:styleId="46">
    <w:name w:val="标题 3 Char"/>
    <w:basedOn w:val="25"/>
    <w:link w:val="4"/>
    <w:qFormat/>
    <w:uiPriority w:val="0"/>
    <w:rPr>
      <w:b/>
      <w:bCs/>
      <w:sz w:val="32"/>
      <w:szCs w:val="32"/>
      <w:u w:val="double"/>
    </w:rPr>
  </w:style>
  <w:style w:type="paragraph" w:customStyle="1" w:styleId="47">
    <w:name w:val="正文（缩进 2 字符）"/>
    <w:basedOn w:val="1"/>
    <w:qFormat/>
    <w:uiPriority w:val="0"/>
    <w:pPr>
      <w:ind w:firstLine="200" w:firstLineChars="200"/>
    </w:pPr>
  </w:style>
  <w:style w:type="character" w:customStyle="1" w:styleId="48">
    <w:name w:val="mini-tree-nodetext3"/>
    <w:basedOn w:val="25"/>
    <w:qFormat/>
    <w:uiPriority w:val="0"/>
  </w:style>
  <w:style w:type="paragraph" w:customStyle="1" w:styleId="49">
    <w:name w:val="标题 2（投标文件）"/>
    <w:basedOn w:val="3"/>
    <w:qFormat/>
    <w:uiPriority w:val="0"/>
    <w:pPr>
      <w:jc w:val="center"/>
    </w:pPr>
  </w:style>
  <w:style w:type="paragraph" w:customStyle="1" w:styleId="50">
    <w:name w:val="WPSOffice手动目录 1"/>
    <w:qFormat/>
    <w:uiPriority w:val="0"/>
    <w:rPr>
      <w:rFonts w:ascii="Times New Roman" w:hAnsi="Times New Roman" w:eastAsia="宋体" w:cs="Times New Roman"/>
      <w:lang w:val="en-US" w:eastAsia="zh-CN" w:bidi="ar-SA"/>
    </w:rPr>
  </w:style>
  <w:style w:type="paragraph" w:customStyle="1" w:styleId="51">
    <w:name w:val="WPSOffice手动目录 2"/>
    <w:qFormat/>
    <w:uiPriority w:val="0"/>
    <w:pPr>
      <w:ind w:left="200" w:leftChars="200"/>
    </w:pPr>
    <w:rPr>
      <w:rFonts w:ascii="Times New Roman" w:hAnsi="Times New Roman" w:eastAsia="宋体" w:cs="Times New Roman"/>
      <w:lang w:val="en-US" w:eastAsia="zh-CN" w:bidi="ar-SA"/>
    </w:rPr>
  </w:style>
  <w:style w:type="paragraph" w:styleId="52">
    <w:name w:val="List Paragraph"/>
    <w:basedOn w:val="1"/>
    <w:qFormat/>
    <w:uiPriority w:val="99"/>
    <w:pPr>
      <w:ind w:firstLine="420" w:firstLineChars="200"/>
    </w:pPr>
  </w:style>
  <w:style w:type="character" w:customStyle="1" w:styleId="53">
    <w:name w:val="页脚 Char"/>
    <w:basedOn w:val="25"/>
    <w:link w:val="14"/>
    <w:qFormat/>
    <w:uiPriority w:val="99"/>
    <w:rPr>
      <w:rFonts w:ascii="宋体"/>
      <w:sz w:val="18"/>
    </w:rPr>
  </w:style>
  <w:style w:type="character" w:customStyle="1" w:styleId="54">
    <w:name w:val="font11"/>
    <w:basedOn w:val="25"/>
    <w:qFormat/>
    <w:uiPriority w:val="0"/>
    <w:rPr>
      <w:rFonts w:hint="eastAsia" w:ascii="宋体" w:hAnsi="宋体" w:eastAsia="宋体" w:cs="宋体"/>
      <w:color w:val="000000"/>
      <w:sz w:val="18"/>
      <w:szCs w:val="18"/>
      <w:u w:val="none"/>
    </w:rPr>
  </w:style>
  <w:style w:type="character" w:customStyle="1" w:styleId="55">
    <w:name w:val="font21"/>
    <w:basedOn w:val="25"/>
    <w:qFormat/>
    <w:uiPriority w:val="0"/>
    <w:rPr>
      <w:rFonts w:hint="eastAsia" w:ascii="宋体" w:hAnsi="宋体" w:eastAsia="宋体" w:cs="宋体"/>
      <w:color w:val="000000"/>
      <w:sz w:val="20"/>
      <w:szCs w:val="20"/>
      <w:u w:val="none"/>
    </w:rPr>
  </w:style>
  <w:style w:type="character" w:customStyle="1" w:styleId="56">
    <w:name w:val="font41"/>
    <w:basedOn w:val="25"/>
    <w:qFormat/>
    <w:uiPriority w:val="0"/>
    <w:rPr>
      <w:rFonts w:hint="eastAsia" w:ascii="宋体" w:hAnsi="宋体" w:eastAsia="宋体" w:cs="宋体"/>
      <w:color w:val="000000"/>
      <w:sz w:val="20"/>
      <w:szCs w:val="20"/>
      <w:u w:val="none"/>
    </w:rPr>
  </w:style>
  <w:style w:type="character" w:customStyle="1" w:styleId="57">
    <w:name w:val="16"/>
    <w:basedOn w:val="25"/>
    <w:qFormat/>
    <w:uiPriority w:val="0"/>
    <w:rPr>
      <w:rFonts w:hint="eastAsia" w:ascii="宋体" w:hAnsi="宋体" w:eastAsia="宋体"/>
      <w:color w:val="000000"/>
      <w:sz w:val="20"/>
      <w:szCs w:val="20"/>
    </w:rPr>
  </w:style>
  <w:style w:type="character" w:customStyle="1" w:styleId="58">
    <w:name w:val="17"/>
    <w:basedOn w:val="25"/>
    <w:qFormat/>
    <w:uiPriority w:val="0"/>
    <w:rPr>
      <w:rFonts w:hint="eastAsia" w:ascii="MS Gothic" w:hAnsi="MS Gothic" w:eastAsia="MS Gothic"/>
      <w:color w:val="000000"/>
      <w:sz w:val="20"/>
      <w:szCs w:val="20"/>
    </w:rPr>
  </w:style>
  <w:style w:type="character" w:customStyle="1" w:styleId="59">
    <w:name w:val="15"/>
    <w:basedOn w:val="25"/>
    <w:qFormat/>
    <w:uiPriority w:val="0"/>
    <w:rPr>
      <w:rFonts w:hint="eastAsia" w:ascii="宋体" w:hAnsi="宋体" w:eastAsia="宋体"/>
      <w:color w:val="000000"/>
      <w:sz w:val="20"/>
      <w:szCs w:val="20"/>
    </w:rPr>
  </w:style>
  <w:style w:type="character" w:customStyle="1" w:styleId="60">
    <w:name w:val="font01"/>
    <w:basedOn w:val="25"/>
    <w:qFormat/>
    <w:uiPriority w:val="0"/>
    <w:rPr>
      <w:rFonts w:hint="eastAsia" w:ascii="宋体" w:hAnsi="宋体" w:eastAsia="宋体" w:cs="宋体"/>
      <w:color w:val="000000"/>
      <w:sz w:val="20"/>
      <w:szCs w:val="20"/>
      <w:u w:val="none"/>
    </w:rPr>
  </w:style>
  <w:style w:type="character" w:customStyle="1" w:styleId="61">
    <w:name w:val="font71"/>
    <w:basedOn w:val="25"/>
    <w:qFormat/>
    <w:uiPriority w:val="0"/>
    <w:rPr>
      <w:rFonts w:hint="eastAsia" w:ascii="宋体" w:hAnsi="宋体" w:eastAsia="宋体" w:cs="宋体"/>
      <w:b/>
      <w:bCs/>
      <w:color w:val="000000"/>
      <w:sz w:val="20"/>
      <w:szCs w:val="20"/>
      <w:u w:val="none"/>
    </w:rPr>
  </w:style>
  <w:style w:type="character" w:customStyle="1" w:styleId="62">
    <w:name w:val="font122"/>
    <w:basedOn w:val="25"/>
    <w:qFormat/>
    <w:uiPriority w:val="0"/>
    <w:rPr>
      <w:rFonts w:ascii="Wingdings 2" w:hAnsi="Wingdings 2" w:eastAsia="Wingdings 2" w:cs="Wingdings 2"/>
      <w:color w:val="000000"/>
      <w:sz w:val="20"/>
      <w:szCs w:val="20"/>
      <w:u w:val="none"/>
    </w:rPr>
  </w:style>
  <w:style w:type="paragraph" w:customStyle="1" w:styleId="63">
    <w:name w:val="Body text|1"/>
    <w:basedOn w:val="1"/>
    <w:qFormat/>
    <w:uiPriority w:val="0"/>
    <w:pPr>
      <w:spacing w:line="480" w:lineRule="auto"/>
      <w:ind w:firstLine="400"/>
    </w:pPr>
    <w:rPr>
      <w:rFonts w:hAnsi="宋体" w:cs="宋体"/>
      <w:sz w:val="22"/>
      <w:szCs w:val="22"/>
      <w:lang w:val="zh-TW" w:eastAsia="zh-TW" w:bidi="zh-TW"/>
    </w:rPr>
  </w:style>
  <w:style w:type="table" w:customStyle="1" w:styleId="64">
    <w:name w:val="Table Normal"/>
    <w:semiHidden/>
    <w:unhideWhenUsed/>
    <w:qFormat/>
    <w:uiPriority w:val="0"/>
    <w:tblPr>
      <w:tblCellMar>
        <w:top w:w="0" w:type="dxa"/>
        <w:left w:w="0" w:type="dxa"/>
        <w:bottom w:w="0" w:type="dxa"/>
        <w:right w:w="0" w:type="dxa"/>
      </w:tblCellMar>
    </w:tblPr>
  </w:style>
  <w:style w:type="character" w:customStyle="1" w:styleId="65">
    <w:name w:val="font31"/>
    <w:basedOn w:val="25"/>
    <w:qFormat/>
    <w:uiPriority w:val="0"/>
    <w:rPr>
      <w:rFonts w:hint="eastAsia" w:ascii="宋体" w:hAnsi="宋体" w:eastAsia="宋体" w:cs="宋体"/>
      <w:color w:val="000000"/>
      <w:sz w:val="20"/>
      <w:szCs w:val="20"/>
      <w:u w:val="none"/>
    </w:rPr>
  </w:style>
  <w:style w:type="character" w:customStyle="1" w:styleId="66">
    <w:name w:val="font81"/>
    <w:basedOn w:val="25"/>
    <w:qFormat/>
    <w:uiPriority w:val="0"/>
    <w:rPr>
      <w:rFonts w:ascii="Symbol" w:hAnsi="Symbol" w:cs="Symbol"/>
      <w:color w:val="000000"/>
      <w:sz w:val="20"/>
      <w:szCs w:val="20"/>
      <w:u w:val="none"/>
    </w:rPr>
  </w:style>
  <w:style w:type="character" w:customStyle="1" w:styleId="67">
    <w:name w:val="font91"/>
    <w:basedOn w:val="25"/>
    <w:qFormat/>
    <w:uiPriority w:val="0"/>
    <w:rPr>
      <w:rFonts w:ascii="Symbol" w:hAnsi="Symbol" w:cs="Symbol"/>
      <w:color w:val="000000"/>
      <w:sz w:val="20"/>
      <w:szCs w:val="20"/>
      <w:u w:val="none"/>
    </w:rPr>
  </w:style>
  <w:style w:type="character" w:customStyle="1" w:styleId="68">
    <w:name w:val="批注文字 Char"/>
    <w:basedOn w:val="25"/>
    <w:link w:val="8"/>
    <w:qFormat/>
    <w:uiPriority w:val="0"/>
    <w:rPr>
      <w:rFonts w:ascii="宋体"/>
      <w:sz w:val="24"/>
    </w:rPr>
  </w:style>
  <w:style w:type="character" w:customStyle="1" w:styleId="69">
    <w:name w:val="批注主题 Char"/>
    <w:basedOn w:val="68"/>
    <w:link w:val="20"/>
    <w:qFormat/>
    <w:uiPriority w:val="0"/>
    <w:rPr>
      <w:rFonts w:ascii="宋体"/>
      <w:b/>
      <w:bCs/>
      <w:sz w:val="24"/>
    </w:rPr>
  </w:style>
  <w:style w:type="character" w:customStyle="1" w:styleId="70">
    <w:name w:val="批注框文本 Char"/>
    <w:basedOn w:val="25"/>
    <w:link w:val="13"/>
    <w:qFormat/>
    <w:uiPriority w:val="0"/>
    <w:rPr>
      <w:rFonts w:ascii="宋体"/>
      <w:sz w:val="18"/>
      <w:szCs w:val="18"/>
    </w:rPr>
  </w:style>
  <w:style w:type="paragraph" w:customStyle="1" w:styleId="71">
    <w:name w:val="Table Paragraph"/>
    <w:basedOn w:val="1"/>
    <w:autoRedefine/>
    <w:qFormat/>
    <w:uiPriority w:val="1"/>
  </w:style>
  <w:style w:type="character" w:customStyle="1" w:styleId="72">
    <w:name w:val="font51"/>
    <w:basedOn w:val="25"/>
    <w:qFormat/>
    <w:uiPriority w:val="0"/>
    <w:rPr>
      <w:rFonts w:hint="eastAsia" w:ascii="楷体" w:hAnsi="楷体" w:eastAsia="楷体" w:cs="楷体"/>
      <w:color w:val="000000"/>
      <w:sz w:val="20"/>
      <w:szCs w:val="20"/>
      <w:u w:val="none"/>
    </w:rPr>
  </w:style>
  <w:style w:type="character" w:customStyle="1" w:styleId="73">
    <w:name w:val="font61"/>
    <w:basedOn w:val="25"/>
    <w:qFormat/>
    <w:uiPriority w:val="0"/>
    <w:rPr>
      <w:rFonts w:hint="eastAsia" w:ascii="楷体" w:hAnsi="楷体" w:eastAsia="楷体" w:cs="楷体"/>
      <w:color w:val="FF0000"/>
      <w:sz w:val="20"/>
      <w:szCs w:val="20"/>
      <w:u w:val="none"/>
    </w:rPr>
  </w:style>
  <w:style w:type="paragraph" w:customStyle="1" w:styleId="74">
    <w:name w:val="Body text|2"/>
    <w:basedOn w:val="1"/>
    <w:qFormat/>
    <w:uiPriority w:val="0"/>
    <w:pPr>
      <w:spacing w:line="375" w:lineRule="exact"/>
      <w:ind w:firstLine="470"/>
    </w:pPr>
    <w:rPr>
      <w:rFonts w:ascii="宋体" w:hAnsi="宋体" w:eastAsia="宋体" w:cs="宋体"/>
      <w:sz w:val="22"/>
      <w:szCs w:val="22"/>
      <w:lang w:val="zh-TW" w:eastAsia="zh-TW" w:bidi="zh-TW"/>
    </w:rPr>
  </w:style>
  <w:style w:type="character" w:customStyle="1" w:styleId="75">
    <w:name w:val="font121"/>
    <w:basedOn w:val="25"/>
    <w:qFormat/>
    <w:uiPriority w:val="0"/>
    <w:rPr>
      <w:rFonts w:ascii="宋体" w:hAnsi="宋体" w:eastAsia="宋体" w:cs="宋体"/>
      <w:b/>
      <w:bCs/>
      <w:color w:val="000000"/>
      <w:sz w:val="36"/>
      <w:szCs w:val="36"/>
      <w:u w:val="none"/>
    </w:rPr>
  </w:style>
  <w:style w:type="character" w:customStyle="1" w:styleId="76">
    <w:name w:val="font141"/>
    <w:basedOn w:val="25"/>
    <w:qFormat/>
    <w:uiPriority w:val="0"/>
    <w:rPr>
      <w:rFonts w:ascii="宋体" w:hAnsi="宋体" w:eastAsia="宋体" w:cs="宋体"/>
      <w:color w:val="000000"/>
      <w:sz w:val="18"/>
      <w:szCs w:val="18"/>
      <w:u w:val="none"/>
    </w:rPr>
  </w:style>
  <w:style w:type="character" w:customStyle="1" w:styleId="77">
    <w:name w:val="font151"/>
    <w:basedOn w:val="25"/>
    <w:qFormat/>
    <w:uiPriority w:val="0"/>
    <w:rPr>
      <w:rFonts w:ascii="宋体" w:hAnsi="宋体" w:eastAsia="宋体" w:cs="宋体"/>
      <w:b/>
      <w:bCs/>
      <w:color w:val="000000"/>
      <w:sz w:val="16"/>
      <w:szCs w:val="16"/>
      <w:u w:val="none"/>
    </w:rPr>
  </w:style>
  <w:style w:type="paragraph" w:customStyle="1" w:styleId="78">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79">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45068</Words>
  <Characters>48074</Characters>
  <Lines>1279</Lines>
  <Paragraphs>360</Paragraphs>
  <TotalTime>16</TotalTime>
  <ScaleCrop>false</ScaleCrop>
  <LinksUpToDate>false</LinksUpToDate>
  <CharactersWithSpaces>50621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2022-08-07T09:46:00Z</dcterms:created>
  <dc:creator>H</dc:creator>
  <cp:lastModifiedBy>中豫建设工程咨询有限公司榆林二分公司</cp:lastModifiedBy>
  <cp:lastPrinted>2024-12-13T08:44:00Z</cp:lastPrinted>
  <dcterms:modified xsi:type="dcterms:W3CDTF">2026-09-09T09:51:16Z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F19F6EDF10C84E1EBB1D4C3E61F6936D_13</vt:lpwstr>
  </property>
  <property fmtid="{D5CDD505-2E9C-101B-9397-08002B2CF9AE}" pid="4" name="KSOTemplateDocerSaveRecord">
    <vt:lpwstr>eyJoZGlkIjoiNGRiZmRiMjk5ODlhMTdkNmJlYTZkOWU3YmVmZWYyNzgiLCJ1c2VySWQiOiIxMDA2NTM0MTk1In0=</vt:lpwstr>
  </property>
</Properties>
</file>