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资格审查部分</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line="360" w:lineRule="auto"/>
        <w:ind w:firstLine="422" w:firstLineChars="200"/>
        <w:jc w:val="center"/>
        <w:rPr>
          <w:rFonts w:hAnsi="宋体" w:cs="宋体"/>
          <w:b/>
          <w:bCs/>
          <w:sz w:val="21"/>
          <w:szCs w:val="21"/>
        </w:rPr>
      </w:pPr>
      <w:r>
        <w:rPr>
          <w:rFonts w:hint="eastAsia" w:hAnsi="宋体" w:cs="宋体"/>
          <w:b/>
          <w:bCs/>
          <w:sz w:val="21"/>
          <w:szCs w:val="21"/>
        </w:rPr>
        <w:t>投标人基本情况表</w:t>
      </w:r>
    </w:p>
    <w:tbl>
      <w:tblPr>
        <w:tblStyle w:val="10"/>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148"/>
        <w:gridCol w:w="2110"/>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投标人名称</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法定代表人</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统一</w:t>
            </w:r>
          </w:p>
          <w:p>
            <w:pPr>
              <w:topLinePunct/>
              <w:spacing w:line="360" w:lineRule="auto"/>
              <w:jc w:val="center"/>
              <w:rPr>
                <w:rFonts w:hAnsi="宋体" w:cs="宋体"/>
                <w:sz w:val="21"/>
                <w:szCs w:val="21"/>
              </w:rPr>
            </w:pPr>
            <w:r>
              <w:rPr>
                <w:rFonts w:hint="eastAsia" w:hAnsi="宋体" w:cs="宋体"/>
                <w:sz w:val="21"/>
                <w:szCs w:val="21"/>
              </w:rPr>
              <w:t>社会信用代码</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邮政编码</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上年营业收入</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员工总人数</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hAnsi="宋体" w:cs="宋体"/>
                <w:sz w:val="21"/>
                <w:szCs w:val="21"/>
              </w:rPr>
            </w:pPr>
            <w:r>
              <w:rPr>
                <w:rFonts w:hint="eastAsia" w:hAnsi="宋体" w:cs="宋体"/>
                <w:sz w:val="21"/>
                <w:szCs w:val="21"/>
              </w:rPr>
              <w:t>营业执照</w:t>
            </w: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注册号码</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注册地址</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发证日期</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（主营）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（兼营）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9"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基本账户开户行及账号</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5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资产总额（万元）</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资质名称</w:t>
            </w:r>
          </w:p>
        </w:tc>
        <w:tc>
          <w:tcPr>
            <w:tcW w:w="2308" w:type="dxa"/>
            <w:gridSpan w:val="2"/>
            <w:vAlign w:val="center"/>
          </w:tcPr>
          <w:p>
            <w:pPr>
              <w:topLinePunct/>
              <w:spacing w:line="360" w:lineRule="auto"/>
              <w:jc w:val="center"/>
              <w:rPr>
                <w:rFonts w:hAnsi="宋体" w:cs="宋体"/>
                <w:sz w:val="21"/>
                <w:szCs w:val="21"/>
              </w:rPr>
            </w:pPr>
            <w:r>
              <w:rPr>
                <w:rFonts w:hint="eastAsia" w:hAnsi="宋体" w:cs="宋体"/>
                <w:sz w:val="21"/>
                <w:szCs w:val="21"/>
              </w:rPr>
              <w:t>等级</w:t>
            </w:r>
          </w:p>
        </w:tc>
        <w:tc>
          <w:tcPr>
            <w:tcW w:w="1227" w:type="dxa"/>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3277" w:type="dxa"/>
            <w:gridSpan w:val="2"/>
            <w:vAlign w:val="center"/>
          </w:tcPr>
          <w:p>
            <w:pPr>
              <w:topLinePunct/>
              <w:spacing w:line="360" w:lineRule="auto"/>
              <w:jc w:val="center"/>
              <w:rPr>
                <w:rFonts w:hAnsi="宋体" w:cs="宋体"/>
                <w:sz w:val="21"/>
                <w:szCs w:val="21"/>
              </w:rPr>
            </w:pPr>
            <w:r>
              <w:rPr>
                <w:rFonts w:hint="eastAsia" w:hAnsi="宋体" w:cs="宋体"/>
                <w:sz w:val="21"/>
                <w:szCs w:val="21"/>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hAnsi="宋体" w:cs="宋体"/>
                <w:sz w:val="21"/>
                <w:szCs w:val="21"/>
              </w:rPr>
            </w:pPr>
            <w:r>
              <w:rPr>
                <w:rFonts w:hint="eastAsia" w:hAnsi="宋体" w:cs="宋体"/>
                <w:sz w:val="21"/>
                <w:szCs w:val="21"/>
              </w:rPr>
              <w:t>备注</w:t>
            </w:r>
          </w:p>
        </w:tc>
        <w:tc>
          <w:tcPr>
            <w:tcW w:w="7960" w:type="dxa"/>
            <w:gridSpan w:val="6"/>
            <w:vAlign w:val="center"/>
          </w:tcPr>
          <w:p>
            <w:pPr>
              <w:topLinePunct/>
              <w:spacing w:line="360" w:lineRule="auto"/>
              <w:rPr>
                <w:rFonts w:hAnsi="宋体" w:cs="宋体"/>
                <w:sz w:val="21"/>
                <w:szCs w:val="21"/>
              </w:rPr>
            </w:pPr>
          </w:p>
        </w:tc>
      </w:tr>
    </w:tbl>
    <w:p>
      <w:pPr>
        <w:spacing w:line="360" w:lineRule="auto"/>
        <w:ind w:firstLine="3360" w:firstLineChars="16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djustRightInd w:val="0"/>
        <w:snapToGrid w:val="0"/>
        <w:spacing w:line="360" w:lineRule="auto"/>
        <w:ind w:firstLine="3360" w:firstLineChars="16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autoSpaceDE w:val="0"/>
        <w:autoSpaceDN w:val="0"/>
        <w:adjustRightInd w:val="0"/>
        <w:snapToGrid w:val="0"/>
        <w:spacing w:before="120" w:line="360" w:lineRule="auto"/>
        <w:jc w:val="center"/>
        <w:outlineLvl w:val="2"/>
        <w:rPr>
          <w:rFonts w:hAnsi="宋体" w:cs="宋体"/>
          <w:sz w:val="21"/>
          <w:szCs w:val="21"/>
        </w:rPr>
      </w:pPr>
      <w:r>
        <w:rPr>
          <w:rFonts w:hint="eastAsia" w:hAnsi="宋体" w:cs="宋体"/>
          <w:sz w:val="21"/>
          <w:szCs w:val="21"/>
        </w:rPr>
        <w:br w:type="page"/>
      </w:r>
      <w:bookmarkStart w:id="0" w:name="_Toc10232"/>
      <w:bookmarkStart w:id="1" w:name="_Toc30017"/>
      <w:bookmarkStart w:id="2" w:name="_Toc1730"/>
      <w:bookmarkStart w:id="3" w:name="_Toc8313"/>
      <w:bookmarkStart w:id="4" w:name="_Toc2296"/>
      <w:bookmarkStart w:id="5" w:name="_Toc10169"/>
      <w:bookmarkStart w:id="6" w:name="_Toc495681405"/>
      <w:bookmarkStart w:id="7" w:name="_Toc495681251"/>
      <w:bookmarkStart w:id="8" w:name="_Toc495908047"/>
      <w:bookmarkStart w:id="9" w:name="_Toc495671262"/>
      <w:bookmarkStart w:id="10" w:name="_Toc27035"/>
      <w:bookmarkStart w:id="11" w:name="_Toc31488"/>
      <w:bookmarkStart w:id="12" w:name="_Toc495681532"/>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提供统一社会信用代码的营业执照或其他组织经营的合法凭证或自然人的提供身份证明文件。</w:t>
      </w:r>
    </w:p>
    <w:p>
      <w:pPr>
        <w:topLinePunct/>
        <w:spacing w:line="360" w:lineRule="auto"/>
        <w:jc w:val="center"/>
        <w:rPr>
          <w:rFonts w:hint="eastAsia" w:hAnsi="宋体" w:cs="宋体"/>
          <w:sz w:val="21"/>
          <w:szCs w:val="21"/>
          <w:lang w:val="zh-CN"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24754"/>
      <w:bookmarkStart w:id="14" w:name="_Toc30185"/>
      <w:bookmarkStart w:id="15" w:name="_Toc4584"/>
      <w:bookmarkStart w:id="16" w:name="_Toc25217"/>
      <w:bookmarkStart w:id="17" w:name="_Toc27384"/>
      <w:bookmarkStart w:id="18" w:name="_Toc21316"/>
      <w:bookmarkStart w:id="19" w:name="_Toc894"/>
      <w:bookmarkStart w:id="20" w:name="_Toc16911"/>
      <w:bookmarkStart w:id="21" w:name="_Toc495671270"/>
      <w:bookmarkStart w:id="22" w:name="_Toc20217"/>
      <w:bookmarkStart w:id="23" w:name="_Toc19057"/>
      <w:bookmarkStart w:id="24" w:name="_Toc32165"/>
      <w:r>
        <w:rPr>
          <w:rFonts w:hint="eastAsia" w:hAnsi="宋体" w:cs="宋体"/>
          <w:b/>
          <w:bCs/>
          <w:sz w:val="21"/>
          <w:szCs w:val="21"/>
        </w:rPr>
        <w:t>（二）财务状况报告</w:t>
      </w:r>
      <w:bookmarkEnd w:id="13"/>
      <w:bookmarkEnd w:id="14"/>
      <w:bookmarkEnd w:id="15"/>
      <w:bookmarkEnd w:id="16"/>
      <w:bookmarkEnd w:id="17"/>
      <w:bookmarkEnd w:id="18"/>
    </w:p>
    <w:p>
      <w:pPr>
        <w:pStyle w:val="6"/>
        <w:adjustRightInd w:val="0"/>
        <w:snapToGrid w:val="0"/>
        <w:spacing w:line="360" w:lineRule="auto"/>
        <w:rPr>
          <w:rFonts w:hAnsi="宋体" w:cs="宋体"/>
          <w:b/>
        </w:rPr>
      </w:pPr>
    </w:p>
    <w:p>
      <w:pPr>
        <w:topLinePunct/>
        <w:spacing w:line="360" w:lineRule="auto"/>
        <w:jc w:val="left"/>
        <w:rPr>
          <w:rFonts w:hint="eastAsia" w:hAnsi="宋体" w:cs="宋体"/>
          <w:sz w:val="21"/>
          <w:szCs w:val="21"/>
        </w:rPr>
      </w:pPr>
      <w:r>
        <w:rPr>
          <w:rFonts w:hint="eastAsia" w:hAnsi="宋体" w:cs="宋体"/>
          <w:sz w:val="21"/>
          <w:szCs w:val="21"/>
          <w:lang w:val="en-US" w:eastAsia="zh-CN"/>
        </w:rPr>
        <w:t xml:space="preserve">   </w:t>
      </w:r>
      <w:r>
        <w:rPr>
          <w:rFonts w:hint="eastAsia" w:hAnsi="宋体" w:cs="宋体"/>
          <w:sz w:val="21"/>
          <w:szCs w:val="21"/>
        </w:rPr>
        <w:t>供应商需提供具有财务审计资质单位出具的202</w:t>
      </w:r>
      <w:r>
        <w:rPr>
          <w:rFonts w:hint="eastAsia" w:hAnsi="宋体" w:cs="宋体"/>
          <w:sz w:val="21"/>
          <w:szCs w:val="21"/>
          <w:lang w:val="en-US" w:eastAsia="zh-CN"/>
        </w:rPr>
        <w:t>5</w:t>
      </w:r>
      <w:r>
        <w:rPr>
          <w:rFonts w:hint="eastAsia" w:hAnsi="宋体" w:cs="宋体"/>
          <w:sz w:val="21"/>
          <w:szCs w:val="21"/>
        </w:rPr>
        <w:t>年度财务报告或开标前六个月内其基本账户银行出具的资信证明或财政部门认可的政府采购专业担保机构出具的担保函，以上形式的证明资料提供任何一种即可。</w:t>
      </w: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1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17892"/>
      <w:bookmarkStart w:id="26" w:name="_Toc5342"/>
      <w:bookmarkStart w:id="27" w:name="_Toc4064"/>
      <w:bookmarkStart w:id="28" w:name="_Toc27653"/>
      <w:bookmarkStart w:id="29" w:name="_Toc6124"/>
      <w:bookmarkStart w:id="30" w:name="_Toc19234"/>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7"/>
        <w:spacing w:line="360" w:lineRule="auto"/>
        <w:rPr>
          <w:rFonts w:hAnsi="宋体" w:cs="宋体"/>
          <w:sz w:val="21"/>
          <w:szCs w:val="21"/>
        </w:rPr>
      </w:pPr>
    </w:p>
    <w:p>
      <w:pPr>
        <w:spacing w:line="360" w:lineRule="auto"/>
        <w:ind w:firstLine="480"/>
        <w:rPr>
          <w:rFonts w:hAnsi="宋体" w:cs="宋体"/>
          <w:sz w:val="21"/>
          <w:szCs w:val="21"/>
        </w:rPr>
      </w:pPr>
      <w:r>
        <w:rPr>
          <w:rFonts w:hAnsi="宋体" w:cs="宋体"/>
          <w:sz w:val="21"/>
          <w:szCs w:val="21"/>
        </w:rPr>
        <w:t>提供已缴纳的 2025年</w:t>
      </w:r>
      <w:r>
        <w:rPr>
          <w:rFonts w:hint="eastAsia" w:hAnsi="宋体" w:cs="宋体"/>
          <w:sz w:val="21"/>
          <w:szCs w:val="21"/>
          <w:lang w:val="en-US" w:eastAsia="zh-CN"/>
        </w:rPr>
        <w:t>10</w:t>
      </w:r>
      <w:r>
        <w:rPr>
          <w:rFonts w:hAnsi="宋体" w:cs="宋体"/>
          <w:sz w:val="21"/>
          <w:szCs w:val="21"/>
        </w:rPr>
        <w:t>月1日以来至少一个月的纳税证明或完税证明，纳税证明或完税证明上应有代收机构或税务机关的公章或业务专用章。依法免税的投标人应提供相关文件证明。</w:t>
      </w:r>
    </w:p>
    <w:p>
      <w:pPr>
        <w:pStyle w:val="12"/>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17953"/>
      <w:bookmarkStart w:id="32" w:name="_Toc5283"/>
      <w:bookmarkStart w:id="33" w:name="_Toc1891"/>
      <w:bookmarkStart w:id="34" w:name="_Toc23064"/>
      <w:bookmarkStart w:id="35" w:name="_Toc12644"/>
      <w:bookmarkStart w:id="36" w:name="_Toc7176"/>
      <w:r>
        <w:rPr>
          <w:rFonts w:hint="eastAsia" w:hAnsi="宋体" w:cs="宋体"/>
          <w:b/>
          <w:sz w:val="21"/>
          <w:szCs w:val="21"/>
        </w:rPr>
        <w:t>（四）</w:t>
      </w:r>
      <w:r>
        <w:rPr>
          <w:rFonts w:hint="eastAsia" w:hAnsi="宋体" w:cs="宋体"/>
          <w:b/>
          <w:sz w:val="21"/>
          <w:szCs w:val="21"/>
          <w:lang w:val="en-US" w:eastAsia="zh-CN"/>
        </w:rPr>
        <w:t>社保</w:t>
      </w:r>
      <w:r>
        <w:rPr>
          <w:rFonts w:hint="eastAsia" w:hAnsi="宋体" w:cs="宋体"/>
          <w:b/>
          <w:sz w:val="21"/>
          <w:szCs w:val="21"/>
        </w:rPr>
        <w:t>缴纳证明</w:t>
      </w:r>
      <w:bookmarkEnd w:id="31"/>
      <w:bookmarkEnd w:id="32"/>
      <w:bookmarkEnd w:id="33"/>
      <w:bookmarkEnd w:id="34"/>
      <w:bookmarkEnd w:id="35"/>
      <w:bookmarkEnd w:id="36"/>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 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bidi w:val="0"/>
        <w:rPr>
          <w:rFonts w:hint="eastAsia"/>
        </w:rPr>
      </w:pPr>
      <w:bookmarkStart w:id="37" w:name="_Toc24182"/>
      <w:bookmarkStart w:id="38" w:name="_Toc21012"/>
      <w:bookmarkStart w:id="39" w:name="_Toc19859"/>
    </w:p>
    <w:p>
      <w:pPr>
        <w:pStyle w:val="1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1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spacing w:line="360" w:lineRule="auto"/>
        <w:ind w:firstLine="3131" w:firstLineChars="1491"/>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spacing w:line="360" w:lineRule="auto"/>
        <w:rPr>
          <w:rFonts w:hAnsi="宋体" w:cs="宋体"/>
          <w:bCs/>
          <w:sz w:val="21"/>
          <w:szCs w:val="21"/>
        </w:rPr>
      </w:pPr>
    </w:p>
    <w:p>
      <w:pPr>
        <w:spacing w:line="360" w:lineRule="auto"/>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pPr>
    </w:p>
    <w:p>
      <w:pPr>
        <w:spacing w:line="360" w:lineRule="auto"/>
        <w:jc w:val="center"/>
        <w:outlineLvl w:val="2"/>
        <w:rPr>
          <w:rFonts w:hAnsi="宋体" w:cs="宋体"/>
          <w:b/>
          <w:sz w:val="21"/>
          <w:szCs w:val="21"/>
        </w:rPr>
      </w:pPr>
      <w:bookmarkStart w:id="40" w:name="_Toc25944"/>
      <w:bookmarkStart w:id="41" w:name="_Toc8455"/>
      <w:bookmarkStart w:id="42" w:name="_Toc18948"/>
      <w:bookmarkStart w:id="43" w:name="_Toc10898"/>
      <w:bookmarkStart w:id="44" w:name="_Toc31742"/>
      <w:bookmarkStart w:id="45" w:name="_Toc23846"/>
      <w:bookmarkStart w:id="46" w:name="_Toc1093"/>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utoSpaceDE w:val="0"/>
        <w:autoSpaceDN w:val="0"/>
        <w:adjustRightInd w:val="0"/>
        <w:spacing w:line="360" w:lineRule="auto"/>
        <w:ind w:firstLine="3360" w:firstLineChars="1600"/>
        <w:rPr>
          <w:rFonts w:hAnsi="宋体" w:cs="宋体"/>
          <w:sz w:val="21"/>
          <w:szCs w:val="21"/>
        </w:rPr>
      </w:pPr>
      <w:r>
        <w:rPr>
          <w:rFonts w:hint="eastAsia" w:hAnsi="宋体" w:cs="宋体"/>
          <w:sz w:val="21"/>
          <w:szCs w:val="21"/>
        </w:rPr>
        <w:t>日    期：</w:t>
      </w:r>
      <w:r>
        <w:rPr>
          <w:rFonts w:hint="eastAsia" w:hAnsi="宋体" w:cs="宋体"/>
          <w:sz w:val="21"/>
          <w:szCs w:val="21"/>
          <w:u w:val="single"/>
        </w:rPr>
        <w:t xml:space="preserve">                                    </w:t>
      </w:r>
      <w:bookmarkEnd w:id="19"/>
      <w:bookmarkEnd w:id="47"/>
    </w:p>
    <w:bookmarkEnd w:id="20"/>
    <w:bookmarkEnd w:id="21"/>
    <w:bookmarkEnd w:id="22"/>
    <w:bookmarkEnd w:id="23"/>
    <w:bookmarkEnd w:id="24"/>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1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10275"/>
      <w:bookmarkStart w:id="49" w:name="_Toc1010"/>
      <w:bookmarkStart w:id="50" w:name="_Toc17057"/>
      <w:bookmarkStart w:id="51" w:name="_Toc28784"/>
      <w:bookmarkStart w:id="52" w:name="_Toc3871"/>
      <w:bookmarkStart w:id="53" w:name="_Toc6501"/>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）特定资格要求</w:t>
      </w:r>
      <w:bookmarkEnd w:id="48"/>
      <w:bookmarkEnd w:id="49"/>
      <w:bookmarkEnd w:id="50"/>
      <w:bookmarkEnd w:id="51"/>
      <w:bookmarkEnd w:id="52"/>
      <w:bookmarkEnd w:id="53"/>
    </w:p>
    <w:p>
      <w:pPr>
        <w:adjustRightInd w:val="0"/>
        <w:snapToGrid w:val="0"/>
        <w:spacing w:line="360" w:lineRule="auto"/>
        <w:jc w:val="center"/>
        <w:outlineLvl w:val="3"/>
        <w:rPr>
          <w:rFonts w:hAnsi="宋体" w:cs="宋体"/>
          <w:b/>
          <w:sz w:val="21"/>
          <w:szCs w:val="21"/>
        </w:rPr>
      </w:pPr>
      <w:bookmarkStart w:id="54" w:name="_Toc18742"/>
      <w:bookmarkStart w:id="55" w:name="_Toc32662"/>
      <w:bookmarkStart w:id="56" w:name="_Toc495908048"/>
      <w:bookmarkStart w:id="57" w:name="_Toc495681252"/>
      <w:bookmarkStart w:id="58" w:name="_Toc1610"/>
      <w:bookmarkStart w:id="59" w:name="_Toc495671263"/>
      <w:bookmarkStart w:id="60" w:name="_Toc495681533"/>
      <w:bookmarkStart w:id="61" w:name="_Toc495681406"/>
      <w:r>
        <w:rPr>
          <w:rFonts w:hint="eastAsia" w:hAnsi="宋体" w:cs="宋体"/>
          <w:b/>
          <w:sz w:val="21"/>
          <w:szCs w:val="21"/>
        </w:rPr>
        <w:t>1、法定代表人身份证明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tblPrEx>
          <w:tblLayout w:type="fixed"/>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b w:val="0"/>
                <w:color w:val="auto"/>
                <w:sz w:val="21"/>
                <w:szCs w:val="21"/>
                <w:lang w:val="zh-CN"/>
              </w:rPr>
            </w:pPr>
            <w:r>
              <w:rPr>
                <w:rFonts w:hint="eastAsia"/>
                <w:lang w:val="zh-CN"/>
              </w:rPr>
              <w:t xml:space="preserve">         </w:t>
            </w:r>
          </w:p>
          <w:p>
            <w:pPr>
              <w:pStyle w:val="1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lang w:val="zh-CN"/>
              </w:rPr>
            </w:pPr>
            <w:r>
              <w:rPr>
                <w:rFonts w:hint="eastAsia"/>
                <w:lang w:val="zh-CN"/>
              </w:rPr>
              <w:t xml:space="preserve">        </w:t>
            </w:r>
          </w:p>
          <w:p>
            <w:pPr>
              <w:pStyle w:val="1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spacing w:line="360" w:lineRule="auto"/>
        <w:ind w:firstLine="3131" w:firstLineChars="1491"/>
        <w:rPr>
          <w:rFonts w:hAnsi="宋体" w:cs="宋体"/>
          <w:sz w:val="21"/>
          <w:szCs w:val="21"/>
        </w:rPr>
      </w:pPr>
      <w:bookmarkStart w:id="62" w:name="_Toc495681253"/>
      <w:bookmarkStart w:id="63" w:name="_Toc18921"/>
      <w:bookmarkStart w:id="64" w:name="_Toc495681407"/>
      <w:bookmarkStart w:id="65" w:name="_Toc495681534"/>
      <w:bookmarkStart w:id="66" w:name="_Toc495908049"/>
      <w:bookmarkStart w:id="67" w:name="_Toc495671264"/>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ageBreakBefore/>
        <w:adjustRightInd w:val="0"/>
        <w:snapToGrid w:val="0"/>
        <w:spacing w:line="360" w:lineRule="auto"/>
        <w:jc w:val="center"/>
        <w:outlineLvl w:val="3"/>
        <w:rPr>
          <w:rFonts w:hAnsi="宋体" w:cs="宋体"/>
          <w:b/>
          <w:sz w:val="21"/>
          <w:szCs w:val="21"/>
        </w:rPr>
      </w:pPr>
      <w:bookmarkStart w:id="68" w:name="_Toc32169"/>
      <w:bookmarkStart w:id="69" w:name="_Toc29369"/>
      <w:r>
        <w:rPr>
          <w:rFonts w:hint="eastAsia" w:hAnsi="宋体" w:cs="宋体"/>
          <w:b/>
          <w:sz w:val="21"/>
          <w:szCs w:val="21"/>
        </w:rPr>
        <w:t>2、法定代表人授权书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eastAsia="zh-CN"/>
        </w:rPr>
        <w:t>致：</w:t>
      </w:r>
      <w:bookmarkStart w:id="76" w:name="_GoBack"/>
      <w:bookmarkEnd w:id="76"/>
      <w:r>
        <w:rPr>
          <w:rFonts w:hint="eastAsia" w:hAnsi="宋体" w:cs="宋体"/>
          <w:sz w:val="21"/>
          <w:szCs w:val="21"/>
          <w:lang w:val="zh-CN" w:eastAsia="zh-CN"/>
        </w:rPr>
        <w:t>陕西昇杰项目管理有限公司</w:t>
      </w:r>
      <w:r>
        <w:rPr>
          <w:rFonts w:hint="eastAsia" w:hAnsi="宋体" w:cs="宋体"/>
          <w:sz w:val="21"/>
          <w:szCs w:val="21"/>
          <w:lang w:val="zh-CN"/>
        </w:rPr>
        <w:t>：</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7"/>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7"/>
        <w:rPr>
          <w:rFonts w:hAnsi="宋体" w:cs="宋体"/>
          <w:sz w:val="21"/>
          <w:szCs w:val="21"/>
        </w:rPr>
      </w:pPr>
    </w:p>
    <w:tbl>
      <w:tblPr>
        <w:tblStyle w:val="10"/>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9"/>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spacing w:line="360" w:lineRule="auto"/>
        <w:ind w:firstLine="3570" w:firstLineChars="17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Style w:val="5"/>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（九）本项目不接受联合体投标，不允许分包</w:t>
      </w:r>
    </w:p>
    <w:p>
      <w:pPr>
        <w:jc w:val="center"/>
        <w:rPr>
          <w:rFonts w:hAnsi="宋体" w:cs="宋体"/>
          <w:b/>
          <w:sz w:val="21"/>
          <w:szCs w:val="21"/>
          <w:lang w:val="zh-CN"/>
        </w:rPr>
      </w:pPr>
      <w:bookmarkStart w:id="70" w:name="_Toc10643"/>
      <w:bookmarkStart w:id="71" w:name="_Toc10845"/>
      <w:bookmarkStart w:id="72" w:name="_Toc25082"/>
      <w:r>
        <w:rPr>
          <w:rFonts w:hint="eastAsia" w:hAnsi="宋体" w:cs="宋体"/>
          <w:sz w:val="21"/>
          <w:szCs w:val="21"/>
        </w:rPr>
        <w:t>格式自拟</w:t>
      </w:r>
    </w:p>
    <w:p>
      <w:pPr>
        <w:adjustRightInd w:val="0"/>
        <w:snapToGrid w:val="0"/>
        <w:spacing w:line="360" w:lineRule="auto"/>
        <w:jc w:val="center"/>
        <w:outlineLvl w:val="2"/>
        <w:rPr>
          <w:rFonts w:hAnsi="宋体" w:cs="宋体"/>
          <w:b/>
          <w:sz w:val="21"/>
          <w:szCs w:val="21"/>
          <w:lang w:val="zh-CN"/>
        </w:rPr>
      </w:pPr>
      <w:bookmarkStart w:id="73" w:name="_Toc20361"/>
      <w:bookmarkStart w:id="74" w:name="_Toc30526"/>
      <w:bookmarkStart w:id="75" w:name="_Toc29"/>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r>
        <w:rPr>
          <w:rFonts w:hint="eastAsia" w:hAnsi="宋体" w:cs="宋体"/>
          <w:b/>
          <w:sz w:val="21"/>
          <w:szCs w:val="21"/>
          <w:lang w:val="zh-CN"/>
        </w:rPr>
        <w:t>（</w:t>
      </w:r>
      <w:r>
        <w:rPr>
          <w:rFonts w:hint="eastAsia" w:hAnsi="宋体" w:cs="宋体"/>
          <w:b/>
          <w:sz w:val="21"/>
          <w:szCs w:val="21"/>
        </w:rPr>
        <w:t>十</w:t>
      </w:r>
      <w:r>
        <w:rPr>
          <w:rFonts w:hint="eastAsia" w:hAnsi="宋体" w:cs="宋体"/>
          <w:b/>
          <w:sz w:val="21"/>
          <w:szCs w:val="21"/>
          <w:lang w:val="zh-CN"/>
        </w:rPr>
        <w:t>）</w:t>
      </w:r>
      <w:r>
        <w:rPr>
          <w:rFonts w:hint="eastAsia" w:asciiTheme="minorEastAsia" w:hAnsiTheme="minorEastAsia" w:eastAsiaTheme="minorEastAsia" w:cstheme="minorEastAsia"/>
          <w:b/>
          <w:sz w:val="24"/>
        </w:rPr>
        <w:t>证明供应商符合特定资格条件的证明材料（根据</w:t>
      </w:r>
      <w:r>
        <w:rPr>
          <w:rFonts w:hint="eastAsia" w:asciiTheme="minorEastAsia" w:hAnsiTheme="minorEastAsia" w:cstheme="minorEastAsia"/>
          <w:b/>
          <w:sz w:val="24"/>
          <w:lang w:eastAsia="zh-CN"/>
        </w:rPr>
        <w:t>招标</w:t>
      </w:r>
      <w:r>
        <w:rPr>
          <w:rFonts w:hint="eastAsia" w:asciiTheme="minorEastAsia" w:hAnsiTheme="minorEastAsia" w:eastAsiaTheme="minorEastAsia" w:cstheme="minorEastAsia"/>
          <w:b/>
          <w:sz w:val="24"/>
        </w:rPr>
        <w:t>文件要求，自行提供）</w:t>
      </w:r>
    </w:p>
    <w:p>
      <w:pPr>
        <w:ind w:firstLine="420" w:firstLineChars="200"/>
        <w:rPr>
          <w:rFonts w:hint="eastAsia" w:hAnsi="宋体" w:cs="宋体"/>
          <w:sz w:val="21"/>
          <w:szCs w:val="21"/>
          <w:lang w:val="en-US" w:eastAsia="zh-CN"/>
        </w:rPr>
      </w:pPr>
    </w:p>
    <w:p>
      <w:pPr>
        <w:pStyle w:val="2"/>
        <w:jc w:val="center"/>
        <w:rPr>
          <w:b w:val="0"/>
          <w:bCs w:val="0"/>
          <w:lang w:val="zh-CN"/>
        </w:rPr>
      </w:pPr>
      <w:r>
        <w:rPr>
          <w:rFonts w:hint="eastAsia"/>
          <w:b w:val="0"/>
          <w:bCs w:val="0"/>
          <w:highlight w:val="none"/>
        </w:rPr>
        <w:t>供应商须提供合法有效的食品经营许可证</w:t>
      </w: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bookmarkEnd w:id="70"/>
    <w:bookmarkEnd w:id="71"/>
    <w:bookmarkEnd w:id="72"/>
    <w:bookmarkEnd w:id="73"/>
    <w:bookmarkEnd w:id="74"/>
    <w:bookmarkEnd w:id="75"/>
    <w:p>
      <w:pPr>
        <w:rPr>
          <w:rFonts w:hint="default" w:hAnsi="宋体" w:cs="宋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C4C3E"/>
    <w:rsid w:val="024E2218"/>
    <w:rsid w:val="05077E49"/>
    <w:rsid w:val="054461F7"/>
    <w:rsid w:val="066F6C08"/>
    <w:rsid w:val="06C71C12"/>
    <w:rsid w:val="090A2793"/>
    <w:rsid w:val="0A193CCF"/>
    <w:rsid w:val="0B2044F3"/>
    <w:rsid w:val="0B420230"/>
    <w:rsid w:val="0D9A25AB"/>
    <w:rsid w:val="10D961D4"/>
    <w:rsid w:val="124F2EC4"/>
    <w:rsid w:val="146418EF"/>
    <w:rsid w:val="14CA1DFF"/>
    <w:rsid w:val="16F8459A"/>
    <w:rsid w:val="17443366"/>
    <w:rsid w:val="17B93114"/>
    <w:rsid w:val="18040E4A"/>
    <w:rsid w:val="185858BB"/>
    <w:rsid w:val="19BC4C3C"/>
    <w:rsid w:val="19EF25E6"/>
    <w:rsid w:val="1BC12A1E"/>
    <w:rsid w:val="1FB00ACC"/>
    <w:rsid w:val="242104E5"/>
    <w:rsid w:val="246C25F2"/>
    <w:rsid w:val="24A63727"/>
    <w:rsid w:val="26974669"/>
    <w:rsid w:val="292224D7"/>
    <w:rsid w:val="29B0282F"/>
    <w:rsid w:val="2A48281A"/>
    <w:rsid w:val="2A523030"/>
    <w:rsid w:val="2BD3061F"/>
    <w:rsid w:val="2CF15B58"/>
    <w:rsid w:val="2D311246"/>
    <w:rsid w:val="30DD63B4"/>
    <w:rsid w:val="32CD047A"/>
    <w:rsid w:val="33060A9F"/>
    <w:rsid w:val="3463394B"/>
    <w:rsid w:val="34F57E8E"/>
    <w:rsid w:val="35F74D3A"/>
    <w:rsid w:val="3617477B"/>
    <w:rsid w:val="3680056C"/>
    <w:rsid w:val="380D0CF6"/>
    <w:rsid w:val="387E21FF"/>
    <w:rsid w:val="39891269"/>
    <w:rsid w:val="399D2CD2"/>
    <w:rsid w:val="3A8406C7"/>
    <w:rsid w:val="3EA94B38"/>
    <w:rsid w:val="3F1F3112"/>
    <w:rsid w:val="3FC958FD"/>
    <w:rsid w:val="402C1486"/>
    <w:rsid w:val="410B177D"/>
    <w:rsid w:val="42147971"/>
    <w:rsid w:val="42F20403"/>
    <w:rsid w:val="43EE4A6D"/>
    <w:rsid w:val="4487005E"/>
    <w:rsid w:val="469B261D"/>
    <w:rsid w:val="46DC247F"/>
    <w:rsid w:val="46F70A33"/>
    <w:rsid w:val="496200DD"/>
    <w:rsid w:val="49A93F34"/>
    <w:rsid w:val="49FD4FD9"/>
    <w:rsid w:val="4B0F0947"/>
    <w:rsid w:val="4C241CEC"/>
    <w:rsid w:val="4D200F2C"/>
    <w:rsid w:val="4E667F44"/>
    <w:rsid w:val="50C44B2D"/>
    <w:rsid w:val="50EC0C3B"/>
    <w:rsid w:val="517F5A48"/>
    <w:rsid w:val="51A25BE9"/>
    <w:rsid w:val="52C1233D"/>
    <w:rsid w:val="53FD540C"/>
    <w:rsid w:val="54B009D3"/>
    <w:rsid w:val="58EA3C48"/>
    <w:rsid w:val="5B017815"/>
    <w:rsid w:val="5C3322DA"/>
    <w:rsid w:val="5EA366B8"/>
    <w:rsid w:val="60B151DC"/>
    <w:rsid w:val="61581961"/>
    <w:rsid w:val="61CF52E7"/>
    <w:rsid w:val="65374930"/>
    <w:rsid w:val="657952BA"/>
    <w:rsid w:val="67CA6AD6"/>
    <w:rsid w:val="6A7352E7"/>
    <w:rsid w:val="6D090752"/>
    <w:rsid w:val="6EDB35F4"/>
    <w:rsid w:val="6F500BEB"/>
    <w:rsid w:val="6FA45CEB"/>
    <w:rsid w:val="705114A2"/>
    <w:rsid w:val="74A51B4C"/>
    <w:rsid w:val="798B4769"/>
    <w:rsid w:val="7A721C88"/>
    <w:rsid w:val="7B080FAA"/>
    <w:rsid w:val="7BD129DA"/>
    <w:rsid w:val="7C631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jc w:val="center"/>
      <w:outlineLvl w:val="0"/>
    </w:pPr>
    <w:rPr>
      <w:b/>
      <w:kern w:val="44"/>
      <w:sz w:val="36"/>
      <w:szCs w:val="36"/>
    </w:rPr>
  </w:style>
  <w:style w:type="paragraph" w:styleId="5">
    <w:name w:val="heading 2"/>
    <w:basedOn w:val="1"/>
    <w:next w:val="1"/>
    <w:qFormat/>
    <w:uiPriority w:val="0"/>
    <w:pPr>
      <w:keepNext/>
      <w:keepLines/>
      <w:jc w:val="left"/>
      <w:outlineLvl w:val="1"/>
    </w:pPr>
    <w:rPr>
      <w:rFonts w:hAnsi="宋体"/>
      <w:b/>
      <w:sz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6">
    <w:name w:val="Plain Text"/>
    <w:basedOn w:val="1"/>
    <w:qFormat/>
    <w:uiPriority w:val="0"/>
    <w:rPr>
      <w:rFonts w:hAnsi="Courier New" w:cs="Courier New"/>
      <w:szCs w:val="21"/>
    </w:rPr>
  </w:style>
  <w:style w:type="paragraph" w:styleId="7">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2"/>
    <w:next w:val="1"/>
    <w:unhideWhenUsed/>
    <w:qFormat/>
    <w:uiPriority w:val="99"/>
    <w:pPr>
      <w:ind w:firstLine="420" w:firstLineChars="100"/>
    </w:pPr>
  </w:style>
  <w:style w:type="paragraph" w:customStyle="1" w:styleId="12">
    <w:name w:val="_Style 3"/>
    <w:basedOn w:val="4"/>
    <w:next w:val="1"/>
    <w:qFormat/>
    <w:uiPriority w:val="0"/>
    <w:pPr>
      <w:keepLines w:val="0"/>
      <w:widowControl/>
      <w:spacing w:line="256" w:lineRule="auto"/>
      <w:jc w:val="left"/>
    </w:pPr>
    <w:rPr>
      <w:rFonts w:ascii="Calibri Light" w:hAnsi="Calibri Light"/>
      <w:color w:val="2E74B5"/>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2026-05-18T07:36:08Z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