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ADABEF3">
      <w:pPr>
        <w:pStyle w:val="4"/>
        <w:outlineLvl w:val="2"/>
        <w:rPr>
          <w:rFonts w:hint="default"/>
        </w:rPr>
      </w:pPr>
      <w:r>
        <w:rPr>
          <w:rFonts w:ascii="仿宋_GB2312" w:hAnsi="仿宋_GB2312" w:eastAsia="仿宋_GB2312" w:cs="仿宋_GB2312"/>
          <w:b/>
          <w:sz w:val="28"/>
        </w:rPr>
        <w:t>1</w:t>
      </w:r>
      <w:r>
        <w:rPr>
          <w:rFonts w:hint="eastAsia" w:ascii="仿宋_GB2312" w:hAnsi="仿宋_GB2312" w:eastAsia="仿宋_GB2312" w:cs="仿宋_GB2312"/>
          <w:b/>
          <w:sz w:val="28"/>
          <w:lang w:eastAsia="zh-CN"/>
        </w:rPr>
        <w:t>.</w:t>
      </w:r>
      <w:r>
        <w:rPr>
          <w:rFonts w:ascii="仿宋_GB2312" w:hAnsi="仿宋_GB2312" w:eastAsia="仿宋_GB2312" w:cs="仿宋_GB2312"/>
          <w:b/>
          <w:sz w:val="28"/>
        </w:rPr>
        <w:t>采购项目概</w:t>
      </w:r>
      <w:bookmarkStart w:id="0" w:name="_GoBack"/>
      <w:bookmarkEnd w:id="0"/>
      <w:r>
        <w:rPr>
          <w:rFonts w:ascii="仿宋_GB2312" w:hAnsi="仿宋_GB2312" w:eastAsia="仿宋_GB2312" w:cs="仿宋_GB2312"/>
          <w:b/>
          <w:sz w:val="28"/>
        </w:rPr>
        <w:t>况</w:t>
      </w:r>
    </w:p>
    <w:p w14:paraId="6C83675A">
      <w:pPr>
        <w:pStyle w:val="4"/>
        <w:ind w:firstLine="480"/>
        <w:rPr>
          <w:rFonts w:hint="default"/>
          <w:highlight w:val="yellow"/>
          <w:lang w:eastAsia="zh-CN"/>
        </w:rPr>
      </w:pPr>
      <w:r>
        <w:rPr>
          <w:rFonts w:ascii="仿宋_GB2312" w:hAnsi="仿宋_GB2312" w:eastAsia="仿宋_GB2312" w:cs="仿宋_GB2312"/>
        </w:rPr>
        <w:t>陕西省交通运输网络安全态势感知及监测预警信息平台，实现对省交通运输厅、重要直属单位及地市网络节点进行网络安全威胁的监测，以及对省交通行业网络的安全态势感知及监测预警，平台针对特定保护对象所遭受的各类攻击进行趋势分析和展示，可实现对重点单位及网络节点的各个业务系统的漏洞扫描、流量采集、设备日志的采集，同时对重要门户网站进行监测，能够提高陕西省交通运输行业网络安全风险态势感知和评估能力。系统在省厅、省公路局等7家重点单位和节点部署数据采集探针、僵木蠕检测探针和网络流量镜像设备，在13个地市交通专网汇聚节点部署数据采集探针。通过运维服务实现现有安全态势感知平台相关网络安全产品续保服务，对所有硬件、软件等开展网络安全维保服务。并具有</w:t>
      </w:r>
      <w:r>
        <w:rPr>
          <w:rFonts w:ascii="仿宋_GB2312" w:hAnsi="仿宋_GB2312" w:eastAsia="仿宋_GB2312" w:cs="仿宋_GB2312"/>
          <w:lang w:eastAsia="zh-CN"/>
        </w:rPr>
        <w:t>运维</w:t>
      </w:r>
      <w:r>
        <w:rPr>
          <w:rFonts w:ascii="仿宋_GB2312" w:hAnsi="仿宋_GB2312" w:eastAsia="仿宋_GB2312" w:cs="仿宋_GB2312"/>
        </w:rPr>
        <w:t>技术工程师提供</w:t>
      </w:r>
      <w:r>
        <w:rPr>
          <w:rFonts w:ascii="仿宋_GB2312" w:hAnsi="仿宋_GB2312" w:eastAsia="仿宋_GB2312" w:cs="仿宋_GB2312"/>
          <w:lang w:eastAsia="zh-CN"/>
        </w:rPr>
        <w:t>巡检维护</w:t>
      </w:r>
      <w:r>
        <w:rPr>
          <w:rFonts w:ascii="仿宋_GB2312" w:hAnsi="仿宋_GB2312" w:eastAsia="仿宋_GB2312" w:cs="仿宋_GB2312"/>
        </w:rPr>
        <w:t>服务，同时提供专业级在线技术支持，确保系统发生故障时能第一时间处理。</w:t>
      </w:r>
    </w:p>
    <w:p w14:paraId="27D13590">
      <w:pPr>
        <w:pStyle w:val="4"/>
        <w:outlineLvl w:val="2"/>
        <w:rPr>
          <w:rFonts w:hint="default"/>
        </w:rPr>
      </w:pPr>
      <w:r>
        <w:rPr>
          <w:rFonts w:ascii="仿宋_GB2312" w:hAnsi="仿宋_GB2312" w:eastAsia="仿宋_GB2312" w:cs="仿宋_GB2312"/>
          <w:b/>
          <w:sz w:val="28"/>
        </w:rPr>
        <w:t>2</w:t>
      </w:r>
      <w:r>
        <w:rPr>
          <w:rFonts w:hint="eastAsia" w:ascii="仿宋_GB2312" w:hAnsi="仿宋_GB2312" w:eastAsia="仿宋_GB2312" w:cs="仿宋_GB2312"/>
          <w:b/>
          <w:sz w:val="28"/>
          <w:lang w:eastAsia="zh-CN"/>
        </w:rPr>
        <w:t>.</w:t>
      </w:r>
      <w:r>
        <w:rPr>
          <w:rFonts w:ascii="仿宋_GB2312" w:hAnsi="仿宋_GB2312" w:eastAsia="仿宋_GB2312" w:cs="仿宋_GB2312"/>
          <w:b/>
          <w:sz w:val="28"/>
        </w:rPr>
        <w:t>服务内容及服务要求</w:t>
      </w:r>
    </w:p>
    <w:p w14:paraId="0E968F1A">
      <w:pPr>
        <w:pStyle w:val="4"/>
        <w:outlineLvl w:val="3"/>
        <w:rPr>
          <w:rFonts w:hint="default"/>
        </w:rPr>
      </w:pPr>
      <w:r>
        <w:rPr>
          <w:rFonts w:ascii="仿宋_GB2312" w:hAnsi="仿宋_GB2312" w:eastAsia="仿宋_GB2312" w:cs="仿宋_GB2312"/>
          <w:b/>
          <w:sz w:val="24"/>
        </w:rPr>
        <w:t>2.1服务内容</w:t>
      </w:r>
    </w:p>
    <w:p w14:paraId="637292EA">
      <w:pPr>
        <w:pStyle w:val="4"/>
        <w:rPr>
          <w:rFonts w:hint="default" w:eastAsia="仿宋_GB2312"/>
          <w:lang w:eastAsia="zh-CN"/>
        </w:rPr>
      </w:pPr>
      <w:r>
        <w:rPr>
          <w:rFonts w:ascii="仿宋_GB2312" w:hAnsi="仿宋_GB2312" w:eastAsia="仿宋_GB2312" w:cs="仿宋_GB2312"/>
        </w:rPr>
        <w:t>采购包1：</w:t>
      </w:r>
    </w:p>
    <w:p w14:paraId="6AD0D268">
      <w:pPr>
        <w:pStyle w:val="4"/>
        <w:rPr>
          <w:rFonts w:hint="default" w:eastAsia="仿宋_GB2312"/>
          <w:lang w:eastAsia="zh-CN"/>
        </w:rPr>
      </w:pPr>
      <w:r>
        <w:rPr>
          <w:rFonts w:ascii="仿宋_GB2312" w:hAnsi="仿宋_GB2312" w:eastAsia="仿宋_GB2312" w:cs="仿宋_GB2312"/>
        </w:rPr>
        <w:t>采购包预算金额（元）:</w:t>
      </w:r>
      <w:r>
        <w:rPr>
          <w:rFonts w:ascii="仿宋_GB2312" w:hAnsi="仿宋_GB2312" w:eastAsia="仿宋_GB2312" w:cs="仿宋_GB2312"/>
          <w:lang w:eastAsia="zh-CN"/>
        </w:rPr>
        <w:t>400,000.00</w:t>
      </w:r>
    </w:p>
    <w:p w14:paraId="3C5DAD36">
      <w:pPr>
        <w:pStyle w:val="4"/>
        <w:rPr>
          <w:rFonts w:hint="default" w:eastAsia="仿宋_GB2312"/>
          <w:lang w:eastAsia="zh-CN"/>
        </w:rPr>
      </w:pPr>
      <w:r>
        <w:rPr>
          <w:rFonts w:ascii="仿宋_GB2312" w:hAnsi="仿宋_GB2312" w:eastAsia="仿宋_GB2312" w:cs="仿宋_GB2312"/>
        </w:rPr>
        <w:t>采购包最高限价（元）:400,000.00</w:t>
      </w:r>
    </w:p>
    <w:p w14:paraId="71B8D948">
      <w:pPr>
        <w:pStyle w:val="4"/>
        <w:rPr>
          <w:rFonts w:hint="default"/>
        </w:rPr>
      </w:pPr>
      <w:r>
        <w:rPr>
          <w:rFonts w:ascii="仿宋_GB2312" w:hAnsi="仿宋_GB2312" w:eastAsia="仿宋_GB2312" w:cs="仿宋_GB2312"/>
        </w:rPr>
        <w:t>供应商报价不允许超过标的金额</w:t>
      </w:r>
    </w:p>
    <w:p w14:paraId="4B254A0B">
      <w:pPr>
        <w:pStyle w:val="4"/>
        <w:rPr>
          <w:rFonts w:hint="default"/>
        </w:rPr>
      </w:pPr>
      <w:r>
        <w:rPr>
          <w:rFonts w:ascii="仿宋_GB2312" w:hAnsi="仿宋_GB2312" w:eastAsia="仿宋_GB2312" w:cs="仿宋_GB2312"/>
        </w:rPr>
        <w:t>（招单价的）供应商报价不允许超过标的单价</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10"/>
        <w:gridCol w:w="810"/>
        <w:gridCol w:w="820"/>
        <w:gridCol w:w="1216"/>
        <w:gridCol w:w="811"/>
        <w:gridCol w:w="811"/>
        <w:gridCol w:w="811"/>
        <w:gridCol w:w="811"/>
        <w:gridCol w:w="811"/>
        <w:gridCol w:w="811"/>
      </w:tblGrid>
      <w:tr w14:paraId="77E4F60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BE708CA">
            <w:pPr>
              <w:pStyle w:val="4"/>
              <w:rPr>
                <w:rFonts w:hint="default"/>
              </w:rPr>
            </w:pPr>
            <w:r>
              <w:rPr>
                <w:rFonts w:ascii="仿宋_GB2312" w:hAnsi="仿宋_GB2312" w:eastAsia="仿宋_GB2312" w:cs="仿宋_GB2312"/>
              </w:rPr>
              <w:t>序号</w:t>
            </w:r>
          </w:p>
        </w:tc>
        <w:tc>
          <w:tcPr>
            <w:tcW w:w="831" w:type="dxa"/>
          </w:tcPr>
          <w:p w14:paraId="2A1FC6DE">
            <w:pPr>
              <w:pStyle w:val="4"/>
              <w:rPr>
                <w:rFonts w:hint="default"/>
              </w:rPr>
            </w:pPr>
            <w:r>
              <w:rPr>
                <w:rFonts w:ascii="仿宋_GB2312" w:hAnsi="仿宋_GB2312" w:eastAsia="仿宋_GB2312" w:cs="仿宋_GB2312"/>
              </w:rPr>
              <w:t>标的名称</w:t>
            </w:r>
          </w:p>
        </w:tc>
        <w:tc>
          <w:tcPr>
            <w:tcW w:w="831" w:type="dxa"/>
          </w:tcPr>
          <w:p w14:paraId="2C0785EC">
            <w:pPr>
              <w:pStyle w:val="4"/>
              <w:rPr>
                <w:rFonts w:hint="default"/>
              </w:rPr>
            </w:pPr>
            <w:r>
              <w:rPr>
                <w:rFonts w:ascii="仿宋_GB2312" w:hAnsi="仿宋_GB2312" w:eastAsia="仿宋_GB2312" w:cs="仿宋_GB2312"/>
              </w:rPr>
              <w:t>数量</w:t>
            </w:r>
          </w:p>
        </w:tc>
        <w:tc>
          <w:tcPr>
            <w:tcW w:w="831" w:type="dxa"/>
          </w:tcPr>
          <w:p w14:paraId="29B43D1E">
            <w:pPr>
              <w:pStyle w:val="4"/>
              <w:rPr>
                <w:rFonts w:hint="default"/>
              </w:rPr>
            </w:pPr>
            <w:r>
              <w:rPr>
                <w:rFonts w:ascii="仿宋_GB2312" w:hAnsi="仿宋_GB2312" w:eastAsia="仿宋_GB2312" w:cs="仿宋_GB2312"/>
              </w:rPr>
              <w:t>标的金额 （元）</w:t>
            </w:r>
          </w:p>
        </w:tc>
        <w:tc>
          <w:tcPr>
            <w:tcW w:w="831" w:type="dxa"/>
          </w:tcPr>
          <w:p w14:paraId="2030C099">
            <w:pPr>
              <w:pStyle w:val="4"/>
              <w:rPr>
                <w:rFonts w:hint="default"/>
              </w:rPr>
            </w:pPr>
            <w:r>
              <w:rPr>
                <w:rFonts w:ascii="仿宋_GB2312" w:hAnsi="仿宋_GB2312" w:eastAsia="仿宋_GB2312" w:cs="仿宋_GB2312"/>
              </w:rPr>
              <w:t>计量单位</w:t>
            </w:r>
          </w:p>
        </w:tc>
        <w:tc>
          <w:tcPr>
            <w:tcW w:w="831" w:type="dxa"/>
          </w:tcPr>
          <w:p w14:paraId="41659582">
            <w:pPr>
              <w:pStyle w:val="4"/>
              <w:rPr>
                <w:rFonts w:hint="default"/>
              </w:rPr>
            </w:pPr>
            <w:r>
              <w:rPr>
                <w:rFonts w:ascii="仿宋_GB2312" w:hAnsi="仿宋_GB2312" w:eastAsia="仿宋_GB2312" w:cs="仿宋_GB2312"/>
              </w:rPr>
              <w:t>所属行业</w:t>
            </w:r>
          </w:p>
        </w:tc>
        <w:tc>
          <w:tcPr>
            <w:tcW w:w="831" w:type="dxa"/>
          </w:tcPr>
          <w:p w14:paraId="712E6C4F">
            <w:pPr>
              <w:pStyle w:val="4"/>
              <w:rPr>
                <w:rFonts w:hint="default"/>
              </w:rPr>
            </w:pPr>
            <w:r>
              <w:rPr>
                <w:rFonts w:ascii="仿宋_GB2312" w:hAnsi="仿宋_GB2312" w:eastAsia="仿宋_GB2312" w:cs="仿宋_GB2312"/>
              </w:rPr>
              <w:t>是否核心产品</w:t>
            </w:r>
          </w:p>
        </w:tc>
        <w:tc>
          <w:tcPr>
            <w:tcW w:w="831" w:type="dxa"/>
          </w:tcPr>
          <w:p w14:paraId="5BF5E2EE">
            <w:pPr>
              <w:pStyle w:val="4"/>
              <w:rPr>
                <w:rFonts w:hint="default"/>
              </w:rPr>
            </w:pPr>
            <w:r>
              <w:rPr>
                <w:rFonts w:ascii="仿宋_GB2312" w:hAnsi="仿宋_GB2312" w:eastAsia="仿宋_GB2312" w:cs="仿宋_GB2312"/>
              </w:rPr>
              <w:t>是否允许进口产品</w:t>
            </w:r>
          </w:p>
        </w:tc>
        <w:tc>
          <w:tcPr>
            <w:tcW w:w="831" w:type="dxa"/>
          </w:tcPr>
          <w:p w14:paraId="1251D64E">
            <w:pPr>
              <w:pStyle w:val="4"/>
              <w:rPr>
                <w:rFonts w:hint="default"/>
              </w:rPr>
            </w:pPr>
            <w:r>
              <w:rPr>
                <w:rFonts w:ascii="仿宋_GB2312" w:hAnsi="仿宋_GB2312" w:eastAsia="仿宋_GB2312" w:cs="仿宋_GB2312"/>
              </w:rPr>
              <w:t>是否属于节能产品</w:t>
            </w:r>
          </w:p>
        </w:tc>
        <w:tc>
          <w:tcPr>
            <w:tcW w:w="831" w:type="dxa"/>
          </w:tcPr>
          <w:p w14:paraId="67F1EA1D">
            <w:pPr>
              <w:pStyle w:val="4"/>
              <w:rPr>
                <w:rFonts w:hint="default"/>
              </w:rPr>
            </w:pPr>
            <w:r>
              <w:rPr>
                <w:rFonts w:ascii="仿宋_GB2312" w:hAnsi="仿宋_GB2312" w:eastAsia="仿宋_GB2312" w:cs="仿宋_GB2312"/>
              </w:rPr>
              <w:t>是否属于环境标志产品</w:t>
            </w:r>
          </w:p>
        </w:tc>
      </w:tr>
      <w:tr w14:paraId="6563EF3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6ED67BD">
            <w:pPr>
              <w:pStyle w:val="4"/>
              <w:rPr>
                <w:rFonts w:hint="default"/>
              </w:rPr>
            </w:pPr>
            <w:r>
              <w:rPr>
                <w:rFonts w:ascii="仿宋_GB2312" w:hAnsi="仿宋_GB2312" w:eastAsia="仿宋_GB2312" w:cs="仿宋_GB2312"/>
              </w:rPr>
              <w:t>1</w:t>
            </w:r>
          </w:p>
        </w:tc>
        <w:tc>
          <w:tcPr>
            <w:tcW w:w="831" w:type="dxa"/>
          </w:tcPr>
          <w:p w14:paraId="4580F9DC">
            <w:pPr>
              <w:pStyle w:val="4"/>
              <w:rPr>
                <w:rFonts w:hint="default"/>
                <w:lang w:eastAsia="zh-CN"/>
              </w:rPr>
            </w:pPr>
            <w:r>
              <w:rPr>
                <w:rFonts w:ascii="仿宋_GB2312" w:hAnsi="仿宋_GB2312" w:eastAsia="仿宋_GB2312" w:cs="仿宋_GB2312"/>
                <w:lang w:eastAsia="zh-CN"/>
              </w:rPr>
              <w:t>交通网安全态势感知平台运维</w:t>
            </w:r>
          </w:p>
        </w:tc>
        <w:tc>
          <w:tcPr>
            <w:tcW w:w="831" w:type="dxa"/>
          </w:tcPr>
          <w:p w14:paraId="181F3B6A">
            <w:pPr>
              <w:pStyle w:val="4"/>
              <w:jc w:val="right"/>
              <w:rPr>
                <w:rFonts w:hint="default"/>
              </w:rPr>
            </w:pPr>
            <w:r>
              <w:rPr>
                <w:rFonts w:ascii="仿宋_GB2312" w:hAnsi="仿宋_GB2312" w:eastAsia="仿宋_GB2312" w:cs="仿宋_GB2312"/>
              </w:rPr>
              <w:t>1.00</w:t>
            </w:r>
          </w:p>
        </w:tc>
        <w:tc>
          <w:tcPr>
            <w:tcW w:w="831" w:type="dxa"/>
          </w:tcPr>
          <w:p w14:paraId="18B2AECB">
            <w:pPr>
              <w:pStyle w:val="4"/>
              <w:jc w:val="right"/>
              <w:rPr>
                <w:rFonts w:hint="default"/>
                <w:lang w:eastAsia="zh-CN"/>
              </w:rPr>
            </w:pPr>
            <w:r>
              <w:rPr>
                <w:rFonts w:ascii="仿宋_GB2312" w:hAnsi="仿宋_GB2312" w:eastAsia="仿宋_GB2312" w:cs="仿宋_GB2312"/>
                <w:lang w:eastAsia="zh-CN"/>
              </w:rPr>
              <w:t>400,000.00</w:t>
            </w:r>
          </w:p>
        </w:tc>
        <w:tc>
          <w:tcPr>
            <w:tcW w:w="831" w:type="dxa"/>
          </w:tcPr>
          <w:p w14:paraId="3EE41947">
            <w:pPr>
              <w:pStyle w:val="4"/>
              <w:rPr>
                <w:rFonts w:hint="default"/>
              </w:rPr>
            </w:pPr>
            <w:r>
              <w:rPr>
                <w:rFonts w:ascii="仿宋_GB2312" w:hAnsi="仿宋_GB2312" w:eastAsia="仿宋_GB2312" w:cs="仿宋_GB2312"/>
              </w:rPr>
              <w:t>项</w:t>
            </w:r>
          </w:p>
        </w:tc>
        <w:tc>
          <w:tcPr>
            <w:tcW w:w="831" w:type="dxa"/>
          </w:tcPr>
          <w:p w14:paraId="239BC288">
            <w:pPr>
              <w:pStyle w:val="4"/>
              <w:rPr>
                <w:rFonts w:hint="default"/>
              </w:rPr>
            </w:pPr>
            <w:r>
              <w:rPr>
                <w:rFonts w:ascii="仿宋_GB2312" w:hAnsi="仿宋_GB2312" w:eastAsia="仿宋_GB2312" w:cs="仿宋_GB2312"/>
              </w:rPr>
              <w:t>软件和信息技术服务业</w:t>
            </w:r>
          </w:p>
        </w:tc>
        <w:tc>
          <w:tcPr>
            <w:tcW w:w="831" w:type="dxa"/>
          </w:tcPr>
          <w:p w14:paraId="32387F39">
            <w:pPr>
              <w:pStyle w:val="4"/>
              <w:rPr>
                <w:rFonts w:hint="default"/>
              </w:rPr>
            </w:pPr>
            <w:r>
              <w:rPr>
                <w:rFonts w:ascii="仿宋_GB2312" w:hAnsi="仿宋_GB2312" w:eastAsia="仿宋_GB2312" w:cs="仿宋_GB2312"/>
              </w:rPr>
              <w:t>否</w:t>
            </w:r>
          </w:p>
        </w:tc>
        <w:tc>
          <w:tcPr>
            <w:tcW w:w="831" w:type="dxa"/>
          </w:tcPr>
          <w:p w14:paraId="05372450">
            <w:pPr>
              <w:pStyle w:val="4"/>
              <w:rPr>
                <w:rFonts w:hint="default"/>
              </w:rPr>
            </w:pPr>
            <w:r>
              <w:rPr>
                <w:rFonts w:ascii="仿宋_GB2312" w:hAnsi="仿宋_GB2312" w:eastAsia="仿宋_GB2312" w:cs="仿宋_GB2312"/>
              </w:rPr>
              <w:t>否</w:t>
            </w:r>
          </w:p>
        </w:tc>
        <w:tc>
          <w:tcPr>
            <w:tcW w:w="831" w:type="dxa"/>
          </w:tcPr>
          <w:p w14:paraId="7C4A8677">
            <w:pPr>
              <w:pStyle w:val="4"/>
              <w:rPr>
                <w:rFonts w:hint="default"/>
              </w:rPr>
            </w:pPr>
            <w:r>
              <w:rPr>
                <w:rFonts w:ascii="仿宋_GB2312" w:hAnsi="仿宋_GB2312" w:eastAsia="仿宋_GB2312" w:cs="仿宋_GB2312"/>
              </w:rPr>
              <w:t>否</w:t>
            </w:r>
          </w:p>
        </w:tc>
        <w:tc>
          <w:tcPr>
            <w:tcW w:w="831" w:type="dxa"/>
          </w:tcPr>
          <w:p w14:paraId="4D0C7113">
            <w:pPr>
              <w:pStyle w:val="4"/>
              <w:rPr>
                <w:rFonts w:hint="default"/>
              </w:rPr>
            </w:pPr>
            <w:r>
              <w:rPr>
                <w:rFonts w:ascii="仿宋_GB2312" w:hAnsi="仿宋_GB2312" w:eastAsia="仿宋_GB2312" w:cs="仿宋_GB2312"/>
              </w:rPr>
              <w:t>否</w:t>
            </w:r>
          </w:p>
        </w:tc>
      </w:tr>
    </w:tbl>
    <w:p w14:paraId="5C83C553">
      <w:pPr>
        <w:pStyle w:val="4"/>
        <w:outlineLvl w:val="2"/>
        <w:rPr>
          <w:rFonts w:hint="default"/>
        </w:rPr>
      </w:pPr>
      <w:r>
        <w:rPr>
          <w:rFonts w:ascii="仿宋_GB2312" w:hAnsi="仿宋_GB2312" w:eastAsia="仿宋_GB2312" w:cs="仿宋_GB2312"/>
          <w:b/>
          <w:sz w:val="28"/>
        </w:rPr>
        <w:t>2.2服务要求</w:t>
      </w:r>
    </w:p>
    <w:p w14:paraId="2CED7D54">
      <w:pPr>
        <w:pStyle w:val="4"/>
        <w:rPr>
          <w:rFonts w:hint="default"/>
        </w:rPr>
      </w:pPr>
      <w:r>
        <w:rPr>
          <w:rFonts w:ascii="仿宋_GB2312" w:hAnsi="仿宋_GB2312" w:eastAsia="仿宋_GB2312" w:cs="仿宋_GB2312"/>
        </w:rPr>
        <w:t>采购包1：</w:t>
      </w:r>
    </w:p>
    <w:p w14:paraId="47131253">
      <w:pPr>
        <w:pStyle w:val="4"/>
        <w:rPr>
          <w:rFonts w:hint="default" w:eastAsia="仿宋_GB2312"/>
          <w:lang w:eastAsia="zh-CN"/>
        </w:rPr>
      </w:pPr>
      <w:r>
        <w:rPr>
          <w:rFonts w:ascii="仿宋_GB2312" w:hAnsi="仿宋_GB2312" w:eastAsia="仿宋_GB2312" w:cs="仿宋_GB2312"/>
        </w:rPr>
        <w:t>标的名称：</w:t>
      </w:r>
      <w:r>
        <w:rPr>
          <w:rFonts w:ascii="仿宋_GB2312" w:hAnsi="仿宋_GB2312" w:eastAsia="仿宋_GB2312" w:cs="仿宋_GB2312"/>
          <w:lang w:eastAsia="zh-CN"/>
        </w:rPr>
        <w:t>交通网安全态势感知平台运维</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669"/>
        <w:gridCol w:w="1095"/>
        <w:gridCol w:w="6758"/>
      </w:tblGrid>
      <w:tr w14:paraId="119F15B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669" w:type="dxa"/>
          </w:tcPr>
          <w:p w14:paraId="5841B5F5">
            <w:pPr>
              <w:pStyle w:val="4"/>
              <w:rPr>
                <w:rFonts w:hint="default"/>
              </w:rPr>
            </w:pPr>
            <w:r>
              <w:rPr>
                <w:rFonts w:ascii="仿宋_GB2312" w:hAnsi="仿宋_GB2312" w:eastAsia="仿宋_GB2312" w:cs="仿宋_GB2312"/>
              </w:rPr>
              <w:t>序号</w:t>
            </w:r>
          </w:p>
        </w:tc>
        <w:tc>
          <w:tcPr>
            <w:tcW w:w="1095" w:type="dxa"/>
          </w:tcPr>
          <w:p w14:paraId="366EBF86">
            <w:pPr>
              <w:pStyle w:val="4"/>
              <w:rPr>
                <w:rFonts w:hint="default"/>
              </w:rPr>
            </w:pPr>
            <w:r>
              <w:rPr>
                <w:rFonts w:ascii="仿宋_GB2312" w:hAnsi="仿宋_GB2312" w:eastAsia="仿宋_GB2312" w:cs="仿宋_GB2312"/>
              </w:rPr>
              <w:t>参数性质</w:t>
            </w:r>
          </w:p>
        </w:tc>
        <w:tc>
          <w:tcPr>
            <w:tcW w:w="6758" w:type="dxa"/>
          </w:tcPr>
          <w:p w14:paraId="3FEF7CCE">
            <w:pPr>
              <w:pStyle w:val="4"/>
              <w:rPr>
                <w:rFonts w:hint="default"/>
              </w:rPr>
            </w:pPr>
            <w:r>
              <w:rPr>
                <w:rFonts w:ascii="仿宋_GB2312" w:hAnsi="仿宋_GB2312" w:eastAsia="仿宋_GB2312" w:cs="仿宋_GB2312"/>
              </w:rPr>
              <w:t>技术参数与性能指标</w:t>
            </w:r>
          </w:p>
        </w:tc>
      </w:tr>
      <w:tr w14:paraId="29C6A3F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69" w:type="dxa"/>
          </w:tcPr>
          <w:p w14:paraId="217F650F">
            <w:pPr>
              <w:pStyle w:val="4"/>
              <w:rPr>
                <w:rFonts w:hint="default"/>
              </w:rPr>
            </w:pPr>
            <w:r>
              <w:rPr>
                <w:rFonts w:ascii="仿宋_GB2312" w:hAnsi="仿宋_GB2312" w:eastAsia="仿宋_GB2312" w:cs="仿宋_GB2312"/>
              </w:rPr>
              <w:t>1</w:t>
            </w:r>
          </w:p>
        </w:tc>
        <w:tc>
          <w:tcPr>
            <w:tcW w:w="1095" w:type="dxa"/>
          </w:tcPr>
          <w:p w14:paraId="551ECA36"/>
        </w:tc>
        <w:tc>
          <w:tcPr>
            <w:tcW w:w="6758" w:type="dxa"/>
          </w:tcPr>
          <w:p w14:paraId="2A5C371B">
            <w:pPr>
              <w:pStyle w:val="4"/>
              <w:jc w:val="both"/>
              <w:rPr>
                <w:rFonts w:hint="default"/>
              </w:rPr>
            </w:pPr>
            <w:r>
              <w:rPr>
                <w:rFonts w:ascii="仿宋_GB2312" w:hAnsi="仿宋_GB2312" w:eastAsia="仿宋_GB2312" w:cs="仿宋_GB2312"/>
                <w:b/>
              </w:rPr>
              <w:t>采购内容</w:t>
            </w:r>
          </w:p>
          <w:p w14:paraId="57D37466">
            <w:pPr>
              <w:pStyle w:val="4"/>
              <w:jc w:val="both"/>
              <w:rPr>
                <w:rFonts w:hint="default"/>
              </w:rPr>
            </w:pPr>
            <w:r>
              <w:rPr>
                <w:rFonts w:ascii="仿宋_GB2312" w:hAnsi="仿宋_GB2312" w:eastAsia="仿宋_GB2312" w:cs="仿宋_GB2312"/>
              </w:rPr>
              <w:t>陕西省交通运输网络安全态势感知及监测预警信息平台，实现对省交通运输厅、重要直属单位及地市网络节点进行网络安全威胁的监测，以及对省交通行业网络的安全态势感知及监测预警，平台针对特定保护对象所遭受的各类攻击进行趋势分析和展示，可实现对重点单位及网络节点的各个业务系统的漏洞扫描、流量采集、设备日志的采集，同时对重要门户网站进行监测，能够提高陕西省交通运输行业网络安全风险态势感知和评估能力。通过实现可对网络攻击、病毒、木马、黑客、钓鱼等网络安全事件的线索发现和通报预警，提高行业网络安全风险预警和应急处置能力。</w:t>
            </w:r>
          </w:p>
          <w:p w14:paraId="033B6B94">
            <w:pPr>
              <w:pStyle w:val="4"/>
              <w:jc w:val="both"/>
              <w:rPr>
                <w:rFonts w:hint="default"/>
              </w:rPr>
            </w:pPr>
            <w:r>
              <w:rPr>
                <w:rFonts w:ascii="仿宋_GB2312" w:hAnsi="仿宋_GB2312" w:eastAsia="仿宋_GB2312" w:cs="仿宋_GB2312"/>
              </w:rPr>
              <w:t>系统在省厅、省公路局等7家重点单位和节点部署数据采集探针、僵木蠕检测探针和网络流量镜像设备，在13个地市交通专网汇聚节点部署数据采集探针。</w:t>
            </w:r>
          </w:p>
          <w:p w14:paraId="2D4E1AD7">
            <w:pPr>
              <w:pStyle w:val="4"/>
              <w:rPr>
                <w:rFonts w:hint="default"/>
              </w:rPr>
            </w:pPr>
            <w:r>
              <w:rPr>
                <w:rFonts w:ascii="仿宋_GB2312" w:hAnsi="仿宋_GB2312" w:eastAsia="仿宋_GB2312" w:cs="仿宋_GB2312"/>
                <w:b/>
              </w:rPr>
              <w:t>1.安全产品续服</w:t>
            </w:r>
          </w:p>
          <w:p w14:paraId="24C5D0C3">
            <w:pPr>
              <w:pStyle w:val="4"/>
              <w:jc w:val="both"/>
              <w:rPr>
                <w:rFonts w:hint="default"/>
              </w:rPr>
            </w:pPr>
            <w:r>
              <w:rPr>
                <w:rFonts w:ascii="仿宋_GB2312" w:hAnsi="仿宋_GB2312" w:eastAsia="仿宋_GB2312" w:cs="仿宋_GB2312"/>
              </w:rPr>
              <w:t>★本次网络安全产品续服包含产品如下：</w:t>
            </w:r>
          </w:p>
          <w:tbl>
            <w:tblPr>
              <w:tblStyle w:val="2"/>
              <w:tblW w:w="0" w:type="auto"/>
              <w:tblInd w:w="12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637"/>
              <w:gridCol w:w="1455"/>
              <w:gridCol w:w="1140"/>
              <w:gridCol w:w="945"/>
              <w:gridCol w:w="840"/>
              <w:gridCol w:w="1321"/>
            </w:tblGrid>
            <w:tr w14:paraId="78DD1A8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688" w:hRule="atLeast"/>
              </w:trPr>
              <w:tc>
                <w:tcPr>
                  <w:tcW w:w="637"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center"/>
                </w:tcPr>
                <w:p w14:paraId="6FAB98BA">
                  <w:pPr>
                    <w:pStyle w:val="4"/>
                    <w:jc w:val="center"/>
                    <w:rPr>
                      <w:rFonts w:hint="default"/>
                    </w:rPr>
                  </w:pPr>
                  <w:r>
                    <w:rPr>
                      <w:rFonts w:ascii="仿宋_GB2312" w:hAnsi="仿宋_GB2312" w:eastAsia="仿宋_GB2312" w:cs="仿宋_GB2312"/>
                      <w:b/>
                      <w:color w:val="000000"/>
                    </w:rPr>
                    <w:t>序号</w:t>
                  </w:r>
                </w:p>
              </w:tc>
              <w:tc>
                <w:tcPr>
                  <w:tcW w:w="1455"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center"/>
                </w:tcPr>
                <w:p w14:paraId="27DD4A18">
                  <w:pPr>
                    <w:pStyle w:val="4"/>
                    <w:jc w:val="center"/>
                    <w:rPr>
                      <w:rFonts w:hint="default"/>
                    </w:rPr>
                  </w:pPr>
                  <w:r>
                    <w:rPr>
                      <w:rFonts w:ascii="仿宋_GB2312" w:hAnsi="仿宋_GB2312" w:eastAsia="仿宋_GB2312" w:cs="仿宋_GB2312"/>
                      <w:b/>
                      <w:color w:val="000000"/>
                    </w:rPr>
                    <w:t>设备名称</w:t>
                  </w:r>
                </w:p>
              </w:tc>
              <w:tc>
                <w:tcPr>
                  <w:tcW w:w="1140"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center"/>
                </w:tcPr>
                <w:p w14:paraId="040D4EF0">
                  <w:pPr>
                    <w:pStyle w:val="4"/>
                    <w:jc w:val="center"/>
                    <w:rPr>
                      <w:rFonts w:hint="default"/>
                    </w:rPr>
                  </w:pPr>
                  <w:r>
                    <w:rPr>
                      <w:rFonts w:ascii="仿宋_GB2312" w:hAnsi="仿宋_GB2312" w:eastAsia="仿宋_GB2312" w:cs="仿宋_GB2312"/>
                      <w:b/>
                      <w:color w:val="000000"/>
                    </w:rPr>
                    <w:t>品牌</w:t>
                  </w:r>
                </w:p>
              </w:tc>
              <w:tc>
                <w:tcPr>
                  <w:tcW w:w="945"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center"/>
                </w:tcPr>
                <w:p w14:paraId="24B66F07">
                  <w:pPr>
                    <w:pStyle w:val="4"/>
                    <w:jc w:val="center"/>
                    <w:rPr>
                      <w:rFonts w:hint="default"/>
                    </w:rPr>
                  </w:pPr>
                  <w:r>
                    <w:rPr>
                      <w:rFonts w:ascii="仿宋_GB2312" w:hAnsi="仿宋_GB2312" w:eastAsia="仿宋_GB2312" w:cs="仿宋_GB2312"/>
                      <w:b/>
                      <w:color w:val="000000"/>
                    </w:rPr>
                    <w:t>型号</w:t>
                  </w:r>
                </w:p>
              </w:tc>
              <w:tc>
                <w:tcPr>
                  <w:tcW w:w="840"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center"/>
                </w:tcPr>
                <w:p w14:paraId="00B22E8C">
                  <w:pPr>
                    <w:pStyle w:val="4"/>
                    <w:jc w:val="center"/>
                    <w:rPr>
                      <w:rFonts w:hint="default"/>
                    </w:rPr>
                  </w:pPr>
                  <w:r>
                    <w:rPr>
                      <w:rFonts w:ascii="仿宋_GB2312" w:hAnsi="仿宋_GB2312" w:eastAsia="仿宋_GB2312" w:cs="仿宋_GB2312"/>
                      <w:b/>
                      <w:color w:val="000000"/>
                    </w:rPr>
                    <w:t>数量</w:t>
                  </w:r>
                </w:p>
              </w:tc>
              <w:tc>
                <w:tcPr>
                  <w:tcW w:w="1321"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center"/>
                </w:tcPr>
                <w:p w14:paraId="2CBDEAA8">
                  <w:pPr>
                    <w:pStyle w:val="4"/>
                    <w:jc w:val="center"/>
                    <w:rPr>
                      <w:rFonts w:hint="default"/>
                    </w:rPr>
                  </w:pPr>
                  <w:r>
                    <w:rPr>
                      <w:rFonts w:ascii="仿宋_GB2312" w:hAnsi="仿宋_GB2312" w:eastAsia="仿宋_GB2312" w:cs="仿宋_GB2312"/>
                      <w:b/>
                      <w:color w:val="000000"/>
                    </w:rPr>
                    <w:t>续服年限</w:t>
                  </w:r>
                </w:p>
              </w:tc>
            </w:tr>
            <w:tr w14:paraId="5DEC3B8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1057" w:hRule="atLeast"/>
              </w:trPr>
              <w:tc>
                <w:tcPr>
                  <w:tcW w:w="6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4574BCE0">
                  <w:pPr>
                    <w:pStyle w:val="4"/>
                    <w:jc w:val="center"/>
                    <w:rPr>
                      <w:rFonts w:hint="default"/>
                    </w:rPr>
                  </w:pPr>
                  <w:r>
                    <w:rPr>
                      <w:rFonts w:ascii="仿宋_GB2312" w:hAnsi="仿宋_GB2312" w:eastAsia="仿宋_GB2312" w:cs="仿宋_GB2312"/>
                      <w:color w:val="000000"/>
                    </w:rPr>
                    <w:t>1</w:t>
                  </w:r>
                </w:p>
              </w:tc>
              <w:tc>
                <w:tcPr>
                  <w:tcW w:w="145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19003CE2">
                  <w:pPr>
                    <w:pStyle w:val="4"/>
                    <w:jc w:val="center"/>
                    <w:rPr>
                      <w:rFonts w:hint="default"/>
                    </w:rPr>
                  </w:pPr>
                  <w:r>
                    <w:rPr>
                      <w:rFonts w:ascii="仿宋_GB2312" w:hAnsi="仿宋_GB2312" w:eastAsia="仿宋_GB2312" w:cs="仿宋_GB2312"/>
                      <w:color w:val="000000"/>
                    </w:rPr>
                    <w:t>网络安全态势感知及检测预警平台</w:t>
                  </w:r>
                </w:p>
              </w:tc>
              <w:tc>
                <w:tcPr>
                  <w:tcW w:w="11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18130309">
                  <w:pPr>
                    <w:pStyle w:val="4"/>
                    <w:jc w:val="center"/>
                    <w:rPr>
                      <w:rFonts w:hint="default"/>
                    </w:rPr>
                  </w:pPr>
                  <w:r>
                    <w:rPr>
                      <w:rFonts w:ascii="仿宋_GB2312" w:hAnsi="仿宋_GB2312" w:eastAsia="仿宋_GB2312" w:cs="仿宋_GB2312"/>
                      <w:color w:val="000000"/>
                    </w:rPr>
                    <w:t>绿盟</w:t>
                  </w:r>
                </w:p>
              </w:tc>
              <w:tc>
                <w:tcPr>
                  <w:tcW w:w="9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65907BF8">
                  <w:pPr>
                    <w:pStyle w:val="4"/>
                    <w:jc w:val="center"/>
                    <w:rPr>
                      <w:rFonts w:hint="default"/>
                    </w:rPr>
                  </w:pPr>
                  <w:r>
                    <w:rPr>
                      <w:rFonts w:ascii="仿宋_GB2312" w:hAnsi="仿宋_GB2312" w:eastAsia="仿宋_GB2312" w:cs="仿宋_GB2312"/>
                      <w:color w:val="000000"/>
                    </w:rPr>
                    <w:t>ISOP</w:t>
                  </w:r>
                </w:p>
              </w:tc>
              <w:tc>
                <w:tcPr>
                  <w:tcW w:w="8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20D74FD7">
                  <w:pPr>
                    <w:pStyle w:val="4"/>
                    <w:jc w:val="center"/>
                    <w:rPr>
                      <w:rFonts w:hint="default"/>
                    </w:rPr>
                  </w:pPr>
                  <w:r>
                    <w:rPr>
                      <w:rFonts w:ascii="仿宋_GB2312" w:hAnsi="仿宋_GB2312" w:eastAsia="仿宋_GB2312" w:cs="仿宋_GB2312"/>
                      <w:color w:val="000000"/>
                    </w:rPr>
                    <w:t>1</w:t>
                  </w:r>
                </w:p>
              </w:tc>
              <w:tc>
                <w:tcPr>
                  <w:tcW w:w="132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74A74EAC">
                  <w:pPr>
                    <w:pStyle w:val="4"/>
                    <w:jc w:val="center"/>
                    <w:rPr>
                      <w:rFonts w:hint="default"/>
                    </w:rPr>
                  </w:pPr>
                  <w:r>
                    <w:rPr>
                      <w:rFonts w:ascii="仿宋_GB2312" w:hAnsi="仿宋_GB2312" w:eastAsia="仿宋_GB2312" w:cs="仿宋_GB2312"/>
                      <w:color w:val="000000"/>
                    </w:rPr>
                    <w:t>1年</w:t>
                  </w:r>
                </w:p>
              </w:tc>
            </w:tr>
            <w:tr w14:paraId="6AC29EC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579" w:hRule="atLeast"/>
              </w:trPr>
              <w:tc>
                <w:tcPr>
                  <w:tcW w:w="6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6A4672DA">
                  <w:pPr>
                    <w:pStyle w:val="4"/>
                    <w:jc w:val="center"/>
                    <w:rPr>
                      <w:rFonts w:hint="default"/>
                    </w:rPr>
                  </w:pPr>
                  <w:r>
                    <w:rPr>
                      <w:rFonts w:ascii="仿宋_GB2312" w:hAnsi="仿宋_GB2312" w:eastAsia="仿宋_GB2312" w:cs="仿宋_GB2312"/>
                      <w:color w:val="000000"/>
                    </w:rPr>
                    <w:t>2</w:t>
                  </w:r>
                </w:p>
              </w:tc>
              <w:tc>
                <w:tcPr>
                  <w:tcW w:w="1455"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1E6B3512">
                  <w:pPr>
                    <w:pStyle w:val="4"/>
                    <w:jc w:val="center"/>
                    <w:rPr>
                      <w:rFonts w:hint="default"/>
                    </w:rPr>
                  </w:pPr>
                  <w:r>
                    <w:rPr>
                      <w:rFonts w:ascii="仿宋_GB2312" w:hAnsi="仿宋_GB2312" w:eastAsia="仿宋_GB2312" w:cs="仿宋_GB2312"/>
                      <w:color w:val="000000"/>
                    </w:rPr>
                    <w:t>安全数据采集探针</w:t>
                  </w:r>
                </w:p>
              </w:tc>
              <w:tc>
                <w:tcPr>
                  <w:tcW w:w="11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3EFC18F6">
                  <w:pPr>
                    <w:pStyle w:val="4"/>
                    <w:jc w:val="center"/>
                    <w:rPr>
                      <w:rFonts w:hint="default"/>
                    </w:rPr>
                  </w:pPr>
                  <w:r>
                    <w:rPr>
                      <w:rFonts w:ascii="仿宋_GB2312" w:hAnsi="仿宋_GB2312" w:eastAsia="仿宋_GB2312" w:cs="仿宋_GB2312"/>
                      <w:color w:val="000000"/>
                    </w:rPr>
                    <w:t>绿盟</w:t>
                  </w:r>
                </w:p>
              </w:tc>
              <w:tc>
                <w:tcPr>
                  <w:tcW w:w="9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70F63162">
                  <w:pPr>
                    <w:pStyle w:val="4"/>
                    <w:jc w:val="center"/>
                    <w:rPr>
                      <w:rFonts w:hint="default"/>
                    </w:rPr>
                  </w:pPr>
                  <w:r>
                    <w:rPr>
                      <w:rFonts w:ascii="仿宋_GB2312" w:hAnsi="仿宋_GB2312" w:eastAsia="仿宋_GB2312" w:cs="仿宋_GB2312"/>
                      <w:color w:val="000000"/>
                    </w:rPr>
                    <w:t>NCSS</w:t>
                  </w:r>
                </w:p>
              </w:tc>
              <w:tc>
                <w:tcPr>
                  <w:tcW w:w="8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60137CF5">
                  <w:pPr>
                    <w:pStyle w:val="4"/>
                    <w:jc w:val="center"/>
                    <w:rPr>
                      <w:rFonts w:hint="default"/>
                    </w:rPr>
                  </w:pPr>
                  <w:r>
                    <w:rPr>
                      <w:rFonts w:ascii="仿宋_GB2312" w:hAnsi="仿宋_GB2312" w:eastAsia="仿宋_GB2312" w:cs="仿宋_GB2312"/>
                      <w:color w:val="000000"/>
                    </w:rPr>
                    <w:t>7</w:t>
                  </w:r>
                </w:p>
              </w:tc>
              <w:tc>
                <w:tcPr>
                  <w:tcW w:w="132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79E76D23">
                  <w:pPr>
                    <w:pStyle w:val="4"/>
                    <w:jc w:val="center"/>
                    <w:rPr>
                      <w:rFonts w:hint="default"/>
                    </w:rPr>
                  </w:pPr>
                  <w:r>
                    <w:rPr>
                      <w:rFonts w:ascii="仿宋_GB2312" w:hAnsi="仿宋_GB2312" w:eastAsia="仿宋_GB2312" w:cs="仿宋_GB2312"/>
                      <w:color w:val="000000"/>
                    </w:rPr>
                    <w:t>1年</w:t>
                  </w:r>
                </w:p>
              </w:tc>
            </w:tr>
            <w:tr w14:paraId="3824393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579" w:hRule="atLeast"/>
              </w:trPr>
              <w:tc>
                <w:tcPr>
                  <w:tcW w:w="6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2ED9F285">
                  <w:pPr>
                    <w:pStyle w:val="4"/>
                    <w:jc w:val="center"/>
                    <w:rPr>
                      <w:rFonts w:hint="default"/>
                    </w:rPr>
                  </w:pPr>
                  <w:r>
                    <w:rPr>
                      <w:rFonts w:ascii="仿宋_GB2312" w:hAnsi="仿宋_GB2312" w:eastAsia="仿宋_GB2312" w:cs="仿宋_GB2312"/>
                      <w:color w:val="000000"/>
                    </w:rPr>
                    <w:t>3</w:t>
                  </w:r>
                </w:p>
              </w:tc>
              <w:tc>
                <w:tcPr>
                  <w:tcW w:w="1455" w:type="dxa"/>
                  <w:vMerge w:val="continue"/>
                  <w:tcBorders>
                    <w:top w:val="nil"/>
                    <w:left w:val="single" w:color="000000" w:sz="4" w:space="0"/>
                    <w:bottom w:val="single" w:color="000000" w:sz="4" w:space="0"/>
                    <w:right w:val="single" w:color="000000" w:sz="4" w:space="0"/>
                  </w:tcBorders>
                  <w:vAlign w:val="center"/>
                </w:tcPr>
                <w:p w14:paraId="0A8D7040">
                  <w:pPr>
                    <w:jc w:val="center"/>
                  </w:pPr>
                </w:p>
              </w:tc>
              <w:tc>
                <w:tcPr>
                  <w:tcW w:w="11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4C3ED653">
                  <w:pPr>
                    <w:pStyle w:val="4"/>
                    <w:jc w:val="center"/>
                    <w:rPr>
                      <w:rFonts w:hint="default"/>
                    </w:rPr>
                  </w:pPr>
                  <w:r>
                    <w:rPr>
                      <w:rFonts w:ascii="仿宋_GB2312" w:hAnsi="仿宋_GB2312" w:eastAsia="仿宋_GB2312" w:cs="仿宋_GB2312"/>
                      <w:color w:val="000000"/>
                    </w:rPr>
                    <w:t>绿盟</w:t>
                  </w:r>
                </w:p>
              </w:tc>
              <w:tc>
                <w:tcPr>
                  <w:tcW w:w="9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2F3BC4BA">
                  <w:pPr>
                    <w:pStyle w:val="4"/>
                    <w:jc w:val="center"/>
                    <w:rPr>
                      <w:rFonts w:hint="default"/>
                    </w:rPr>
                  </w:pPr>
                  <w:r>
                    <w:rPr>
                      <w:rFonts w:ascii="仿宋_GB2312" w:hAnsi="仿宋_GB2312" w:eastAsia="仿宋_GB2312" w:cs="仿宋_GB2312"/>
                      <w:color w:val="000000"/>
                    </w:rPr>
                    <w:t>UTS</w:t>
                  </w:r>
                </w:p>
              </w:tc>
              <w:tc>
                <w:tcPr>
                  <w:tcW w:w="8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0E1C64BC">
                  <w:pPr>
                    <w:pStyle w:val="4"/>
                    <w:jc w:val="center"/>
                    <w:rPr>
                      <w:rFonts w:hint="default"/>
                    </w:rPr>
                  </w:pPr>
                  <w:r>
                    <w:rPr>
                      <w:rFonts w:ascii="仿宋_GB2312" w:hAnsi="仿宋_GB2312" w:eastAsia="仿宋_GB2312" w:cs="仿宋_GB2312"/>
                      <w:color w:val="000000"/>
                    </w:rPr>
                    <w:t>13</w:t>
                  </w:r>
                </w:p>
              </w:tc>
              <w:tc>
                <w:tcPr>
                  <w:tcW w:w="132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58E908AB">
                  <w:pPr>
                    <w:pStyle w:val="4"/>
                    <w:jc w:val="center"/>
                    <w:rPr>
                      <w:rFonts w:hint="default"/>
                    </w:rPr>
                  </w:pPr>
                  <w:r>
                    <w:rPr>
                      <w:rFonts w:ascii="仿宋_GB2312" w:hAnsi="仿宋_GB2312" w:eastAsia="仿宋_GB2312" w:cs="仿宋_GB2312"/>
                      <w:color w:val="000000"/>
                    </w:rPr>
                    <w:t>1年</w:t>
                  </w:r>
                </w:p>
              </w:tc>
            </w:tr>
            <w:tr w14:paraId="7E29217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579" w:hRule="atLeast"/>
              </w:trPr>
              <w:tc>
                <w:tcPr>
                  <w:tcW w:w="6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40B7C750">
                  <w:pPr>
                    <w:pStyle w:val="4"/>
                    <w:jc w:val="center"/>
                    <w:rPr>
                      <w:rFonts w:hint="default"/>
                    </w:rPr>
                  </w:pPr>
                  <w:r>
                    <w:rPr>
                      <w:rFonts w:ascii="仿宋_GB2312" w:hAnsi="仿宋_GB2312" w:eastAsia="仿宋_GB2312" w:cs="仿宋_GB2312"/>
                      <w:color w:val="000000"/>
                    </w:rPr>
                    <w:t>4</w:t>
                  </w:r>
                </w:p>
              </w:tc>
              <w:tc>
                <w:tcPr>
                  <w:tcW w:w="145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4506BA35">
                  <w:pPr>
                    <w:pStyle w:val="4"/>
                    <w:jc w:val="center"/>
                    <w:rPr>
                      <w:rFonts w:hint="default"/>
                    </w:rPr>
                  </w:pPr>
                  <w:r>
                    <w:rPr>
                      <w:rFonts w:ascii="仿宋_GB2312" w:hAnsi="仿宋_GB2312" w:eastAsia="仿宋_GB2312" w:cs="仿宋_GB2312"/>
                      <w:color w:val="000000"/>
                    </w:rPr>
                    <w:t>资产扫描探针</w:t>
                  </w:r>
                </w:p>
              </w:tc>
              <w:tc>
                <w:tcPr>
                  <w:tcW w:w="11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082EA21D">
                  <w:pPr>
                    <w:pStyle w:val="4"/>
                    <w:jc w:val="center"/>
                    <w:rPr>
                      <w:rFonts w:hint="default"/>
                    </w:rPr>
                  </w:pPr>
                  <w:r>
                    <w:rPr>
                      <w:rFonts w:ascii="仿宋_GB2312" w:hAnsi="仿宋_GB2312" w:eastAsia="仿宋_GB2312" w:cs="仿宋_GB2312"/>
                      <w:color w:val="000000"/>
                    </w:rPr>
                    <w:t>绿盟</w:t>
                  </w:r>
                </w:p>
              </w:tc>
              <w:tc>
                <w:tcPr>
                  <w:tcW w:w="9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430B66AE">
                  <w:pPr>
                    <w:pStyle w:val="4"/>
                    <w:jc w:val="center"/>
                    <w:rPr>
                      <w:rFonts w:hint="default"/>
                    </w:rPr>
                  </w:pPr>
                  <w:r>
                    <w:rPr>
                      <w:rFonts w:ascii="仿宋_GB2312" w:hAnsi="仿宋_GB2312" w:eastAsia="仿宋_GB2312" w:cs="仿宋_GB2312"/>
                      <w:color w:val="000000"/>
                    </w:rPr>
                    <w:t>NCSS</w:t>
                  </w:r>
                </w:p>
              </w:tc>
              <w:tc>
                <w:tcPr>
                  <w:tcW w:w="8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2A5DCF56">
                  <w:pPr>
                    <w:pStyle w:val="4"/>
                    <w:jc w:val="center"/>
                    <w:rPr>
                      <w:rFonts w:hint="default"/>
                    </w:rPr>
                  </w:pPr>
                  <w:r>
                    <w:rPr>
                      <w:rFonts w:ascii="仿宋_GB2312" w:hAnsi="仿宋_GB2312" w:eastAsia="仿宋_GB2312" w:cs="仿宋_GB2312"/>
                      <w:color w:val="000000"/>
                    </w:rPr>
                    <w:t>2</w:t>
                  </w:r>
                </w:p>
              </w:tc>
              <w:tc>
                <w:tcPr>
                  <w:tcW w:w="132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04BEC476">
                  <w:pPr>
                    <w:pStyle w:val="4"/>
                    <w:jc w:val="center"/>
                    <w:rPr>
                      <w:rFonts w:hint="default"/>
                    </w:rPr>
                  </w:pPr>
                  <w:r>
                    <w:rPr>
                      <w:rFonts w:ascii="仿宋_GB2312" w:hAnsi="仿宋_GB2312" w:eastAsia="仿宋_GB2312" w:cs="仿宋_GB2312"/>
                      <w:color w:val="000000"/>
                    </w:rPr>
                    <w:t>1年</w:t>
                  </w:r>
                </w:p>
              </w:tc>
            </w:tr>
            <w:tr w14:paraId="2F84014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863" w:hRule="atLeast"/>
              </w:trPr>
              <w:tc>
                <w:tcPr>
                  <w:tcW w:w="6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1684E003">
                  <w:pPr>
                    <w:pStyle w:val="4"/>
                    <w:jc w:val="center"/>
                    <w:rPr>
                      <w:rFonts w:hint="default"/>
                    </w:rPr>
                  </w:pPr>
                  <w:r>
                    <w:rPr>
                      <w:rFonts w:ascii="仿宋_GB2312" w:hAnsi="仿宋_GB2312" w:eastAsia="仿宋_GB2312" w:cs="仿宋_GB2312"/>
                      <w:color w:val="000000"/>
                    </w:rPr>
                    <w:t>5</w:t>
                  </w:r>
                </w:p>
              </w:tc>
              <w:tc>
                <w:tcPr>
                  <w:tcW w:w="145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7C23D466">
                  <w:pPr>
                    <w:pStyle w:val="4"/>
                    <w:jc w:val="center"/>
                    <w:rPr>
                      <w:rFonts w:hint="default"/>
                    </w:rPr>
                  </w:pPr>
                  <w:r>
                    <w:rPr>
                      <w:rFonts w:ascii="仿宋_GB2312" w:hAnsi="仿宋_GB2312" w:eastAsia="仿宋_GB2312" w:cs="仿宋_GB2312"/>
                      <w:color w:val="000000"/>
                    </w:rPr>
                    <w:t>网站安全监测引擎</w:t>
                  </w:r>
                </w:p>
              </w:tc>
              <w:tc>
                <w:tcPr>
                  <w:tcW w:w="11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5613F986">
                  <w:pPr>
                    <w:pStyle w:val="4"/>
                    <w:jc w:val="center"/>
                    <w:rPr>
                      <w:rFonts w:hint="default"/>
                    </w:rPr>
                  </w:pPr>
                  <w:r>
                    <w:rPr>
                      <w:rFonts w:ascii="仿宋_GB2312" w:hAnsi="仿宋_GB2312" w:eastAsia="仿宋_GB2312" w:cs="仿宋_GB2312"/>
                      <w:color w:val="000000"/>
                    </w:rPr>
                    <w:t>绿盟</w:t>
                  </w:r>
                </w:p>
              </w:tc>
              <w:tc>
                <w:tcPr>
                  <w:tcW w:w="9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4DFB2B41">
                  <w:pPr>
                    <w:pStyle w:val="4"/>
                    <w:jc w:val="center"/>
                    <w:rPr>
                      <w:rFonts w:hint="default"/>
                    </w:rPr>
                  </w:pPr>
                  <w:r>
                    <w:rPr>
                      <w:rFonts w:ascii="仿宋_GB2312" w:hAnsi="仿宋_GB2312" w:eastAsia="仿宋_GB2312" w:cs="仿宋_GB2312"/>
                      <w:color w:val="000000"/>
                    </w:rPr>
                    <w:t>WSMH</w:t>
                  </w:r>
                </w:p>
              </w:tc>
              <w:tc>
                <w:tcPr>
                  <w:tcW w:w="8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2619AB71">
                  <w:pPr>
                    <w:pStyle w:val="4"/>
                    <w:jc w:val="center"/>
                    <w:rPr>
                      <w:rFonts w:hint="default"/>
                    </w:rPr>
                  </w:pPr>
                  <w:r>
                    <w:rPr>
                      <w:rFonts w:ascii="仿宋_GB2312" w:hAnsi="仿宋_GB2312" w:eastAsia="仿宋_GB2312" w:cs="仿宋_GB2312"/>
                      <w:color w:val="000000"/>
                    </w:rPr>
                    <w:t>2</w:t>
                  </w:r>
                </w:p>
              </w:tc>
              <w:tc>
                <w:tcPr>
                  <w:tcW w:w="132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29BFA10C">
                  <w:pPr>
                    <w:pStyle w:val="4"/>
                    <w:jc w:val="center"/>
                    <w:rPr>
                      <w:rFonts w:hint="default"/>
                    </w:rPr>
                  </w:pPr>
                  <w:r>
                    <w:rPr>
                      <w:rFonts w:ascii="仿宋_GB2312" w:hAnsi="仿宋_GB2312" w:eastAsia="仿宋_GB2312" w:cs="仿宋_GB2312"/>
                      <w:color w:val="000000"/>
                    </w:rPr>
                    <w:t>1年</w:t>
                  </w:r>
                </w:p>
              </w:tc>
            </w:tr>
            <w:tr w14:paraId="6CF06AF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872" w:hRule="atLeast"/>
              </w:trPr>
              <w:tc>
                <w:tcPr>
                  <w:tcW w:w="6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37E57199">
                  <w:pPr>
                    <w:pStyle w:val="4"/>
                    <w:jc w:val="center"/>
                    <w:rPr>
                      <w:rFonts w:hint="default"/>
                    </w:rPr>
                  </w:pPr>
                  <w:r>
                    <w:rPr>
                      <w:rFonts w:ascii="仿宋_GB2312" w:hAnsi="仿宋_GB2312" w:eastAsia="仿宋_GB2312" w:cs="仿宋_GB2312"/>
                      <w:color w:val="000000"/>
                    </w:rPr>
                    <w:t>6</w:t>
                  </w:r>
                </w:p>
              </w:tc>
              <w:tc>
                <w:tcPr>
                  <w:tcW w:w="145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509AA0C0">
                  <w:pPr>
                    <w:pStyle w:val="4"/>
                    <w:jc w:val="center"/>
                    <w:rPr>
                      <w:rFonts w:hint="default"/>
                    </w:rPr>
                  </w:pPr>
                  <w:r>
                    <w:rPr>
                      <w:rFonts w:ascii="仿宋_GB2312" w:hAnsi="仿宋_GB2312" w:eastAsia="仿宋_GB2312" w:cs="仿宋_GB2312"/>
                      <w:color w:val="000000"/>
                    </w:rPr>
                    <w:t>僵木蠕检测探针系统</w:t>
                  </w:r>
                </w:p>
              </w:tc>
              <w:tc>
                <w:tcPr>
                  <w:tcW w:w="11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0FDA9AE9">
                  <w:pPr>
                    <w:pStyle w:val="4"/>
                    <w:jc w:val="center"/>
                    <w:rPr>
                      <w:rFonts w:hint="default"/>
                    </w:rPr>
                  </w:pPr>
                  <w:r>
                    <w:rPr>
                      <w:rFonts w:ascii="仿宋_GB2312" w:hAnsi="仿宋_GB2312" w:eastAsia="仿宋_GB2312" w:cs="仿宋_GB2312"/>
                      <w:color w:val="000000"/>
                    </w:rPr>
                    <w:t>绿盟</w:t>
                  </w:r>
                </w:p>
              </w:tc>
              <w:tc>
                <w:tcPr>
                  <w:tcW w:w="9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22DC631B">
                  <w:pPr>
                    <w:pStyle w:val="4"/>
                    <w:jc w:val="center"/>
                    <w:rPr>
                      <w:rFonts w:hint="default"/>
                    </w:rPr>
                  </w:pPr>
                  <w:r>
                    <w:rPr>
                      <w:rFonts w:ascii="仿宋_GB2312" w:hAnsi="仿宋_GB2312" w:eastAsia="仿宋_GB2312" w:cs="仿宋_GB2312"/>
                      <w:color w:val="000000"/>
                    </w:rPr>
                    <w:t>UTS</w:t>
                  </w:r>
                </w:p>
              </w:tc>
              <w:tc>
                <w:tcPr>
                  <w:tcW w:w="8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5F6A0C21">
                  <w:pPr>
                    <w:pStyle w:val="4"/>
                    <w:jc w:val="center"/>
                    <w:rPr>
                      <w:rFonts w:hint="default"/>
                    </w:rPr>
                  </w:pPr>
                  <w:r>
                    <w:rPr>
                      <w:rFonts w:ascii="仿宋_GB2312" w:hAnsi="仿宋_GB2312" w:eastAsia="仿宋_GB2312" w:cs="仿宋_GB2312"/>
                      <w:color w:val="000000"/>
                    </w:rPr>
                    <w:t>7</w:t>
                  </w:r>
                </w:p>
              </w:tc>
              <w:tc>
                <w:tcPr>
                  <w:tcW w:w="132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0DDD0485">
                  <w:pPr>
                    <w:pStyle w:val="4"/>
                    <w:jc w:val="center"/>
                    <w:rPr>
                      <w:rFonts w:hint="default"/>
                    </w:rPr>
                  </w:pPr>
                  <w:r>
                    <w:rPr>
                      <w:rFonts w:ascii="仿宋_GB2312" w:hAnsi="仿宋_GB2312" w:eastAsia="仿宋_GB2312" w:cs="仿宋_GB2312"/>
                      <w:color w:val="000000"/>
                    </w:rPr>
                    <w:t>1年</w:t>
                  </w:r>
                </w:p>
              </w:tc>
            </w:tr>
          </w:tbl>
          <w:p w14:paraId="6CFEA29E">
            <w:pPr>
              <w:pStyle w:val="4"/>
              <w:rPr>
                <w:rFonts w:hint="default"/>
              </w:rPr>
            </w:pPr>
            <w:r>
              <w:rPr>
                <w:rFonts w:ascii="仿宋_GB2312" w:hAnsi="仿宋_GB2312" w:eastAsia="仿宋_GB2312" w:cs="仿宋_GB2312"/>
                <w:b/>
              </w:rPr>
              <w:t>注：供应商提供具有维保服务能力的证明材料,未满足按无效标处理。</w:t>
            </w:r>
          </w:p>
          <w:p w14:paraId="11C4513B">
            <w:pPr>
              <w:pStyle w:val="4"/>
              <w:rPr>
                <w:rFonts w:hint="default"/>
              </w:rPr>
            </w:pPr>
            <w:r>
              <w:rPr>
                <w:rFonts w:ascii="仿宋_GB2312" w:hAnsi="仿宋_GB2312" w:eastAsia="仿宋_GB2312" w:cs="仿宋_GB2312"/>
                <w:b/>
              </w:rPr>
              <w:t>2.安全服务内容</w:t>
            </w:r>
          </w:p>
          <w:p w14:paraId="5C6E3707">
            <w:pPr>
              <w:pStyle w:val="4"/>
              <w:jc w:val="both"/>
              <w:rPr>
                <w:rFonts w:hint="default"/>
              </w:rPr>
            </w:pPr>
            <w:r>
              <w:rPr>
                <w:rFonts w:ascii="仿宋_GB2312" w:hAnsi="仿宋_GB2312" w:eastAsia="仿宋_GB2312" w:cs="仿宋_GB2312"/>
              </w:rPr>
              <w:t>供应商需配备</w:t>
            </w:r>
            <w:r>
              <w:rPr>
                <w:rFonts w:ascii="仿宋_GB2312" w:hAnsi="仿宋_GB2312" w:eastAsia="仿宋_GB2312" w:cs="仿宋_GB2312"/>
                <w:lang w:eastAsia="zh-CN"/>
              </w:rPr>
              <w:t>运维</w:t>
            </w:r>
            <w:r>
              <w:rPr>
                <w:rFonts w:ascii="仿宋_GB2312" w:hAnsi="仿宋_GB2312" w:eastAsia="仿宋_GB2312" w:cs="仿宋_GB2312"/>
              </w:rPr>
              <w:t>技术工程师</w:t>
            </w:r>
            <w:r>
              <w:rPr>
                <w:rFonts w:ascii="仿宋_GB2312" w:hAnsi="仿宋_GB2312" w:eastAsia="仿宋_GB2312" w:cs="仿宋_GB2312"/>
                <w:lang w:eastAsia="zh-CN"/>
              </w:rPr>
              <w:t>负责平台运维（</w:t>
            </w:r>
            <w:r>
              <w:rPr>
                <w:rFonts w:ascii="仿宋_GB2312" w:hAnsi="仿宋_GB2312" w:eastAsia="仿宋_GB2312" w:cs="仿宋_GB2312"/>
              </w:rPr>
              <w:t>能胜任具有</w:t>
            </w:r>
            <w:r>
              <w:rPr>
                <w:rFonts w:ascii="仿宋_GB2312" w:hAnsi="仿宋_GB2312" w:eastAsia="仿宋_GB2312" w:cs="仿宋_GB2312"/>
                <w:lang w:eastAsia="zh-CN"/>
              </w:rPr>
              <w:t>巡检维护、</w:t>
            </w:r>
            <w:r>
              <w:rPr>
                <w:rFonts w:ascii="仿宋_GB2312" w:hAnsi="仿宋_GB2312" w:eastAsia="仿宋_GB2312" w:cs="仿宋_GB2312"/>
              </w:rPr>
              <w:t>网络安全应急响应、故障处置、问题分析和报告撰写能力</w:t>
            </w:r>
            <w:r>
              <w:rPr>
                <w:rFonts w:ascii="仿宋_GB2312" w:hAnsi="仿宋_GB2312" w:eastAsia="仿宋_GB2312" w:cs="仿宋_GB2312"/>
                <w:sz w:val="21"/>
              </w:rPr>
              <w:t>）</w:t>
            </w:r>
            <w:r>
              <w:rPr>
                <w:rFonts w:ascii="仿宋_GB2312" w:hAnsi="仿宋_GB2312" w:eastAsia="仿宋_GB2312" w:cs="仿宋_GB2312"/>
                <w:lang w:eastAsia="zh-CN"/>
              </w:rPr>
              <w:t>。运维</w:t>
            </w:r>
            <w:r>
              <w:rPr>
                <w:rFonts w:ascii="仿宋_GB2312" w:hAnsi="仿宋_GB2312" w:eastAsia="仿宋_GB2312" w:cs="仿宋_GB2312"/>
              </w:rPr>
              <w:t>技术工程师需严格遵守采购人各项内部规章制度。</w:t>
            </w:r>
          </w:p>
        </w:tc>
      </w:tr>
      <w:tr w14:paraId="25339C1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028" w:hRule="atLeast"/>
        </w:trPr>
        <w:tc>
          <w:tcPr>
            <w:tcW w:w="669" w:type="dxa"/>
          </w:tcPr>
          <w:p w14:paraId="67846255">
            <w:pPr>
              <w:pStyle w:val="4"/>
              <w:rPr>
                <w:rFonts w:hint="default"/>
              </w:rPr>
            </w:pPr>
            <w:r>
              <w:rPr>
                <w:rFonts w:ascii="仿宋_GB2312" w:hAnsi="仿宋_GB2312" w:eastAsia="仿宋_GB2312" w:cs="仿宋_GB2312"/>
              </w:rPr>
              <w:t>2</w:t>
            </w:r>
          </w:p>
        </w:tc>
        <w:tc>
          <w:tcPr>
            <w:tcW w:w="1095" w:type="dxa"/>
          </w:tcPr>
          <w:p w14:paraId="180CA281"/>
        </w:tc>
        <w:tc>
          <w:tcPr>
            <w:tcW w:w="6758" w:type="dxa"/>
          </w:tcPr>
          <w:p w14:paraId="78CEE2EC">
            <w:pPr>
              <w:pStyle w:val="4"/>
              <w:jc w:val="both"/>
              <w:rPr>
                <w:rFonts w:hint="default"/>
              </w:rPr>
            </w:pPr>
            <w:r>
              <w:rPr>
                <w:rFonts w:ascii="仿宋_GB2312" w:hAnsi="仿宋_GB2312" w:eastAsia="仿宋_GB2312" w:cs="仿宋_GB2312"/>
                <w:b/>
              </w:rPr>
              <w:t>技术要求</w:t>
            </w:r>
          </w:p>
          <w:p w14:paraId="037254E4">
            <w:pPr>
              <w:pStyle w:val="4"/>
              <w:rPr>
                <w:rFonts w:hint="default"/>
              </w:rPr>
            </w:pPr>
            <w:r>
              <w:rPr>
                <w:rFonts w:ascii="仿宋_GB2312" w:hAnsi="仿宋_GB2312" w:eastAsia="仿宋_GB2312" w:cs="仿宋_GB2312"/>
                <w:b/>
              </w:rPr>
              <w:t>1.质保服务要求</w:t>
            </w:r>
          </w:p>
          <w:tbl>
            <w:tblPr>
              <w:tblStyle w:val="2"/>
              <w:tblW w:w="0" w:type="auto"/>
              <w:tblInd w:w="12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1336"/>
              <w:gridCol w:w="4983"/>
            </w:tblGrid>
            <w:tr w14:paraId="29BEE3B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1336" w:type="dxa"/>
                  <w:tcBorders>
                    <w:top w:val="single" w:color="000000" w:sz="4" w:space="0"/>
                    <w:left w:val="single" w:color="000000" w:sz="4" w:space="0"/>
                    <w:bottom w:val="single" w:color="000000" w:sz="4" w:space="0"/>
                    <w:right w:val="single" w:color="000000" w:sz="4" w:space="0"/>
                  </w:tcBorders>
                  <w:shd w:val="clear" w:color="auto" w:fill="auto"/>
                  <w:tcMar>
                    <w:top w:w="0" w:type="dxa"/>
                    <w:left w:w="105" w:type="dxa"/>
                    <w:bottom w:w="0" w:type="dxa"/>
                    <w:right w:w="105" w:type="dxa"/>
                  </w:tcMar>
                </w:tcPr>
                <w:p w14:paraId="23667FD0">
                  <w:pPr>
                    <w:pStyle w:val="4"/>
                    <w:jc w:val="center"/>
                    <w:rPr>
                      <w:rFonts w:hint="default"/>
                    </w:rPr>
                  </w:pPr>
                  <w:r>
                    <w:rPr>
                      <w:rFonts w:ascii="仿宋_GB2312" w:hAnsi="仿宋_GB2312" w:eastAsia="仿宋_GB2312" w:cs="仿宋_GB2312"/>
                      <w:b/>
                      <w:color w:val="000000"/>
                    </w:rPr>
                    <w:t>服务内容</w:t>
                  </w:r>
                </w:p>
              </w:tc>
              <w:tc>
                <w:tcPr>
                  <w:tcW w:w="4983" w:type="dxa"/>
                  <w:tcBorders>
                    <w:top w:val="single" w:color="000000" w:sz="4" w:space="0"/>
                    <w:left w:val="nil"/>
                    <w:bottom w:val="single" w:color="000000" w:sz="4" w:space="0"/>
                    <w:right w:val="single" w:color="000000" w:sz="4" w:space="0"/>
                  </w:tcBorders>
                  <w:shd w:val="clear" w:color="auto" w:fill="auto"/>
                  <w:tcMar>
                    <w:top w:w="0" w:type="dxa"/>
                    <w:left w:w="105" w:type="dxa"/>
                    <w:bottom w:w="0" w:type="dxa"/>
                    <w:right w:w="105" w:type="dxa"/>
                  </w:tcMar>
                </w:tcPr>
                <w:p w14:paraId="46A3EBDC">
                  <w:pPr>
                    <w:pStyle w:val="4"/>
                    <w:jc w:val="center"/>
                    <w:rPr>
                      <w:rFonts w:hint="default"/>
                    </w:rPr>
                  </w:pPr>
                  <w:r>
                    <w:rPr>
                      <w:rFonts w:ascii="仿宋_GB2312" w:hAnsi="仿宋_GB2312" w:eastAsia="仿宋_GB2312" w:cs="仿宋_GB2312"/>
                      <w:b/>
                      <w:color w:val="000000"/>
                    </w:rPr>
                    <w:t>服务要求</w:t>
                  </w:r>
                </w:p>
              </w:tc>
            </w:tr>
            <w:tr w14:paraId="2EB8F78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453" w:hRule="atLeast"/>
              </w:trPr>
              <w:tc>
                <w:tcPr>
                  <w:tcW w:w="133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66BD335E">
                  <w:pPr>
                    <w:pStyle w:val="4"/>
                    <w:jc w:val="center"/>
                    <w:rPr>
                      <w:rFonts w:hint="default"/>
                    </w:rPr>
                  </w:pPr>
                  <w:r>
                    <w:rPr>
                      <w:rFonts w:ascii="仿宋_GB2312" w:hAnsi="仿宋_GB2312" w:eastAsia="仿宋_GB2312" w:cs="仿宋_GB2312"/>
                    </w:rPr>
                    <w:t>质保服务</w:t>
                  </w:r>
                </w:p>
              </w:tc>
              <w:tc>
                <w:tcPr>
                  <w:tcW w:w="4983"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4475D4B1">
                  <w:pPr>
                    <w:pStyle w:val="4"/>
                    <w:jc w:val="both"/>
                    <w:rPr>
                      <w:rFonts w:hint="default"/>
                    </w:rPr>
                  </w:pPr>
                  <w:r>
                    <w:rPr>
                      <w:rFonts w:ascii="仿宋_GB2312" w:hAnsi="仿宋_GB2312" w:eastAsia="仿宋_GB2312" w:cs="仿宋_GB2312"/>
                    </w:rPr>
                    <w:t>提供一年产品质保及软件、特征库升级服务。</w:t>
                  </w:r>
                </w:p>
              </w:tc>
            </w:tr>
            <w:tr w14:paraId="385542E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1027" w:hRule="atLeast"/>
              </w:trPr>
              <w:tc>
                <w:tcPr>
                  <w:tcW w:w="133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669B43A7">
                  <w:pPr>
                    <w:pStyle w:val="4"/>
                    <w:jc w:val="center"/>
                    <w:rPr>
                      <w:rFonts w:hint="default"/>
                    </w:rPr>
                  </w:pPr>
                  <w:r>
                    <w:rPr>
                      <w:rFonts w:ascii="仿宋_GB2312" w:hAnsi="仿宋_GB2312" w:eastAsia="仿宋_GB2312" w:cs="仿宋_GB2312"/>
                    </w:rPr>
                    <w:t>备品备件服务</w:t>
                  </w:r>
                </w:p>
              </w:tc>
              <w:tc>
                <w:tcPr>
                  <w:tcW w:w="4983"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4D043F36">
                  <w:pPr>
                    <w:pStyle w:val="4"/>
                    <w:jc w:val="both"/>
                    <w:rPr>
                      <w:rFonts w:hint="default"/>
                    </w:rPr>
                  </w:pPr>
                  <w:r>
                    <w:rPr>
                      <w:rFonts w:ascii="仿宋_GB2312" w:hAnsi="仿宋_GB2312" w:eastAsia="仿宋_GB2312" w:cs="仿宋_GB2312"/>
                    </w:rPr>
                    <w:t>针对本项目网络安全产品维保具有完善的备品备件库体系，</w:t>
                  </w:r>
                  <w:r>
                    <w:rPr>
                      <w:rFonts w:ascii="仿宋_GB2312" w:hAnsi="仿宋_GB2312" w:eastAsia="仿宋_GB2312" w:cs="仿宋_GB2312"/>
                      <w:sz w:val="20"/>
                      <w:szCs w:val="20"/>
                    </w:rPr>
                    <w:t>能够向本次涉及的安全产品提供快捷的备品备件服务</w:t>
                  </w:r>
                  <w:r>
                    <w:rPr>
                      <w:rFonts w:ascii="仿宋_GB2312" w:hAnsi="仿宋_GB2312" w:eastAsia="仿宋_GB2312" w:cs="仿宋_GB2312"/>
                      <w:sz w:val="21"/>
                    </w:rPr>
                    <w:t>。</w:t>
                  </w:r>
                </w:p>
              </w:tc>
            </w:tr>
            <w:tr w14:paraId="7E465CC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1121" w:hRule="atLeast"/>
              </w:trPr>
              <w:tc>
                <w:tcPr>
                  <w:tcW w:w="133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3571F5F7">
                  <w:pPr>
                    <w:pStyle w:val="4"/>
                    <w:jc w:val="center"/>
                    <w:rPr>
                      <w:rFonts w:hint="default"/>
                    </w:rPr>
                  </w:pPr>
                  <w:r>
                    <w:rPr>
                      <w:rFonts w:ascii="仿宋_GB2312" w:hAnsi="仿宋_GB2312" w:eastAsia="仿宋_GB2312" w:cs="仿宋_GB2312"/>
                    </w:rPr>
                    <w:t>电话响应</w:t>
                  </w:r>
                </w:p>
              </w:tc>
              <w:tc>
                <w:tcPr>
                  <w:tcW w:w="4983"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215864C4">
                  <w:pPr>
                    <w:pStyle w:val="4"/>
                    <w:jc w:val="both"/>
                    <w:rPr>
                      <w:rFonts w:hint="default"/>
                    </w:rPr>
                  </w:pPr>
                  <w:r>
                    <w:rPr>
                      <w:rFonts w:ascii="仿宋_GB2312" w:hAnsi="仿宋_GB2312" w:eastAsia="仿宋_GB2312" w:cs="仿宋_GB2312"/>
                    </w:rPr>
                    <w:t>在正常的办公时间内(每星期一至星期五的9:00-17:30)，客户可通过电话获得安全、专业的技术支持、访问问题处理、知识库、软件以及客户培训信息。</w:t>
                  </w:r>
                </w:p>
              </w:tc>
            </w:tr>
            <w:tr w14:paraId="5CAA324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1001" w:hRule="atLeast"/>
              </w:trPr>
              <w:tc>
                <w:tcPr>
                  <w:tcW w:w="133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2582A68D">
                  <w:pPr>
                    <w:pStyle w:val="4"/>
                    <w:jc w:val="center"/>
                    <w:rPr>
                      <w:rFonts w:hint="default"/>
                    </w:rPr>
                  </w:pPr>
                  <w:r>
                    <w:rPr>
                      <w:rFonts w:ascii="仿宋_GB2312" w:hAnsi="仿宋_GB2312" w:eastAsia="仿宋_GB2312" w:cs="仿宋_GB2312"/>
                    </w:rPr>
                    <w:t>远程支持服务</w:t>
                  </w:r>
                </w:p>
              </w:tc>
              <w:tc>
                <w:tcPr>
                  <w:tcW w:w="4983"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37491627">
                  <w:pPr>
                    <w:pStyle w:val="4"/>
                    <w:jc w:val="both"/>
                    <w:rPr>
                      <w:rFonts w:hint="default"/>
                    </w:rPr>
                  </w:pPr>
                  <w:r>
                    <w:rPr>
                      <w:rFonts w:ascii="仿宋_GB2312" w:hAnsi="仿宋_GB2312" w:eastAsia="仿宋_GB2312" w:cs="仿宋_GB2312"/>
                    </w:rPr>
                    <w:t>对于通过电话指导不能解决的故障，在征得客户同意后，通过远程接入手段，登录到故障设备，进行故障诊断，查找故障出现的原因，指导现场人员处理故障。</w:t>
                  </w:r>
                </w:p>
              </w:tc>
            </w:tr>
            <w:tr w14:paraId="248B9CB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1096" w:hRule="atLeast"/>
              </w:trPr>
              <w:tc>
                <w:tcPr>
                  <w:tcW w:w="133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3E7302EE">
                  <w:pPr>
                    <w:pStyle w:val="4"/>
                    <w:jc w:val="center"/>
                    <w:rPr>
                      <w:rFonts w:hint="default"/>
                    </w:rPr>
                  </w:pPr>
                  <w:r>
                    <w:rPr>
                      <w:rFonts w:ascii="仿宋_GB2312" w:hAnsi="仿宋_GB2312" w:eastAsia="仿宋_GB2312" w:cs="仿宋_GB2312"/>
                    </w:rPr>
                    <w:t>现场服务</w:t>
                  </w:r>
                </w:p>
              </w:tc>
              <w:tc>
                <w:tcPr>
                  <w:tcW w:w="4983"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18AD8AD8">
                  <w:pPr>
                    <w:pStyle w:val="4"/>
                    <w:jc w:val="both"/>
                    <w:rPr>
                      <w:rFonts w:hint="default"/>
                    </w:rPr>
                  </w:pPr>
                  <w:r>
                    <w:rPr>
                      <w:rFonts w:ascii="仿宋_GB2312" w:hAnsi="仿宋_GB2312" w:eastAsia="仿宋_GB2312" w:cs="仿宋_GB2312"/>
                    </w:rPr>
                    <w:t>对于通过电话支持和远程支持都不能解决的故障，供应商安排经验丰富的技术服务工程师赴现场分析故障原因，制定故障解决方案，并最终排除故障。</w:t>
                  </w:r>
                </w:p>
              </w:tc>
            </w:tr>
          </w:tbl>
          <w:p w14:paraId="18F5B88B">
            <w:pPr>
              <w:pStyle w:val="4"/>
              <w:rPr>
                <w:rFonts w:hint="default"/>
              </w:rPr>
            </w:pPr>
            <w:r>
              <w:rPr>
                <w:rFonts w:ascii="仿宋_GB2312" w:hAnsi="仿宋_GB2312" w:eastAsia="仿宋_GB2312" w:cs="仿宋_GB2312"/>
                <w:b/>
                <w:sz w:val="21"/>
              </w:rPr>
              <w:t>2.安全响应要求</w:t>
            </w:r>
          </w:p>
          <w:p w14:paraId="4F7DEE6D">
            <w:pPr>
              <w:pStyle w:val="4"/>
              <w:jc w:val="both"/>
              <w:rPr>
                <w:rFonts w:hint="default"/>
              </w:rPr>
            </w:pPr>
            <w:r>
              <w:rPr>
                <w:rFonts w:ascii="仿宋_GB2312" w:hAnsi="仿宋_GB2312" w:eastAsia="仿宋_GB2312" w:cs="仿宋_GB2312"/>
              </w:rPr>
              <w:t>（1）提供7×24小时技术支持服务，在接到技术支持要求时，为系统使用人员提供如何使用系统的咨询。</w:t>
            </w:r>
          </w:p>
          <w:p w14:paraId="4A1938B0">
            <w:pPr>
              <w:pStyle w:val="4"/>
              <w:jc w:val="both"/>
              <w:rPr>
                <w:rFonts w:hint="default"/>
              </w:rPr>
            </w:pPr>
            <w:r>
              <w:rPr>
                <w:rFonts w:ascii="仿宋_GB2312" w:hAnsi="仿宋_GB2312" w:eastAsia="仿宋_GB2312" w:cs="仿宋_GB2312"/>
              </w:rPr>
              <w:t>（2）在使用系统如遇到软件、硬件或是网络问题，需提供电话支持与帮助。一旦接到请求电话，需在2小时内通过电话解决或回答用户所出的问题。</w:t>
            </w:r>
          </w:p>
          <w:p w14:paraId="5E10E322">
            <w:pPr>
              <w:pStyle w:val="4"/>
              <w:jc w:val="both"/>
              <w:rPr>
                <w:rFonts w:hint="default"/>
              </w:rPr>
            </w:pPr>
            <w:r>
              <w:rPr>
                <w:rFonts w:ascii="仿宋_GB2312" w:hAnsi="仿宋_GB2312" w:eastAsia="仿宋_GB2312" w:cs="仿宋_GB2312"/>
              </w:rPr>
              <w:t>（3）在接到故障报修要求时，1小时内做出明确响应和安排，一般问题需在2小时内为采购人提供故障恢复服务，重大故障需在24小时内恢复并做出故障诊断报告。</w:t>
            </w:r>
          </w:p>
          <w:p w14:paraId="22B54D37">
            <w:pPr>
              <w:pStyle w:val="4"/>
              <w:jc w:val="both"/>
              <w:rPr>
                <w:rFonts w:hint="default" w:ascii="仿宋_GB2312" w:hAnsi="仿宋_GB2312" w:eastAsia="仿宋_GB2312" w:cs="仿宋_GB2312"/>
              </w:rPr>
            </w:pPr>
            <w:r>
              <w:rPr>
                <w:rFonts w:ascii="仿宋_GB2312" w:hAnsi="仿宋_GB2312" w:eastAsia="仿宋_GB2312" w:cs="仿宋_GB2312"/>
              </w:rPr>
              <w:t>（4）应按照采购人要求，</w:t>
            </w:r>
            <w:r>
              <w:rPr>
                <w:rFonts w:ascii="仿宋_GB2312" w:hAnsi="仿宋_GB2312" w:eastAsia="仿宋_GB2312" w:cs="仿宋_GB2312"/>
                <w:lang w:eastAsia="zh-CN"/>
              </w:rPr>
              <w:t>每周</w:t>
            </w:r>
            <w:r>
              <w:rPr>
                <w:rFonts w:ascii="仿宋_GB2312" w:hAnsi="仿宋_GB2312" w:eastAsia="仿宋_GB2312" w:cs="仿宋_GB2312"/>
              </w:rPr>
              <w:t>对相关信息系统或设备巡检</w:t>
            </w:r>
            <w:r>
              <w:rPr>
                <w:rFonts w:ascii="仿宋_GB2312" w:hAnsi="仿宋_GB2312" w:eastAsia="仿宋_GB2312" w:cs="仿宋_GB2312"/>
                <w:lang w:eastAsia="zh-CN"/>
              </w:rPr>
              <w:t>不少于1次</w:t>
            </w:r>
            <w:r>
              <w:rPr>
                <w:rFonts w:ascii="仿宋_GB2312" w:hAnsi="仿宋_GB2312" w:eastAsia="仿宋_GB2312" w:cs="仿宋_GB2312"/>
              </w:rPr>
              <w:t>，发现问题并及时处置，撰写工作报告。</w:t>
            </w:r>
          </w:p>
          <w:p w14:paraId="0BADB4F8">
            <w:pPr>
              <w:pStyle w:val="4"/>
              <w:jc w:val="both"/>
              <w:rPr>
                <w:rFonts w:hint="default"/>
              </w:rPr>
            </w:pPr>
            <w:r>
              <w:rPr>
                <w:rFonts w:ascii="仿宋_GB2312" w:hAnsi="仿宋_GB2312" w:eastAsia="仿宋_GB2312" w:cs="仿宋_GB2312"/>
                <w:lang w:eastAsia="zh-CN"/>
              </w:rPr>
              <w:t>（5）法定节假日、重大会议或活动等</w:t>
            </w:r>
            <w:r>
              <w:rPr>
                <w:rFonts w:ascii="仿宋_GB2312" w:hAnsi="仿宋_GB2312" w:eastAsia="仿宋_GB2312" w:cs="仿宋_GB2312"/>
              </w:rPr>
              <w:t>重要时期</w:t>
            </w:r>
            <w:r>
              <w:rPr>
                <w:rFonts w:ascii="仿宋_GB2312" w:hAnsi="仿宋_GB2312" w:eastAsia="仿宋_GB2312" w:cs="仿宋_GB2312"/>
                <w:lang w:eastAsia="zh-CN"/>
              </w:rPr>
              <w:t>按采购人要求提供</w:t>
            </w:r>
            <w:r>
              <w:rPr>
                <w:rFonts w:ascii="仿宋_GB2312" w:hAnsi="仿宋_GB2312" w:eastAsia="仿宋_GB2312" w:cs="仿宋_GB2312"/>
              </w:rPr>
              <w:t>现场值守服务</w:t>
            </w:r>
            <w:r>
              <w:rPr>
                <w:rFonts w:ascii="仿宋_GB2312" w:hAnsi="仿宋_GB2312" w:eastAsia="仿宋_GB2312" w:cs="仿宋_GB2312"/>
                <w:lang w:eastAsia="zh-CN"/>
              </w:rPr>
              <w:t>。</w:t>
            </w:r>
          </w:p>
        </w:tc>
      </w:tr>
    </w:tbl>
    <w:p w14:paraId="29CE64BF"/>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63"/>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A3B61E5"/>
    <w:rsid w:val="4A3B61E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djustRightInd w:val="0"/>
      <w:spacing w:line="360" w:lineRule="auto"/>
      <w:jc w:val="both"/>
    </w:pPr>
    <w:rPr>
      <w:rFonts w:ascii="Times New Roman" w:hAnsi="Times New Roman" w:eastAsia="仿宋" w:cs="Times New Roman"/>
      <w:kern w:val="2"/>
      <w:sz w:val="32"/>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1</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2026-06-03T07:21:00Z</dcterms:created>
  <dc:creator>肖肖</dc:creator>
  <cp:lastModifiedBy>肖肖</cp:lastModifiedBy>
  <dcterms:modified xsi:type="dcterms:W3CDTF">2026-06-03T07:25:46Z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5C7BEED086FF4428887F2C0609ACA538_11</vt:lpwstr>
  </property>
  <property fmtid="{D5CDD505-2E9C-101B-9397-08002B2CF9AE}" pid="4" name="KSOTemplateDocerSaveRecord">
    <vt:lpwstr>eyJoZGlkIjoiYjk3ZmQ0ZTM1ZDczNWRmZjM3MjI4N2EzNjM3ZDkwNGQiLCJ1c2VySWQiOiI0MzM4MTU0MzAifQ==</vt:lpwstr>
  </property>
</Properties>
</file>