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版本号：HWHZ--202604120260810001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警用无人机自动机场建设项目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HWHZ--2026041</w:t>
      </w:r>
      <w:r>
        <w:br/>
      </w:r>
      <w:r>
        <w:br/>
      </w:r>
      <w:r>
        <w:br/>
      </w:r>
    </w:p>
    <w:p>
      <w:pPr>
        <w:pStyle w:val="null3"/>
        <w:jc w:val="center"/>
        <w:outlineLvl w:val="2"/>
      </w:pPr>
      <w:r>
        <w:rPr>
          <w:rFonts w:ascii="仿宋_GB2312" w:hAnsi="仿宋_GB2312" w:cs="仿宋_GB2312" w:eastAsia="仿宋_GB2312"/>
          <w:sz w:val="28"/>
          <w:b/>
        </w:rPr>
        <w:t>佛坪县公安局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佛坪县公安局</w:t>
      </w:r>
      <w:r>
        <w:rPr>
          <w:rFonts w:ascii="仿宋_GB2312" w:hAnsi="仿宋_GB2312" w:cs="仿宋_GB2312" w:eastAsia="仿宋_GB2312"/>
        </w:rPr>
        <w:t>委托，拟对</w:t>
      </w:r>
      <w:r>
        <w:rPr>
          <w:rFonts w:ascii="仿宋_GB2312" w:hAnsi="仿宋_GB2312" w:cs="仿宋_GB2312" w:eastAsia="仿宋_GB2312"/>
        </w:rPr>
        <w:t>警用无人机自动机场建设项目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警用无人机自动机场建设项目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深入推进科技强警、智慧公安建设，构建空地一体、快速响应精准高效的现代化治安防控体系，全面提升情摄指挥、应急处突、风险防控能力。对县城街区、广场、学校、宾馆酒店、重点路段、景区、河道、林区等重点部位定时、定点自动巡航，填补监控盲区，强化治安震慑，压降各类案事件，重大安保节庆活动期间，无人机快速升空，实时回传现场人流、车流、现场秩序画面，实现空中全景掌控、精作调度警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4、⾮联合体声明：本项⽬不接受联合体投标，需提供⾮联合体书⾯声明。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汉中市佛坪县河提街18号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蒲先生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18992662266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汉中市汉台区北关街道办事处留侯路东⽅明珠⼩区临街商铺⼆楼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采购包1：379,860.00元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开户名称：华⽂项⽬管理有限公司汉中分公司</w:t>
            </w:r>
          </w:p>
          <w:p>
            <w:pPr>
              <w:pStyle w:val="null3"/>
            </w:pPr>
            <w:r>
              <w:rPr>
                <w:rFonts w:ascii="仿宋_GB2312" w:hAnsi="仿宋_GB2312" w:cs="仿宋_GB2312" w:eastAsia="仿宋_GB2312"/>
              </w:rPr>
              <w:t>开户银行：中国建设银⾏股份有限公司汉中莲湖东路⽀⾏</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佛坪县公安局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地址：汉中市汉台区北关街道办事处留侯路东⽅明珠⼩区临街商铺⼆楼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深入推进科技强警、智慧公安建设，构建空地一体、快速响应精准高效的现代化治安防控体系，全面提升情摄指挥、应急处突、风险防控能力。对县城街区、广场、学校、宾馆酒店、重点路段、景区、河道、林区等重点部位定时、定点自动巡航，填补监控盲区，强化治安震慑，压降各类案事件，重大安保节庆活动期间，无人机快速升空，实时回传现场人流、车流、现场秩序画面，实现空中全景掌控、精作调度警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379,860.00</w:t>
      </w:r>
    </w:p>
    <w:p>
      <w:pPr>
        <w:pStyle w:val="null3"/>
      </w:pPr>
      <w:r>
        <w:rPr>
          <w:rFonts w:ascii="仿宋_GB2312" w:hAnsi="仿宋_GB2312" w:cs="仿宋_GB2312" w:eastAsia="仿宋_GB2312"/>
        </w:rPr>
        <w:t>采购包最高限价（元）: 379,860.00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警用无人机自动机场建设项目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379,860.00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标的名称：警用无人机自动机场建设项目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4"/>
              <w:gridCol w:w="264"/>
              <w:gridCol w:w="303"/>
              <w:gridCol w:w="1672"/>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1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规格参数</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无人值守机场（核心产品）</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一、无人机机场技术参数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整机重量（不包含飞行器）：≤</w:t>
                  </w:r>
                  <w:r>
                    <w:rPr>
                      <w:rFonts w:ascii="仿宋_GB2312" w:hAnsi="仿宋_GB2312" w:cs="仿宋_GB2312" w:eastAsia="仿宋_GB2312"/>
                      <w:sz w:val="21"/>
                    </w:rPr>
                    <w:t>60kg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工作环境温度需支持</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 xml:space="preserve">C </w:t>
                  </w:r>
                  <w:r>
                    <w:rPr>
                      <w:rFonts w:ascii="仿宋_GB2312" w:hAnsi="仿宋_GB2312" w:cs="仿宋_GB2312" w:eastAsia="仿宋_GB2312"/>
                      <w:sz w:val="21"/>
                    </w:rPr>
                    <w:t xml:space="preserve">至 </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防护等级：≥</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最大允许降落风速：</w:t>
                  </w:r>
                  <w:r>
                    <w:rPr>
                      <w:rFonts w:ascii="仿宋_GB2312" w:hAnsi="仿宋_GB2312" w:cs="仿宋_GB2312" w:eastAsia="仿宋_GB2312"/>
                      <w:sz w:val="21"/>
                    </w:rPr>
                    <w:t>≥</w:t>
                  </w:r>
                  <w:r>
                    <w:rPr>
                      <w:rFonts w:ascii="仿宋_GB2312" w:hAnsi="仿宋_GB2312" w:cs="仿宋_GB2312" w:eastAsia="仿宋_GB2312"/>
                      <w:sz w:val="21"/>
                    </w:rPr>
                    <w:t>12m/s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最大运行海拔高度：</w:t>
                  </w:r>
                  <w:r>
                    <w:rPr>
                      <w:rFonts w:ascii="仿宋_GB2312" w:hAnsi="仿宋_GB2312" w:cs="仿宋_GB2312" w:eastAsia="仿宋_GB2312"/>
                      <w:sz w:val="21"/>
                    </w:rPr>
                    <w:t>≥</w:t>
                  </w:r>
                  <w:r>
                    <w:rPr>
                      <w:rFonts w:ascii="仿宋_GB2312" w:hAnsi="仿宋_GB2312" w:cs="仿宋_GB2312" w:eastAsia="仿宋_GB2312"/>
                      <w:sz w:val="21"/>
                    </w:rPr>
                    <w:t>4000</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机场采用内外环境隔离设计、灌胶保护及高防护线材连接器，恶劣环境下也能安心作业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机场需支持风速、雨量、环境温度、水浸、舱内温度、舱内湿度传感器。</w:t>
                  </w:r>
                </w:p>
                <w:p>
                  <w:pPr>
                    <w:pStyle w:val="null3"/>
                    <w:jc w:val="both"/>
                  </w:pPr>
                  <w:r>
                    <w:rPr>
                      <w:rFonts w:ascii="仿宋_GB2312" w:hAnsi="仿宋_GB2312" w:cs="仿宋_GB2312" w:eastAsia="仿宋_GB2312"/>
                      <w:sz w:val="21"/>
                      <w:b/>
                    </w:rPr>
                    <w:t>二、无人机技术参数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最大起飞重量：≥</w:t>
                  </w:r>
                  <w:r>
                    <w:rPr>
                      <w:rFonts w:ascii="仿宋_GB2312" w:hAnsi="仿宋_GB2312" w:cs="仿宋_GB2312" w:eastAsia="仿宋_GB2312"/>
                      <w:sz w:val="21"/>
                    </w:rPr>
                    <w:t>2000</w:t>
                  </w:r>
                  <w:r>
                    <w:rPr>
                      <w:rFonts w:ascii="仿宋_GB2312" w:hAnsi="仿宋_GB2312" w:cs="仿宋_GB2312" w:eastAsia="仿宋_GB2312"/>
                      <w:sz w:val="21"/>
                    </w:rPr>
                    <w:t>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对角线轴距：≤</w:t>
                  </w:r>
                  <w:r>
                    <w:rPr>
                      <w:rFonts w:ascii="仿宋_GB2312" w:hAnsi="仿宋_GB2312" w:cs="仿宋_GB2312" w:eastAsia="仿宋_GB2312"/>
                      <w:sz w:val="21"/>
                    </w:rPr>
                    <w:t>500</w:t>
                  </w:r>
                  <w:r>
                    <w:rPr>
                      <w:rFonts w:ascii="仿宋_GB2312" w:hAnsi="仿宋_GB2312" w:cs="仿宋_GB2312" w:eastAsia="仿宋_GB2312"/>
                      <w:sz w:val="21"/>
                    </w:rPr>
                    <w:t>毫米；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最大上升速度：≥</w:t>
                  </w:r>
                  <w:r>
                    <w:rPr>
                      <w:rFonts w:ascii="仿宋_GB2312" w:hAnsi="仿宋_GB2312" w:cs="仿宋_GB2312" w:eastAsia="仿宋_GB2312"/>
                      <w:sz w:val="21"/>
                    </w:rPr>
                    <w:t>10m/s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最大水平飞行速度：</w:t>
                  </w:r>
                  <w:r>
                    <w:rPr>
                      <w:rFonts w:ascii="仿宋_GB2312" w:hAnsi="仿宋_GB2312" w:cs="仿宋_GB2312" w:eastAsia="仿宋_GB2312"/>
                      <w:sz w:val="21"/>
                    </w:rPr>
                    <w:t>≥</w:t>
                  </w:r>
                  <w:r>
                    <w:rPr>
                      <w:rFonts w:ascii="仿宋_GB2312" w:hAnsi="仿宋_GB2312" w:cs="仿宋_GB2312" w:eastAsia="仿宋_GB2312"/>
                      <w:sz w:val="21"/>
                    </w:rPr>
                    <w:t>20m/s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最长飞行时间：≥</w:t>
                  </w:r>
                  <w:r>
                    <w:rPr>
                      <w:rFonts w:ascii="仿宋_GB2312" w:hAnsi="仿宋_GB2312" w:cs="仿宋_GB2312" w:eastAsia="仿宋_GB2312"/>
                      <w:sz w:val="21"/>
                    </w:rPr>
                    <w:t>50</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最大续航里程：≥</w:t>
                  </w:r>
                  <w:r>
                    <w:rPr>
                      <w:rFonts w:ascii="仿宋_GB2312" w:hAnsi="仿宋_GB2312" w:cs="仿宋_GB2312" w:eastAsia="仿宋_GB2312"/>
                      <w:sz w:val="21"/>
                    </w:rPr>
                    <w:t>40</w:t>
                  </w:r>
                  <w:r>
                    <w:rPr>
                      <w:rFonts w:ascii="仿宋_GB2312" w:hAnsi="仿宋_GB2312" w:cs="仿宋_GB2312" w:eastAsia="仿宋_GB2312"/>
                      <w:sz w:val="21"/>
                    </w:rPr>
                    <w:t>公里；</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仅支持北斗定位模式；</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广角相机：不小于</w:t>
                  </w:r>
                  <w:r>
                    <w:rPr>
                      <w:rFonts w:ascii="仿宋_GB2312" w:hAnsi="仿宋_GB2312" w:cs="仿宋_GB2312" w:eastAsia="仿宋_GB2312"/>
                      <w:sz w:val="21"/>
                    </w:rPr>
                    <w:t xml:space="preserve">1/1.3 </w:t>
                  </w:r>
                  <w:r>
                    <w:rPr>
                      <w:rFonts w:ascii="仿宋_GB2312" w:hAnsi="仿宋_GB2312" w:cs="仿宋_GB2312" w:eastAsia="仿宋_GB2312"/>
                      <w:sz w:val="21"/>
                    </w:rPr>
                    <w:t xml:space="preserve">英寸 </w:t>
                  </w:r>
                  <w:r>
                    <w:rPr>
                      <w:rFonts w:ascii="仿宋_GB2312" w:hAnsi="仿宋_GB2312" w:cs="仿宋_GB2312" w:eastAsia="仿宋_GB2312"/>
                      <w:sz w:val="21"/>
                    </w:rPr>
                    <w:t>CMOS</w:t>
                  </w:r>
                  <w:r>
                    <w:rPr>
                      <w:rFonts w:ascii="仿宋_GB2312" w:hAnsi="仿宋_GB2312" w:cs="仿宋_GB2312" w:eastAsia="仿宋_GB2312"/>
                      <w:sz w:val="21"/>
                    </w:rPr>
                    <w:t>，有效像素不低于</w:t>
                  </w:r>
                  <w:r>
                    <w:rPr>
                      <w:rFonts w:ascii="仿宋_GB2312" w:hAnsi="仿宋_GB2312" w:cs="仿宋_GB2312" w:eastAsia="仿宋_GB2312"/>
                      <w:sz w:val="21"/>
                    </w:rPr>
                    <w:t>4800</w:t>
                  </w:r>
                  <w:r>
                    <w:rPr>
                      <w:rFonts w:ascii="仿宋_GB2312" w:hAnsi="仿宋_GB2312" w:cs="仿宋_GB2312" w:eastAsia="仿宋_GB2312"/>
                      <w:sz w:val="21"/>
                    </w:rPr>
                    <w:t>万；</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中长焦相机：不小于</w:t>
                  </w:r>
                  <w:r>
                    <w:rPr>
                      <w:rFonts w:ascii="仿宋_GB2312" w:hAnsi="仿宋_GB2312" w:cs="仿宋_GB2312" w:eastAsia="仿宋_GB2312"/>
                      <w:sz w:val="21"/>
                    </w:rPr>
                    <w:t xml:space="preserve">1/1.3 </w:t>
                  </w:r>
                  <w:r>
                    <w:rPr>
                      <w:rFonts w:ascii="仿宋_GB2312" w:hAnsi="仿宋_GB2312" w:cs="仿宋_GB2312" w:eastAsia="仿宋_GB2312"/>
                      <w:sz w:val="21"/>
                    </w:rPr>
                    <w:t xml:space="preserve">英寸 </w:t>
                  </w:r>
                  <w:r>
                    <w:rPr>
                      <w:rFonts w:ascii="仿宋_GB2312" w:hAnsi="仿宋_GB2312" w:cs="仿宋_GB2312" w:eastAsia="仿宋_GB2312"/>
                      <w:sz w:val="21"/>
                    </w:rPr>
                    <w:t>CMOS</w:t>
                  </w:r>
                  <w:r>
                    <w:rPr>
                      <w:rFonts w:ascii="仿宋_GB2312" w:hAnsi="仿宋_GB2312" w:cs="仿宋_GB2312" w:eastAsia="仿宋_GB2312"/>
                      <w:sz w:val="21"/>
                    </w:rPr>
                    <w:t xml:space="preserve">，有效像素 </w:t>
                  </w:r>
                  <w:r>
                    <w:rPr>
                      <w:rFonts w:ascii="仿宋_GB2312" w:hAnsi="仿宋_GB2312" w:cs="仿宋_GB2312" w:eastAsia="仿宋_GB2312"/>
                      <w:sz w:val="21"/>
                    </w:rPr>
                    <w:t>不低于</w:t>
                  </w:r>
                  <w:r>
                    <w:rPr>
                      <w:rFonts w:ascii="仿宋_GB2312" w:hAnsi="仿宋_GB2312" w:cs="仿宋_GB2312" w:eastAsia="仿宋_GB2312"/>
                      <w:sz w:val="21"/>
                    </w:rPr>
                    <w:t>4800</w:t>
                  </w:r>
                  <w:r>
                    <w:rPr>
                      <w:rFonts w:ascii="仿宋_GB2312" w:hAnsi="仿宋_GB2312" w:cs="仿宋_GB2312" w:eastAsia="仿宋_GB2312"/>
                      <w:sz w:val="21"/>
                    </w:rPr>
                    <w:t>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长焦相机：不小于</w:t>
                  </w:r>
                  <w:r>
                    <w:rPr>
                      <w:rFonts w:ascii="仿宋_GB2312" w:hAnsi="仿宋_GB2312" w:cs="仿宋_GB2312" w:eastAsia="仿宋_GB2312"/>
                      <w:sz w:val="21"/>
                    </w:rPr>
                    <w:t xml:space="preserve">1/1.5 </w:t>
                  </w:r>
                  <w:r>
                    <w:rPr>
                      <w:rFonts w:ascii="仿宋_GB2312" w:hAnsi="仿宋_GB2312" w:cs="仿宋_GB2312" w:eastAsia="仿宋_GB2312"/>
                      <w:sz w:val="21"/>
                    </w:rPr>
                    <w:t xml:space="preserve">英寸 </w:t>
                  </w:r>
                  <w:r>
                    <w:rPr>
                      <w:rFonts w:ascii="仿宋_GB2312" w:hAnsi="仿宋_GB2312" w:cs="仿宋_GB2312" w:eastAsia="仿宋_GB2312"/>
                      <w:sz w:val="21"/>
                    </w:rPr>
                    <w:t>CMOS</w:t>
                  </w:r>
                  <w:r>
                    <w:rPr>
                      <w:rFonts w:ascii="仿宋_GB2312" w:hAnsi="仿宋_GB2312" w:cs="仿宋_GB2312" w:eastAsia="仿宋_GB2312"/>
                      <w:sz w:val="21"/>
                    </w:rPr>
                    <w:t>，有效像素不低于</w:t>
                  </w:r>
                  <w:r>
                    <w:rPr>
                      <w:rFonts w:ascii="仿宋_GB2312" w:hAnsi="仿宋_GB2312" w:cs="仿宋_GB2312" w:eastAsia="仿宋_GB2312"/>
                      <w:sz w:val="21"/>
                    </w:rPr>
                    <w:t>4500</w:t>
                  </w:r>
                  <w:r>
                    <w:rPr>
                      <w:rFonts w:ascii="仿宋_GB2312" w:hAnsi="仿宋_GB2312" w:cs="仿宋_GB2312" w:eastAsia="仿宋_GB2312"/>
                      <w:sz w:val="21"/>
                    </w:rPr>
                    <w:t>万，变焦倍数≥</w:t>
                  </w:r>
                  <w:r>
                    <w:rPr>
                      <w:rFonts w:ascii="仿宋_GB2312" w:hAnsi="仿宋_GB2312" w:cs="仿宋_GB2312" w:eastAsia="仿宋_GB2312"/>
                      <w:sz w:val="21"/>
                    </w:rPr>
                    <w:t>100</w:t>
                  </w:r>
                  <w:r>
                    <w:rPr>
                      <w:rFonts w:ascii="仿宋_GB2312" w:hAnsi="仿宋_GB2312" w:cs="仿宋_GB2312" w:eastAsia="仿宋_GB2312"/>
                      <w:sz w:val="21"/>
                    </w:rPr>
                    <w:t>倍；</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热成像相机：相机分辨率不低于</w:t>
                  </w:r>
                  <w:r>
                    <w:rPr>
                      <w:rFonts w:ascii="仿宋_GB2312" w:hAnsi="仿宋_GB2312" w:cs="仿宋_GB2312" w:eastAsia="仿宋_GB2312"/>
                      <w:sz w:val="21"/>
                    </w:rPr>
                    <w:t>640</w:t>
                  </w:r>
                  <w:r>
                    <w:rPr>
                      <w:rFonts w:ascii="仿宋_GB2312" w:hAnsi="仿宋_GB2312" w:cs="仿宋_GB2312" w:eastAsia="仿宋_GB2312"/>
                      <w:sz w:val="21"/>
                    </w:rPr>
                    <w:t>×</w:t>
                  </w:r>
                  <w:r>
                    <w:rPr>
                      <w:rFonts w:ascii="仿宋_GB2312" w:hAnsi="仿宋_GB2312" w:cs="仿宋_GB2312" w:eastAsia="仿宋_GB2312"/>
                      <w:sz w:val="21"/>
                    </w:rPr>
                    <w:t>512</w:t>
                  </w:r>
                  <w:r>
                    <w:rPr>
                      <w:rFonts w:ascii="仿宋_GB2312" w:hAnsi="仿宋_GB2312" w:cs="仿宋_GB2312" w:eastAsia="仿宋_GB2312"/>
                      <w:sz w:val="21"/>
                    </w:rPr>
                    <w:t>，支持点测温、区域测温；</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配备近红外补光灯；</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配备激光模块，激光测距距离不少于</w:t>
                  </w:r>
                  <w:r>
                    <w:rPr>
                      <w:rFonts w:ascii="仿宋_GB2312" w:hAnsi="仿宋_GB2312" w:cs="仿宋_GB2312" w:eastAsia="仿宋_GB2312"/>
                      <w:sz w:val="21"/>
                    </w:rPr>
                    <w:t>1500</w:t>
                  </w:r>
                  <w:r>
                    <w:rPr>
                      <w:rFonts w:ascii="仿宋_GB2312" w:hAnsi="仿宋_GB2312" w:cs="仿宋_GB2312" w:eastAsia="仿宋_GB2312"/>
                      <w:sz w:val="21"/>
                    </w:rPr>
                    <w:t>米。</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无人机机场及无人机保险</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年</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每套机场需提供至少两年的无人机及机场保险；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保险需设置保障额度，额度与设备本身价值相当，</w:t>
                  </w:r>
                  <w:r>
                    <w:rPr>
                      <w:rFonts w:ascii="仿宋_GB2312" w:hAnsi="仿宋_GB2312" w:cs="仿宋_GB2312" w:eastAsia="仿宋_GB2312"/>
                      <w:sz w:val="21"/>
                    </w:rPr>
                    <w:t>在保障范围内可以通过额度扣减的形式享受免费维修或置换服务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提供每年两块电池免费换新服务。</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无人机管理软件</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支持远程控制，通过鼠标和键盘，远程轻松控制无人机；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支持持续跟踪车辆、船只等目标，大幅提升观察效率；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支持指点飞行，一键标注目标位置后，平台将自动规划最优路径，并指引无人机快速抵达现场，提升应急响应效率；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支持虚拟座舱，</w:t>
                  </w:r>
                  <w:r>
                    <w:rPr>
                      <w:rFonts w:ascii="仿宋_GB2312" w:hAnsi="仿宋_GB2312" w:cs="仿宋_GB2312" w:eastAsia="仿宋_GB2312"/>
                      <w:sz w:val="21"/>
                    </w:rPr>
                    <w:t>在虚拟座舱中，平台支持通过文字或图片输入来检索任意目标类型。大模型能够精准理解需求、检测目标并发出告警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管理软件需提供三年服务，提供相应的直播及存储容量。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安装部署</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提供无人机机场前期实地勘察、选址等服务。；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提供无人机机场的现场安装、部署、调试服务。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响应服务，</w:t>
                  </w:r>
                  <w:r>
                    <w:rPr>
                      <w:rFonts w:ascii="仿宋_GB2312" w:hAnsi="仿宋_GB2312" w:cs="仿宋_GB2312" w:eastAsia="仿宋_GB2312"/>
                      <w:sz w:val="21"/>
                    </w:rPr>
                    <w:t>48</w:t>
                  </w:r>
                  <w:r>
                    <w:rPr>
                      <w:rFonts w:ascii="仿宋_GB2312" w:hAnsi="仿宋_GB2312" w:cs="仿宋_GB2312" w:eastAsia="仿宋_GB2312"/>
                      <w:sz w:val="21"/>
                    </w:rPr>
                    <w:t>小时现场处置服务。</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探照灯</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重量：≤</w:t>
                  </w:r>
                  <w:r>
                    <w:rPr>
                      <w:rFonts w:ascii="仿宋_GB2312" w:hAnsi="仿宋_GB2312" w:cs="仿宋_GB2312" w:eastAsia="仿宋_GB2312"/>
                      <w:sz w:val="21"/>
                    </w:rPr>
                    <w:t>100</w:t>
                  </w:r>
                  <w:r>
                    <w:rPr>
                      <w:rFonts w:ascii="仿宋_GB2312" w:hAnsi="仿宋_GB2312" w:cs="仿宋_GB2312" w:eastAsia="仿宋_GB2312"/>
                      <w:sz w:val="21"/>
                    </w:rPr>
                    <w:t>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最大功率：≥</w:t>
                  </w:r>
                  <w:r>
                    <w:rPr>
                      <w:rFonts w:ascii="仿宋_GB2312" w:hAnsi="仿宋_GB2312" w:cs="仿宋_GB2312" w:eastAsia="仿宋_GB2312"/>
                      <w:sz w:val="21"/>
                    </w:rPr>
                    <w:t>30</w:t>
                  </w:r>
                  <w:r>
                    <w:rPr>
                      <w:rFonts w:ascii="仿宋_GB2312" w:hAnsi="仿宋_GB2312" w:cs="仿宋_GB2312" w:eastAsia="仿宋_GB2312"/>
                      <w:sz w:val="21"/>
                    </w:rPr>
                    <w:t>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有效照明角度：≥</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有效照明面积：</w:t>
                  </w:r>
                  <w:r>
                    <w:rPr>
                      <w:rFonts w:ascii="仿宋_GB2312" w:hAnsi="仿宋_GB2312" w:cs="仿宋_GB2312" w:eastAsia="仿宋_GB2312"/>
                      <w:sz w:val="21"/>
                    </w:rPr>
                    <w:t>≥</w:t>
                  </w:r>
                  <w:r>
                    <w:rPr>
                      <w:rFonts w:ascii="仿宋_GB2312" w:hAnsi="仿宋_GB2312" w:cs="仿宋_GB2312" w:eastAsia="仿宋_GB2312"/>
                      <w:sz w:val="21"/>
                    </w:rPr>
                    <w:t>2000</w:t>
                  </w:r>
                  <w:r>
                    <w:rPr>
                      <w:rFonts w:ascii="仿宋_GB2312" w:hAnsi="仿宋_GB2312" w:cs="仿宋_GB2312" w:eastAsia="仿宋_GB2312"/>
                      <w:sz w:val="21"/>
                    </w:rPr>
                    <w:t>平方米；</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支持常亮、爆闪两种工作方式。</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喊话器</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重量：≤</w:t>
                  </w:r>
                  <w:r>
                    <w:rPr>
                      <w:rFonts w:ascii="仿宋_GB2312" w:hAnsi="仿宋_GB2312" w:cs="仿宋_GB2312" w:eastAsia="仿宋_GB2312"/>
                      <w:sz w:val="21"/>
                    </w:rPr>
                    <w:t>95</w:t>
                  </w:r>
                  <w:r>
                    <w:rPr>
                      <w:rFonts w:ascii="仿宋_GB2312" w:hAnsi="仿宋_GB2312" w:cs="仿宋_GB2312" w:eastAsia="仿宋_GB2312"/>
                      <w:sz w:val="21"/>
                    </w:rPr>
                    <w:t>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最大响度：≥</w:t>
                  </w:r>
                  <w:r>
                    <w:rPr>
                      <w:rFonts w:ascii="仿宋_GB2312" w:hAnsi="仿宋_GB2312" w:cs="仿宋_GB2312" w:eastAsia="仿宋_GB2312"/>
                      <w:sz w:val="21"/>
                    </w:rPr>
                    <w:t>110</w:t>
                  </w:r>
                  <w:r>
                    <w:rPr>
                      <w:rFonts w:ascii="仿宋_GB2312" w:hAnsi="仿宋_GB2312" w:cs="仿宋_GB2312" w:eastAsia="仿宋_GB2312"/>
                      <w:sz w:val="21"/>
                    </w:rPr>
                    <w:t>分贝；</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有效广播距离：</w:t>
                  </w:r>
                  <w:r>
                    <w:rPr>
                      <w:rFonts w:ascii="仿宋_GB2312" w:hAnsi="仿宋_GB2312" w:cs="仿宋_GB2312" w:eastAsia="仿宋_GB2312"/>
                      <w:sz w:val="21"/>
                    </w:rPr>
                    <w:t>≥</w:t>
                  </w:r>
                  <w:r>
                    <w:rPr>
                      <w:rFonts w:ascii="仿宋_GB2312" w:hAnsi="仿宋_GB2312" w:cs="仿宋_GB2312" w:eastAsia="仿宋_GB2312"/>
                      <w:sz w:val="21"/>
                    </w:rPr>
                    <w:t>250</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支持实时喊话、媒体导入、录音喊话、文字转语音功能；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防护等级：≥</w:t>
                  </w:r>
                  <w:r>
                    <w:rPr>
                      <w:rFonts w:ascii="仿宋_GB2312" w:hAnsi="仿宋_GB2312" w:cs="仿宋_GB2312" w:eastAsia="仿宋_GB2312"/>
                      <w:sz w:val="21"/>
                    </w:rPr>
                    <w:t>IP55</w:t>
                  </w:r>
                  <w:r>
                    <w:rPr>
                      <w:rFonts w:ascii="仿宋_GB2312" w:hAnsi="仿宋_GB2312" w:cs="仿宋_GB2312" w:eastAsia="仿宋_GB2312"/>
                      <w:sz w:val="21"/>
                    </w:rPr>
                    <w:t>。</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4g</w:t>
                  </w:r>
                  <w:r>
                    <w:rPr>
                      <w:rFonts w:ascii="仿宋_GB2312" w:hAnsi="仿宋_GB2312" w:cs="仿宋_GB2312" w:eastAsia="仿宋_GB2312"/>
                      <w:sz w:val="21"/>
                    </w:rPr>
                    <w:t>模块</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在原有图传的基础上，与</w:t>
                  </w:r>
                  <w:r>
                    <w:rPr>
                      <w:rFonts w:ascii="仿宋_GB2312" w:hAnsi="仿宋_GB2312" w:cs="仿宋_GB2312" w:eastAsia="仿宋_GB2312"/>
                      <w:sz w:val="21"/>
                    </w:rPr>
                    <w:t xml:space="preserve">4G </w:t>
                  </w:r>
                  <w:r>
                    <w:rPr>
                      <w:rFonts w:ascii="仿宋_GB2312" w:hAnsi="仿宋_GB2312" w:cs="仿宋_GB2312" w:eastAsia="仿宋_GB2312"/>
                      <w:sz w:val="21"/>
                    </w:rPr>
                    <w:t xml:space="preserve">网络共同协作，如原有图传信号受遮挡或干扰，用户仍可借助 </w:t>
                  </w:r>
                  <w:r>
                    <w:rPr>
                      <w:rFonts w:ascii="仿宋_GB2312" w:hAnsi="仿宋_GB2312" w:cs="仿宋_GB2312" w:eastAsia="仿宋_GB2312"/>
                      <w:sz w:val="21"/>
                    </w:rPr>
                    <w:t xml:space="preserve">4G </w:t>
                  </w:r>
                  <w:r>
                    <w:rPr>
                      <w:rFonts w:ascii="仿宋_GB2312" w:hAnsi="仿宋_GB2312" w:cs="仿宋_GB2312" w:eastAsia="仿宋_GB2312"/>
                      <w:sz w:val="21"/>
                    </w:rPr>
                    <w:t>网络操控无人机，降低断开连接的几率。</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三者险</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年</w:t>
                  </w:r>
                </w:p>
              </w:tc>
              <w:tc>
                <w:tcPr>
                  <w:tcW w:type="dxa" w:w="1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100</w:t>
                  </w:r>
                  <w:r>
                    <w:rPr>
                      <w:rFonts w:ascii="仿宋_GB2312" w:hAnsi="仿宋_GB2312" w:cs="仿宋_GB2312" w:eastAsia="仿宋_GB2312"/>
                      <w:sz w:val="21"/>
                    </w:rPr>
                    <w:t>万元的第三者责任险，用于承担使用飞行器产品的过程中因意外事故造成第三者的人身伤亡或财产损失。</w:t>
                  </w:r>
                </w:p>
              </w:tc>
            </w:tr>
          </w:tbl>
          <w:p>
            <w:pPr>
              <w:pStyle w:val="null3"/>
            </w:pPr>
            <w:r>
              <w:rPr>
                <w:rFonts w:ascii="仿宋_GB2312" w:hAnsi="仿宋_GB2312" w:cs="仿宋_GB2312" w:eastAsia="仿宋_GB2312"/>
                <w:sz w:val="21"/>
              </w:rPr>
              <w:t>“★”项需提供技术指标的佐证材料（佐证材料包括但不限于截图说明、检测报告、官网彩页说明等任意一项均可），予以证明其技术参数的响应性，若提供虚假证明材料或未提供，将按照无效投标处理。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拟选址县公安局大楼，最终以现场勘察、安装条件为准。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进度款，设备安装完成，验收合格后，达到付款条件起10个工作日内，支付合同总金额的100.0%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无人机及机场质保期一年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投标⽂件有效期</w:t>
            </w:r>
          </w:p>
        </w:tc>
        <w:tc>
          <w:tcPr>
            <w:tcW w:type="dxa" w:w="3322"/>
          </w:tcPr>
          <w:p>
            <w:pPr>
              <w:pStyle w:val="null3"/>
            </w:pPr>
            <w:r>
              <w:rPr>
                <w:rFonts w:ascii="仿宋_GB2312" w:hAnsi="仿宋_GB2312" w:cs="仿宋_GB2312" w:eastAsia="仿宋_GB2312"/>
              </w:rPr>
              <w:t>投标⽂件有效期符合招标⽂件要求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符合招标⽂件要求，投标⽂件内容⻬全、⽆遗漏</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法定代表人身份证明或授权委托书.docx 投标分项报价表.docx 产品技术参数表 非联合体声明.docx 技术偏离表.docx 投标函 拟投入本项目人员配置情况表.docx 残疾人福利性单位声明函 产品来源渠道.docx 标的清单 投标文件封面 业绩相关证明材料.docx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带“★”符合“技术参数与性能指标”要求，⽆偏差</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法定代表人身份证明或授权委托书.docx 投标分项报价表.docx 产品技术参数表 非联合体声明.docx 技术偏离表.docx 投标函 拟投入本项目人员配置情况表.docx 残疾人福利性单位声明函 产品来源渠道.docx 标的清单 投标文件封面 业绩相关证明材料.docx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供应商提供2023年1月1日至今完成的类似项目业绩，每提供一份得2.5分，最高得5分。注：业绩须是供应商完成的类似项目，以成交通知书或协议书（合同）加盖单位公章的复印件为准。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招标文件第三章参数要求除标★外，其他参数无负偏离的全部满足计30分，负偏离一项指标或缺失一项指标扣1分，30分扣完为止，不计负分，正偏离不加分。以技术响应偏离表为准，投标人提供虚假响应将承担法律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避免出现侵权等行为，投标人所投核心产品应货源正规，提供不限于厂家证明或厂家授权或代理协议等证明材料，此项最高得5分： ①来源渠道明确，证明材料中品牌型号与投标产品相对应计5分； ②来源渠道不明确或证明材料中的品牌型号与投标产品不能完全对应计3分； ③无来源证明或证明材料与投标产品完全不对应，仅提供有投标产品品牌型号清单计1分，未提供不计分。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项目团队：投入本项目人员须为投标单位在职人员，提供证明材料，否则不计分。 ①投入本项目人员在5人及以上的计6分； ②提供2人及以上、5人以下计3分； ③提供2人以下计1分；未提供不计分。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供货承诺</w:t>
            </w:r>
          </w:p>
        </w:tc>
        <w:tc>
          <w:tcPr>
            <w:tcW w:type="dxa" w:w="2492"/>
          </w:tcPr>
          <w:p>
            <w:pPr>
              <w:pStyle w:val="null3"/>
            </w:pPr>
            <w:r>
              <w:rPr>
                <w:rFonts w:ascii="仿宋_GB2312" w:hAnsi="仿宋_GB2312" w:cs="仿宋_GB2312" w:eastAsia="仿宋_GB2312"/>
              </w:rPr>
              <w:t>一、评审内容：供应商提供承诺，包含①质保承诺②交付承诺③培训承诺④运维保障承诺。二、评审标准：完整覆盖质保、交付、培训、运维四大核心内容，内容真实、具体、可落地，无空泛表述。三、赋分标准：每提供一项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实施进度规划与管控②现场勘察与选址③安装部署与系统调试④试运行与交付安排。二、评审标准：以上内容全面详细、阐述条理清晰详尽、可落地实施符合本项目需求得12分。三、赋分标准：评审内容每缺一项扣3分，评审内容有缺陷的扣1分，未提供不得分。 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为采购人培训操作维护人员，以保障使用过程中能熟练操作、维护和正常使用，培训方案内容包含①培训内容②培训计划安排。二、评审标准：以上内容全面详细、阐述条理清晰详尽、可落地实施符合本项目需求得4分。三、赋分标准：评审内容每缺一项扣2分，评审内容有缺陷的扣0.5分，未提供不得分。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提供售后服务计划，包含：①售后服务内容及方式②售后服务响应时间与处理时间。二、评审标准：以上内容全面详细、阐述条理清晰详尽、可落地实施符合本项目需求得4分。三、赋分标准：评审内容每缺一项扣2分，评审内容有缺陷的扣0.5分，未提供不得分。注：缺陷是指内容不合理、逻辑漏洞、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1、上限为最高限价，即报价大于上限价视为无效标； 2、以满足本次采购文件要求的最低报价为评审基准价，其价格为满分； 3、供应商报价得分=（评审基准价/最终报价）*30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详见附件：产品来源渠道.docx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