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版本号：KY2026-1-51320260514001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办公用房租赁采购</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KY2026-1-513</w:t>
      </w:r>
      <w:r>
        <w:br/>
      </w:r>
      <w:r>
        <w:br/>
      </w:r>
      <w:r>
        <w:br/>
      </w:r>
    </w:p>
    <w:p>
      <w:pPr>
        <w:pStyle w:val="null3"/>
        <w:jc w:val="center"/>
        <w:outlineLvl w:val="5"/>
      </w:pPr>
      <w:r>
        <w:rPr>
          <w:rFonts w:ascii="仿宋_GB2312" w:hAnsi="仿宋_GB2312" w:cs="仿宋_GB2312" w:eastAsia="仿宋_GB2312"/>
          <w:sz w:val="15"/>
          <w:b/>
        </w:rPr>
        <w:t>西安市劳动人事争议仲裁院</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西安市劳动人事争议仲裁院</w:t>
      </w:r>
      <w:r>
        <w:rPr>
          <w:rFonts w:ascii="仿宋_GB2312" w:hAnsi="仿宋_GB2312" w:cs="仿宋_GB2312" w:eastAsia="仿宋_GB2312"/>
        </w:rPr>
        <w:t>委托，拟对</w:t>
      </w:r>
      <w:r>
        <w:rPr>
          <w:rFonts w:ascii="仿宋_GB2312" w:hAnsi="仿宋_GB2312" w:cs="仿宋_GB2312" w:eastAsia="仿宋_GB2312"/>
        </w:rPr>
        <w:t>办公用房租赁采购</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KY2026-1-513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办公用房租赁采购</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西安市劳动人事争议仲裁院西安市劳动人事争议仲裁院办公用房租赁采购项目，具体内容详见单一来源采购文件第三部分。</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采购包1（办公用房租赁采购）：属于专门面向中小企业采购。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8、声明函：本项目专门面向中小企业采购，供应商应为中小微企业或监狱企业或残疾人福利性单位，并提供声明函。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西安市劳动人事争议仲裁院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西安市碑林区盐店街18号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029-82284257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缴纳成交服务费，交费金额参照国家计委颁布的《招标代理服务收费管理暂行办法》（计价格[2002]1980号）及发改办价格[2003]857号文件的规定标准执行。 2、本项目代理服务费按服务计取。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西安市劳动人事争议仲裁院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西安市劳动人事争议仲裁院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西安市劳动人事争议仲裁院西安市劳动人事争议仲裁院办公用房租赁采购项目</w:t>
      </w:r>
      <w:r>
        <w:rPr>
          <w:rFonts w:ascii="仿宋_GB2312" w:hAnsi="仿宋_GB2312" w:cs="仿宋_GB2312" w:eastAsia="仿宋_GB2312"/>
        </w:rPr>
        <w:t>，具体内容详见单一来源采购文件第三部分。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一幢房屋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一幢</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标的名称：一幢房屋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1、西安市劳动人事争议仲裁院（西安市劳动保障维权中心）位于西安市碑林区盐店街18号，现需租赁房屋用于办公以履行相关政府职能，包括仲裁案件受理、案件审理、案件调解、接待群众等。</w:t>
            </w:r>
          </w:p>
          <w:p>
            <w:pPr>
              <w:pStyle w:val="null3"/>
            </w:pPr>
            <w:r>
              <w:rPr>
                <w:rFonts w:ascii="仿宋_GB2312" w:hAnsi="仿宋_GB2312" w:cs="仿宋_GB2312" w:eastAsia="仿宋_GB2312"/>
              </w:rPr>
              <w:t>2、本次租赁办公用房建筑面积约1625.26平方米，其中包括办公用房、仲裁庭、资料室、库房等用途的房间。该幢房屋应提供水、电、天然气等基础配套设施。水、天然气、电费、垃圾清理费等按国家或我市标准收取，宽带、固定电话应安装入户（费用由承租人自理）。出租的房屋还应按照国家规定提供其他相关后续服务。</w:t>
            </w:r>
          </w:p>
          <w:p>
            <w:pPr>
              <w:pStyle w:val="null3"/>
              <w:jc w:val="both"/>
            </w:pPr>
            <w:r>
              <w:rPr>
                <w:rFonts w:ascii="仿宋_GB2312" w:hAnsi="仿宋_GB2312" w:cs="仿宋_GB2312" w:eastAsia="仿宋_GB2312"/>
                <w:sz w:val="21"/>
              </w:rPr>
              <w:t>3、出租人应提供确保房屋使用的基础服务，包括但不限于房屋基础结构的维护、维修，附属设施设备（供电、给排水等）的维护、维修，保证其出租房屋附属停车场地的正常使用。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根据采购文件及合同规定执行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根据采购文件及合同规定执行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西安市劳动人事争议仲裁院指定地点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根据采购文件及合同规定执行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双方友好协商解决，协商不成时可诉讼到采购人所在地人民法院解决。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1、采购文件要求签字或盖章之处，非法人单位均参照执行。 2、供应商需要在线提交所有通过电子化交易平台实施的政府采购项目的响应文件，同时，线下提交纸质响应文件正本壹份、副本贰份、电子版壹份（U盘一套标明投标人名称，单独密封），纸质响应文件双面打印。 3、线下纸质响应文件递交截止时间：同在线递交电子响应文件截止时间一致；线下纸质响应文件递交地点：西安市雁展路1111号莱安中心T6-15层。如需邮寄投标文件，仅接受顺丰速运（联系人：杨子雨、联系电话：029-81206622-822）。 4、保证金的退还：自采购合同签订之日起5个工作日内退还成交供应商的投标保证金。 5、采购人应按照采购文件和成交供应商响应文件，在成交通知书发出之日起25日内签订合同。 6、需要落实的政府采购政策：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市场监管总局关于调整优化节能产品环境标志产品政府采购执行机制的通知》（财库〔2019〕9号） （4）《关于促进残疾人就业政府采购政策的通知》（财库[2017]141号） （5）《关于运用政府采购政策支持乡村产业振兴的通知》财库〔2021〕19号 （6）《陕西省财政厅关于印发&lt;陕西省中小企业政府采购信用融资办法&gt;的通知》（陕财办采〔2018〕23号） （7）《关于进一步加大政府采购支持中小企业力度的通知》财库〔2022〕19号 （8）《关于推动解决政府采购异常低价问题的通知》财库〔2026〕2号 （9）其他需要落实的政府采购政策。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 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本项目专门面向中小企业采购，供应商应为中小微企业或监狱企业或残疾人福利性单位，并提供声明函。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本采购包专门面向中小企业采购</w:t>
            </w:r>
          </w:p>
        </w:tc>
        <w:tc>
          <w:tcPr>
            <w:tcW w:type="dxa" w:w="3322"/>
          </w:tcPr>
          <w:p>
            <w:pPr>
              <w:pStyle w:val="null3"/>
            </w:pPr>
            <w:r>
              <w:rPr>
                <w:rFonts w:ascii="仿宋_GB2312" w:hAnsi="仿宋_GB2312" w:cs="仿宋_GB2312" w:eastAsia="仿宋_GB2312"/>
              </w:rPr>
              <w:t xml:space="preserve"> 本采购包专门面向中小企业采购</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 报价表、分项报价表.docx 报价表 供应商承诺书.docx 商务条款响应说明.docx 响应文件封面 残疾人福利性单位声明函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响应方案说明.docx 中小企业声明函 报价表、分项报价表.docx 报价表 供应商承诺书.docx 商务条款响应说明.docx 响应文件封面 残疾人福利性单位声明函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响应方案说明.docx 中小企业声明函 报价表、分项报价表.docx 报价表 供应商承诺书.docx 商务条款响应说明.docx 响应文件封面 残疾人福利性单位声明函 标的清单 服务内容及服务要求应答表.docx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响应方案说明.docx 中小企业声明函 报价表、分项报价表.docx 报价表 供应商承诺书.docx 商务条款响应说明.docx 响应文件封面 残疾人福利性单位声明函 标的清单 服务内容及服务要求应答表.docx 供应商资格证明文件.docx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