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版本号：SXDY-2026-19820260626001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乾县高铁新城学校教学设备采购项目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SXDY-2026-198</w:t>
      </w:r>
      <w:r>
        <w:br/>
      </w:r>
      <w:r>
        <w:br/>
      </w:r>
      <w:r>
        <w:br/>
      </w:r>
    </w:p>
    <w:p>
      <w:pPr>
        <w:pStyle w:val="null3"/>
        <w:jc w:val="center"/>
        <w:outlineLvl w:val="2"/>
      </w:pPr>
      <w:r>
        <w:rPr>
          <w:rFonts w:ascii="仿宋_GB2312" w:hAnsi="仿宋_GB2312" w:cs="仿宋_GB2312" w:eastAsia="仿宋_GB2312"/>
          <w:sz w:val="28"/>
          <w:b/>
        </w:rPr>
        <w:t>乾县城关亓父小学</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乾县城关亓父小学</w:t>
      </w:r>
      <w:r>
        <w:rPr>
          <w:rFonts w:ascii="仿宋_GB2312" w:hAnsi="仿宋_GB2312" w:cs="仿宋_GB2312" w:eastAsia="仿宋_GB2312"/>
        </w:rPr>
        <w:t>委托，拟对</w:t>
      </w:r>
      <w:r>
        <w:rPr>
          <w:rFonts w:ascii="仿宋_GB2312" w:hAnsi="仿宋_GB2312" w:cs="仿宋_GB2312" w:eastAsia="仿宋_GB2312"/>
        </w:rPr>
        <w:t>乾县高铁新城学校教学设备采购项目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乾县高铁新城学校教学设备采购项目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为改善办学条件，现申请采购以下设备：智慧⿊板17套、可躺式课桌椅820套。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企业法人、事业法人、其他组织或自然人：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pPr>
        <w:pStyle w:val="null3"/>
      </w:pPr>
      <w:r>
        <w:rPr>
          <w:rFonts w:ascii="仿宋_GB2312" w:hAnsi="仿宋_GB2312" w:cs="仿宋_GB2312" w:eastAsia="仿宋_GB2312"/>
        </w:rPr>
        <w:t>2、供应商应授权合法的人员参加投标：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和被授权代表开标截⽌前六个⽉内任意⼀个⽉在本单位的社会保险缴纳证明。</w:t>
      </w:r>
    </w:p>
    <w:p>
      <w:pPr>
        <w:pStyle w:val="null3"/>
      </w:pPr>
      <w:r>
        <w:rPr>
          <w:rFonts w:ascii="仿宋_GB2312" w:hAnsi="仿宋_GB2312" w:cs="仿宋_GB2312" w:eastAsia="仿宋_GB2312"/>
        </w:rPr>
        <w:t>3、供应商应提供健全的财务会计制度：供应商需提2025年度的财务报告（至少包括财务报告、资产负债表、利润表（或损益表）、现金流量表，成立时间至递交投标文件截止时间不足一年的可提供成立后任意时段的资产负债表），或其开标前三个月内基本存款账户开户银行出具的资信证明及基本存款账户开户信息，其他组织和自然人提供银行出具的资信证明或财务报表。</w:t>
      </w:r>
    </w:p>
    <w:p>
      <w:pPr>
        <w:pStyle w:val="null3"/>
      </w:pPr>
      <w:r>
        <w:rPr>
          <w:rFonts w:ascii="仿宋_GB2312" w:hAnsi="仿宋_GB2312" w:cs="仿宋_GB2312" w:eastAsia="仿宋_GB2312"/>
        </w:rPr>
        <w:t>4、税收缴纳证明：供应商提供投标文件递交截止时间前六个月内任意一月已缴纳的纳税证明或完税证明，依法免税的供应商应提供相关证明文件。</w:t>
      </w:r>
    </w:p>
    <w:p>
      <w:pPr>
        <w:pStyle w:val="null3"/>
      </w:pPr>
      <w:r>
        <w:rPr>
          <w:rFonts w:ascii="仿宋_GB2312" w:hAnsi="仿宋_GB2312" w:cs="仿宋_GB2312" w:eastAsia="仿宋_GB2312"/>
        </w:rPr>
        <w:t>5、社保缴纳证明：供应商提供投标文件递交截止时间前六个月内任意一月已缴存的社会保障资金缴费证明或参保证明，依法不需要缴纳社会保障资金的供应商应提供相关证明文件。</w:t>
      </w:r>
    </w:p>
    <w:p>
      <w:pPr>
        <w:pStyle w:val="null3"/>
      </w:pPr>
      <w:r>
        <w:rPr>
          <w:rFonts w:ascii="仿宋_GB2312" w:hAnsi="仿宋_GB2312" w:cs="仿宋_GB2312" w:eastAsia="仿宋_GB2312"/>
        </w:rPr>
        <w:t>6、无重大违法记录：参加政府采购活动前3年内，在经营活动中没有重大违法记录的书面声明。</w:t>
      </w:r>
    </w:p>
    <w:p>
      <w:pPr>
        <w:pStyle w:val="null3"/>
      </w:pPr>
      <w:r>
        <w:rPr>
          <w:rFonts w:ascii="仿宋_GB2312" w:hAnsi="仿宋_GB2312" w:cs="仿宋_GB2312" w:eastAsia="仿宋_GB2312"/>
        </w:rPr>
        <w:t>7、具有履行合同所必需的设备和专业技术能力：供应商应具有履行合同所必需的设备和专业技术能力，提供承诺书。</w:t>
      </w:r>
    </w:p>
    <w:p>
      <w:pPr>
        <w:pStyle w:val="null3"/>
      </w:pPr>
      <w:r>
        <w:rPr>
          <w:rFonts w:ascii="仿宋_GB2312" w:hAnsi="仿宋_GB2312" w:cs="仿宋_GB2312" w:eastAsia="仿宋_GB2312"/>
        </w:rPr>
        <w:t>8、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9、非联合体投标声明：本项目不接受联合体，提供非联合体投标声明。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乾县城关亓父小学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乾县城关镇亓父村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殷娟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15596709038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13488494204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代理服务费收费标准：参照国家计委关于印发《招标代理服务收费管理暂行办法》的通知（计价格〔2002〕1980号）、国家发改委文件发改价格【2011】534号文规定向中标（成交）供应商收取代理服务费。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乾县城关亓父小学</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乾县城关亓父小学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乾县城关亓父小学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参数不低于采购清单技术指标，符合国家强制安全、环保标准，全部设备可稳定正常运行，无功能缺失、硬件损坏，供货数量完整、配套配件、耗材、软件授权齐全，安装施工规范，场地清理完毕，无安全隐患。全部指标满⾜要求为合格，不合格项限期整改复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联系电话：13488494204</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为改善办学条件，现申请采购以下设备：智慧黑板17套、可躺式课桌椅820套。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980,700.00</w:t>
      </w:r>
    </w:p>
    <w:p>
      <w:pPr>
        <w:pStyle w:val="null3"/>
      </w:pPr>
      <w:r>
        <w:rPr>
          <w:rFonts w:ascii="仿宋_GB2312" w:hAnsi="仿宋_GB2312" w:cs="仿宋_GB2312" w:eastAsia="仿宋_GB2312"/>
        </w:rPr>
        <w:t>采购包最高限价（元）: 980,700.00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乾县高铁新城学校教学设备采购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标的名称：乾县高铁新城学校教学设备采购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智慧黑板（17套）（核心产品）</w:t>
            </w:r>
          </w:p>
          <w:p>
            <w:pPr>
              <w:pStyle w:val="null3"/>
            </w:pPr>
            <w:r>
              <w:rPr>
                <w:rFonts w:ascii="仿宋_GB2312" w:hAnsi="仿宋_GB2312" w:cs="仿宋_GB2312" w:eastAsia="仿宋_GB2312"/>
                <w:sz w:val="21"/>
                <w:color w:val="333333"/>
                <w:shd w:fill="FDFEFE" w:val="clear"/>
              </w:rPr>
              <w:t xml:space="preserve">1.整机屏幕需采用86英寸UHD超高清A规LED液晶屏，显示比例16:9，屏幕图像分辨率≥3840*2160。         </w:t>
            </w:r>
          </w:p>
          <w:p>
            <w:pPr>
              <w:pStyle w:val="null3"/>
            </w:pPr>
            <w:r>
              <w:rPr>
                <w:rFonts w:ascii="仿宋_GB2312" w:hAnsi="仿宋_GB2312" w:cs="仿宋_GB2312" w:eastAsia="仿宋_GB2312"/>
                <w:sz w:val="21"/>
                <w:color w:val="333333"/>
                <w:shd w:fill="FDFEFE" w:val="clear"/>
              </w:rPr>
              <w:t xml:space="preserve">2.整体外观尺寸：宽≥4200mm，高≥1200mm，厚≤106mm。整机需采用三拼接平面一体化设计。           </w:t>
            </w:r>
          </w:p>
          <w:p>
            <w:pPr>
              <w:pStyle w:val="null3"/>
            </w:pPr>
            <w:r>
              <w:rPr>
                <w:rFonts w:ascii="仿宋_GB2312" w:hAnsi="仿宋_GB2312" w:cs="仿宋_GB2312" w:eastAsia="仿宋_GB2312"/>
                <w:sz w:val="21"/>
                <w:color w:val="333333"/>
                <w:shd w:fill="FDFEFE" w:val="clear"/>
              </w:rPr>
              <w:t>3.整机采用内置摄像头、麦克风，无需外接线材连接和任何可见外接线材及模块化拼接痕迹，不占用整机外部设备接口。</w:t>
            </w:r>
          </w:p>
          <w:p>
            <w:pPr>
              <w:pStyle w:val="null3"/>
            </w:pPr>
            <w:r>
              <w:rPr>
                <w:rFonts w:ascii="仿宋_GB2312" w:hAnsi="仿宋_GB2312" w:cs="仿宋_GB2312" w:eastAsia="仿宋_GB2312"/>
                <w:sz w:val="21"/>
                <w:color w:val="333333"/>
                <w:shd w:fill="FDFEFE" w:val="clear"/>
              </w:rPr>
              <w:t>4.整机 Android 系统版本不低于Android 14，内存≥4GB，存储空间≥32GB。</w:t>
            </w:r>
          </w:p>
          <w:p>
            <w:pPr>
              <w:pStyle w:val="null3"/>
            </w:pPr>
            <w:r>
              <w:rPr>
                <w:rFonts w:ascii="仿宋_GB2312" w:hAnsi="仿宋_GB2312" w:cs="仿宋_GB2312" w:eastAsia="仿宋_GB2312"/>
                <w:sz w:val="21"/>
                <w:color w:val="333333"/>
                <w:shd w:fill="FDFEFE" w:val="clear"/>
              </w:rPr>
              <w:t>5.整机内置2.2声道扬声器，位于设备下边框出音，20W全频扬声器2个，10W高音扬声器2个，总功率60W。</w:t>
            </w:r>
          </w:p>
          <w:p>
            <w:pPr>
              <w:pStyle w:val="null3"/>
            </w:pPr>
            <w:r>
              <w:rPr>
                <w:rFonts w:ascii="仿宋_GB2312" w:hAnsi="仿宋_GB2312" w:cs="仿宋_GB2312" w:eastAsia="仿宋_GB2312"/>
                <w:sz w:val="21"/>
                <w:color w:val="333333"/>
                <w:shd w:fill="FDFEFE" w:val="clear"/>
              </w:rPr>
              <w:t>6.整机内置蓝牙模块，支持蓝牙Bluetooth 5.2标准。</w:t>
            </w:r>
          </w:p>
          <w:p>
            <w:pPr>
              <w:pStyle w:val="null3"/>
            </w:pPr>
            <w:r>
              <w:rPr>
                <w:rFonts w:ascii="仿宋_GB2312" w:hAnsi="仿宋_GB2312" w:cs="仿宋_GB2312" w:eastAsia="仿宋_GB2312"/>
                <w:sz w:val="21"/>
                <w:color w:val="333333"/>
                <w:shd w:fill="FDFEFE" w:val="clear"/>
              </w:rPr>
              <w:t>7.CPU采用第12代以上 I5处理器；内存：8G ；硬盘：256G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视频展台（17套）</w:t>
            </w:r>
            <w:r>
              <w:br/>
            </w:r>
            <w:r>
              <w:rPr>
                <w:rFonts w:ascii="仿宋_GB2312" w:hAnsi="仿宋_GB2312" w:cs="仿宋_GB2312" w:eastAsia="仿宋_GB2312"/>
              </w:rPr>
              <w:t xml:space="preserve"> 1.采用≥800万像素摄像头；</w:t>
            </w:r>
            <w:r>
              <w:br/>
            </w:r>
            <w:r>
              <w:rPr>
                <w:rFonts w:ascii="仿宋_GB2312" w:hAnsi="仿宋_GB2312" w:cs="仿宋_GB2312" w:eastAsia="仿宋_GB2312"/>
              </w:rPr>
              <w:t xml:space="preserve"> 2二维码扫码：支持将书本上的二维码进行扫描识别，并进入系统浏览器获取二维码的链接内容，帮助老师快速获取电子教学资源；</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智能笔（17支）</w:t>
            </w:r>
          </w:p>
          <w:p>
            <w:pPr>
              <w:pStyle w:val="null3"/>
            </w:pPr>
            <w:r>
              <w:rPr>
                <w:rFonts w:ascii="仿宋_GB2312" w:hAnsi="仿宋_GB2312" w:cs="仿宋_GB2312" w:eastAsia="仿宋_GB2312"/>
              </w:rPr>
              <w:t>1.外观：笔身造型采用圆润一体化笔型设计，握笔处采用人机工程学设计，方便握笔书写。</w:t>
            </w:r>
            <w:r>
              <w:br/>
            </w:r>
            <w:r>
              <w:rPr>
                <w:rFonts w:ascii="仿宋_GB2312" w:hAnsi="仿宋_GB2312" w:cs="仿宋_GB2312" w:eastAsia="仿宋_GB2312"/>
              </w:rPr>
              <w:t xml:space="preserve"> 2.笔身配置六个按键，包括一键开关机、上翻页、下翻页、智能语音/ 扩音、书写颜色切换、无线鼠标（飞鼠/空鼠）。</w:t>
            </w:r>
            <w:r>
              <w:br/>
            </w:r>
            <w:r>
              <w:rPr>
                <w:rFonts w:ascii="仿宋_GB2312" w:hAnsi="仿宋_GB2312" w:cs="仿宋_GB2312" w:eastAsia="仿宋_GB2312"/>
              </w:rPr>
              <w:t xml:space="preserve"> 3.翻页按键支持短按、长按功能；短按上下翻页按键，可对白板软件/ppt/pdf 等文档进行翻页；长按下翻页按键3s，可实现 ppt 播放或退出。</w:t>
            </w:r>
            <w:r>
              <w:br/>
            </w:r>
            <w:r>
              <w:rPr>
                <w:rFonts w:ascii="仿宋_GB2312" w:hAnsi="仿宋_GB2312" w:cs="仿宋_GB2312" w:eastAsia="仿宋_GB2312"/>
              </w:rPr>
              <w:t xml:space="preserve"> 4.支持通过口语表达快速返回系统桌面、打开白板、亮度调整、声音大小调整、AI 录课、上一页、下一页。</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安装辅材（17套）</w:t>
            </w:r>
          </w:p>
          <w:p>
            <w:pPr>
              <w:pStyle w:val="null3"/>
            </w:pPr>
            <w:r>
              <w:rPr>
                <w:rFonts w:ascii="仿宋_GB2312" w:hAnsi="仿宋_GB2312" w:cs="仿宋_GB2312" w:eastAsia="仿宋_GB2312"/>
              </w:rPr>
              <w:t>吊架，挂件，电源线，数据线，螺丝等。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拆除原有（17套）</w:t>
            </w:r>
          </w:p>
          <w:p>
            <w:pPr>
              <w:pStyle w:val="null3"/>
            </w:pPr>
            <w:r>
              <w:rPr>
                <w:rFonts w:ascii="仿宋_GB2312" w:hAnsi="仿宋_GB2312" w:cs="仿宋_GB2312" w:eastAsia="仿宋_GB2312"/>
              </w:rPr>
              <w:t>拆除原有普通黑板、恢复墙面、垃圾清运、黑板集中搬运等。</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学生可躺式桌椅（820套）</w:t>
            </w:r>
            <w:r>
              <w:br/>
            </w:r>
            <w:r>
              <w:rPr>
                <w:rFonts w:ascii="仿宋_GB2312" w:hAnsi="仿宋_GB2312" w:cs="仿宋_GB2312" w:eastAsia="仿宋_GB2312"/>
              </w:rPr>
              <w:t xml:space="preserve"> 桌面板：600*400*25mm，采用 ABS 耐冲击塑料一级新料一体注塑成型，桌面带翻转结构。</w:t>
            </w:r>
            <w:r>
              <w:br/>
            </w:r>
            <w:r>
              <w:rPr>
                <w:rFonts w:ascii="仿宋_GB2312" w:hAnsi="仿宋_GB2312" w:cs="仿宋_GB2312" w:eastAsia="仿宋_GB2312"/>
              </w:rPr>
              <w:t xml:space="preserve"> 桌斗：460*135*350mm，采用一级 PP 工程塑料，一体注塑成型</w:t>
            </w:r>
            <w:r>
              <w:br/>
            </w:r>
            <w:r>
              <w:rPr>
                <w:rFonts w:ascii="仿宋_GB2312" w:hAnsi="仿宋_GB2312" w:cs="仿宋_GB2312" w:eastAsia="仿宋_GB2312"/>
              </w:rPr>
              <w:t xml:space="preserve"> 椅面：430*450mm，采用一级全新 PP 塑料，一体注塑成型</w:t>
            </w:r>
            <w:r>
              <w:br/>
            </w:r>
            <w:r>
              <w:rPr>
                <w:rFonts w:ascii="仿宋_GB2312" w:hAnsi="仿宋_GB2312" w:cs="仿宋_GB2312" w:eastAsia="仿宋_GB2312"/>
              </w:rPr>
              <w:t xml:space="preserve"> 椅背：445*380mm，采用一级全新 PP 塑料，一体注塑成型</w:t>
            </w:r>
            <w:r>
              <w:br/>
            </w:r>
            <w:r>
              <w:rPr>
                <w:rFonts w:ascii="仿宋_GB2312" w:hAnsi="仿宋_GB2312" w:cs="仿宋_GB2312" w:eastAsia="仿宋_GB2312"/>
              </w:rPr>
              <w:t xml:space="preserve"> 储物篮：410*310*130mm，采用一级全新 PP 塑料，一体注塑成型</w:t>
            </w:r>
            <w:r>
              <w:br/>
            </w:r>
            <w:r>
              <w:rPr>
                <w:rFonts w:ascii="仿宋_GB2312" w:hAnsi="仿宋_GB2312" w:cs="仿宋_GB2312" w:eastAsia="仿宋_GB2312"/>
              </w:rPr>
              <w:t xml:space="preserve"> 靠背升降方式：靠背带有上下升降锁定功能，转换午体时一键打开坐靠板，利用液压杆实现快速转换</w:t>
            </w:r>
            <w:r>
              <w:br/>
            </w:r>
            <w:r>
              <w:rPr>
                <w:rFonts w:ascii="仿宋_GB2312" w:hAnsi="仿宋_GB2312" w:cs="仿宋_GB2312" w:eastAsia="仿宋_GB2312"/>
              </w:rPr>
              <w:t xml:space="preserve"> 底脚：30*60*1.2mm椭圆管</w:t>
            </w:r>
            <w:r>
              <w:br/>
            </w:r>
            <w:r>
              <w:rPr>
                <w:rFonts w:ascii="仿宋_GB2312" w:hAnsi="仿宋_GB2312" w:cs="仿宋_GB2312" w:eastAsia="仿宋_GB2312"/>
              </w:rPr>
              <w:t xml:space="preserve"> 立柱：30*70*1.2mm椭圆管</w:t>
            </w:r>
            <w:r>
              <w:br/>
            </w:r>
            <w:r>
              <w:rPr>
                <w:rFonts w:ascii="仿宋_GB2312" w:hAnsi="仿宋_GB2312" w:cs="仿宋_GB2312" w:eastAsia="仿宋_GB2312"/>
              </w:rPr>
              <w:t xml:space="preserve"> 调节管：25*54*1.2mm椭圆管</w:t>
            </w:r>
            <w:r>
              <w:br/>
            </w:r>
            <w:r>
              <w:rPr>
                <w:rFonts w:ascii="仿宋_GB2312" w:hAnsi="仿宋_GB2312" w:cs="仿宋_GB2312" w:eastAsia="仿宋_GB2312"/>
              </w:rPr>
              <w:t xml:space="preserve"> 靠背管：15*30*1.5mm椭圆管</w:t>
            </w:r>
            <w:r>
              <w:br/>
            </w:r>
            <w:r>
              <w:rPr>
                <w:rFonts w:ascii="仿宋_GB2312" w:hAnsi="仿宋_GB2312" w:cs="仿宋_GB2312" w:eastAsia="仿宋_GB2312"/>
              </w:rPr>
              <w:t xml:space="preserve"> 升降方式：内置传动齿轮手摇升降，手摇传动内置盒采用铝合金压铸，旋转螺杆采用中碳钢 T 型螺纹转动设计。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⾃合同签订之⽇起20⽇历天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乾县城关亓父小学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进度款，安装调试完毕，验收合格后，提供完备报账手续进行转账支付，达到付款条件起20个工作日内，支付合同总金额的100.0%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违约⽅承担违约⾦及实际损失赔偿；争议先协商，协商不成提交项⽬所在地仲裁委员会仲裁或向法院起诉。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是指设备到达使用地点、验收合格达到正常使用条件前的所有费用，包括但不限于以下费用：货物价值、安装调试费、运杂费（含保险）、仓储保管费、技术培训费、检测费、施工费、人工费等及按国家政策征收的一切税费等。 （2）为顺利推进政府采购电子化交易平台应用工作，供应商需要在线提交所有通过电子化交易平台实施的政府采购项目的投标文件，同时，线下提交投标文件正本壹份、副本贰份、电子版壹份（U盘1个，包含word、PDF格式投标文件所有内容），全部纸质、电子版资料统一密封在一个密封袋中。若电子化交易平台文件与纸质投标文件不一致的，以电子化交易平台文件为准。线下递交文件时间与线上投标文件提交截止时间一致；线下递交文件地点：西安市雁塔区西三爻村长丰园小区I区1幢C单元11层1110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2025年度的财务报告(至少包括财务报告、资产负债表、利润表(或损益表)、现金流量表，成立时间至提交投标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供应商应为具有独立承担民事责任能力的企业法人、事业法人、其他组织或自然人</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w:t>
            </w:r>
          </w:p>
        </w:tc>
        <w:tc>
          <w:tcPr>
            <w:tcW w:type="dxa" w:w="3322"/>
          </w:tcPr>
          <w:p>
            <w:pPr>
              <w:pStyle w:val="null3"/>
            </w:pPr>
            <w:r>
              <w:rPr>
                <w:rFonts w:ascii="仿宋_GB2312" w:hAnsi="仿宋_GB2312" w:cs="仿宋_GB2312" w:eastAsia="仿宋_GB2312"/>
              </w:rPr>
              <w:t>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和被授权代表开标截⽌前六个⽉内任意⼀个⽉在本单位的社会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w:t>
            </w:r>
          </w:p>
        </w:tc>
        <w:tc>
          <w:tcPr>
            <w:tcW w:type="dxa" w:w="3322"/>
          </w:tcPr>
          <w:p>
            <w:pPr>
              <w:pStyle w:val="null3"/>
            </w:pPr>
            <w:r>
              <w:rPr>
                <w:rFonts w:ascii="仿宋_GB2312" w:hAnsi="仿宋_GB2312" w:cs="仿宋_GB2312" w:eastAsia="仿宋_GB2312"/>
              </w:rPr>
              <w:t>供应商需提2025年度的财务报告（至少包括财务报告、资产负债表、利润表（或损益表）、现金流量表，成立时间至递交投标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供应商提供投标文件递交截止时间前六个月内任意一月已缴纳的纳税证明或完税证明，依法免税的供应商应提供相关证明文件。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供应商提供投标文件递交截止时间前六个月内任意一月已缴存的社会保障资金缴费证明或参保证明，依法不需要缴纳社会保障资金的供应商应提供相关证明文件。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供应商应具有履行合同所必需的设备和专业技术能力，提供承诺书。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开标一览表附表.docx 标的清单（分项报价表）.docx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产品渠道.docx 本国产品说明 商务响应偏离表.docx 投标函 售后服务.docx 投标人认为有必要补充说明的事宜.docx 技术响应偏离表.docx 标的清单（分项报价表）.docx 标的清单 投标文件封面 实施方案.docx 节能环保、环境标志产品明细表.docx 监狱企业的证明文件 技术响应.docx 业绩.docx 培训方案.docx 中小企业声明函 质量保证.docx 中国境内生产的组件成本核算基本规则 投标人应提交的相关资格证明材料.docx 残疾人福利性单位声明函 开标一览表附表.docx 关于符合本国产品标准的声明函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开标一览表 产品渠道.docx 本国产品说明 商务响应偏离表.docx 售后服务.docx 投标函 投标人认为有必要补充说明的事宜.docx 技术响应偏离表.docx 标的清单（分项报价表）.docx 标的清单 投标文件封面 实施方案.docx 节能环保、环境标志产品明细表.docx 监狱企业的证明文件 技术响应.docx 业绩.docx 培训方案.docx 中小企业声明函 质量保证.docx 中国境内生产的组件成本核算基本规则 投标人应提交的相关资格证明材料.docx 残疾人福利性单位声明函 开标一览表附表.docx 关于符合本国产品标准的声明函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投标报价不超过采购预算或最高限价</w:t>
            </w:r>
          </w:p>
        </w:tc>
        <w:tc>
          <w:tcPr>
            <w:tcW w:type="dxa" w:w="1661"/>
          </w:tcPr>
          <w:p>
            <w:pPr>
              <w:pStyle w:val="null3"/>
            </w:pPr>
            <w:r>
              <w:rPr>
                <w:rFonts w:ascii="仿宋_GB2312" w:hAnsi="仿宋_GB2312" w:cs="仿宋_GB2312" w:eastAsia="仿宋_GB2312"/>
              </w:rPr>
              <w:t>开标一览表 开标一览表附表.docx 标的清单（分项报价表）.docx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商务响应偏离表.docx 技术响应偏离表.docx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件中对技术部分的应答，并结合投标⼈提供的佐证资料等（佐证材料例如：国家认可的检测机构出具的检测报告、制造商检验报告、产品彩⻚、官⽹功能截图等任意⼀种），对技术部分进⾏综合评价。 投标⼈所投产品的技术参数和性能要求完全满⾜招标⽂件要求的得30分，负偏离每项扣 2分，扣完为⽌。 注：1、完全复制招标⽂件技术指标要求的，给予10分扣分。 2、若佐证材料低于招标⽂件规定的相应技术指标、参数时视为负偏离。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提供投标⼈2023年1⽉1⽇⾄今类似项⽬合同，每提供1个得2分，最⾼得10分。（以合同签订⽇期为准） 备注：投标⽂件中提供合同复印件加盖公章。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提供所投产品的合法来源渠道证明⽂件（包括但不限于产品制造商授权、销售协议、代理协议等），每提供⼀个产品计0.5分，满分3分，未提供不计分。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⼀、评审内容 投标⼈需针对本项⽬提供完整的项⽬实施⽅案。内容包含：①供货⽅案；②运输、包装⽅案；③安装、调试、进度保障⽅案；④质量保障⽅案；并按照以下标准评审： ⼆、评审标准 1、完整性：⽅案须全⾯，对评审内容中的各项要求描述详细； 2、可实施性：⽅案能够紧扣项⽬实际情况，实施步骤清晰、合理，内容科学合理。 三、赋分依据（满分8分） ①供货⽅案：每完全满⾜⼀个评审标准得1分，不完全满⾜⼀个评审标准有瑕疵得0.5分，满分2分；未提供不得分； ②运输、包装⽅案：每完全满⾜⼀个评审标准得1分，不完全满⾜⼀个评审标准有瑕疵得0.5分，满分2分；未提供不得分； ③安装、调试、进度保障⽅案：每完全满⾜⼀个评审标准得1分，不完全满⾜⼀个评审标准有瑕疵得0.5分，满分2分；未提供不得分； ④质量保障⽅案：每完全满⾜⼀个评审标准得1分，不完全满⾜⼀个评审标准有瑕疵得0.5分，满分2分；未提供不得分。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投标人认为有必要补充说明的事宜.docx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根据项⽬实际需求提供售后服务⽅案。内容包含：①售后服务范围及保障措施②售后服务流程、服务响应时间及响应⽅式；并按以下标准评审： ⼆、1、完整性：⽅案须全⾯，对评审内容中的各项要求描述详细； 2、可实施性：⽅案能够紧扣项⽬实际情况，实施步骤清晰、合理，内容科学合理。 三、赋分依据（满分4分） ①售后服务范围及保障措施：每完全满⾜⼀个评审标准得1分，不完全满⾜⼀个评审标准有瑕疵得0.5分，满分2分，未提供不得分； ②售后服务流程、服务响应时间及响应⽅式：每完全满⾜⼀个评审标准得1分，不完全满⾜⼀个评审标准有瑕疵得0.5分，满分2分，未提供不得分。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根据项⽬实际需求，提供质量保证⽅案。内容包含：①产品性能、使⽤寿命及效果②质量保证措施。 ⼆、评审标准 1、完整性：⽅案须全⾯，对评审内容中的各项要求描述详细； 2、可实施性：⽅案能够紧扣项⽬实际情况，实施步骤清晰、合理，内容科学合理。三、赋分依据（满分4分）①产品性能、使⽤寿命及效果：每完全满⾜⼀个评审标准得1分，不完全满⾜⼀个评审标准有瑕疵得0.5分，满分2分；未提供不得分； ②质量保证措施:每完全满⾜⼀个评审标准得1分，不完全满⾜⼀个评审标准有瑕疵得0.5分，满分2分；未提供不得分。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p>
            <w:pPr>
              <w:pStyle w:val="null3"/>
            </w:pPr>
            <w:r>
              <w:rPr>
                <w:rFonts w:ascii="仿宋_GB2312" w:hAnsi="仿宋_GB2312" w:cs="仿宋_GB2312" w:eastAsia="仿宋_GB2312"/>
              </w:rPr>
              <w:t>投标人认为有必要补充说明的事宜.docx</w:t>
            </w:r>
          </w:p>
        </w:tc>
      </w:tr>
      <w:tr>
        <w:tc>
          <w:tcPr>
            <w:tcW w:type="dxa" w:w="831"/>
            <w:vMerge/>
          </w:tcPr>
          <w:p/>
        </w:tc>
        <w:tc>
          <w:tcPr>
            <w:tcW w:type="dxa" w:w="1661"/>
          </w:tcPr>
          <w:p>
            <w:pPr>
              <w:pStyle w:val="null3"/>
            </w:pPr>
            <w:r>
              <w:rPr>
                <w:rFonts w:ascii="仿宋_GB2312" w:hAnsi="仿宋_GB2312" w:cs="仿宋_GB2312" w:eastAsia="仿宋_GB2312"/>
              </w:rPr>
              <w:t>培训⽅案</w:t>
            </w:r>
          </w:p>
        </w:tc>
        <w:tc>
          <w:tcPr>
            <w:tcW w:type="dxa" w:w="2492"/>
          </w:tcPr>
          <w:p>
            <w:pPr>
              <w:pStyle w:val="null3"/>
            </w:pPr>
            <w:r>
              <w:rPr>
                <w:rFonts w:ascii="仿宋_GB2312" w:hAnsi="仿宋_GB2312" w:cs="仿宋_GB2312" w:eastAsia="仿宋_GB2312"/>
              </w:rPr>
              <w:t>⼀、评审内容 根据项⽬实际需求提供培训⽅案。内容包含：①培训⽅式、培训时间安排②培训范围及内容；并按以下标准评审： ⼆、评审标准 1、完整性：⽅案须全⾯，对评审内容中的各项要求描述详细； 2、可实施性：⽅案能够紧扣项⽬实际情况，实施步骤清晰、合理，内容科学合理。 三、赋分依据（满分4分） ①培训⽅式、培训时间安排：每完全满⾜⼀个评审标准得1分，不完全满⾜⼀个评审标准有瑕疵得0.5分，满分2分，未提供不得分； ②培训范围及内容：每完全满⾜⼀个评审标准得1分，不完全满⾜⼀个评审标准有瑕疵得0.5分，满分2分，未提供不得分。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投标人认为有必要补充说明的事宜.docx</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 品⽬清单》内产品，提供有效期内的节能产品证书，每提供1项得0.5分，属于《环境标志产品政府采购品⽬清单》内产品的，提供有效期内的环境标志产品证书，每提供1项得0.5分。（备注：以《中国政府采购⽹》颁布品⽬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投标人认为有必要补充说明的事宜.docx</w:t>
            </w:r>
          </w:p>
          <w:p>
            <w:pPr>
              <w:pStyle w:val="null3"/>
            </w:pPr>
            <w:r>
              <w:rPr>
                <w:rFonts w:ascii="仿宋_GB2312" w:hAnsi="仿宋_GB2312" w:cs="仿宋_GB2312" w:eastAsia="仿宋_GB2312"/>
              </w:rPr>
              <w:t>节能环保、环境标志产品明细表.docx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开标一览表附表.docx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低价优先法计算，即满⾜招标⽂件要求且投标价格最低的投标报价为评标基准价，其价格分为满分。其他投标⼈的价格分统⼀按照下列公式计算： 投标报价得分=（评标基准价/投标报价）×价格权值×100（因落实政府采购政策进⾏价格调整的，以调整后的价格计算评标基准价和投标报价）注：计算分数时四舍五⼊取⼩数点后两位。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开标一览表附表.docx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投标人认为有必要补充说明的事宜.docx</w:t>
            </w:r>
          </w:p>
          <w:p>
            <w:pPr>
              <w:pStyle w:val="null3"/>
            </w:pPr>
            <w:r>
              <w:rPr>
                <w:rFonts w:ascii="仿宋_GB2312" w:hAnsi="仿宋_GB2312" w:cs="仿宋_GB2312" w:eastAsia="仿宋_GB2312"/>
              </w:rPr>
              <w:t>开标一览表附表.docx</w:t>
            </w:r>
          </w:p>
          <w:p>
            <w:pPr>
              <w:pStyle w:val="null3"/>
            </w:pPr>
            <w:r>
              <w:rPr>
                <w:rFonts w:ascii="仿宋_GB2312" w:hAnsi="仿宋_GB2312" w:cs="仿宋_GB2312" w:eastAsia="仿宋_GB2312"/>
              </w:rPr>
              <w:t>标的清单（分项报价表）.docx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详见附件：开标一览表附表.docx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详见附件：标的清单（分项报价表）.docx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